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_Toc423506259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_Toc423506260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_Toc423506261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_Toc423506262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_Toc423506263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_Toc423506264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_Toc423506265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_Toc423506266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_Toc423506267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_Toc423506268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_Toc423506269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_Toc423506273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42350625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2350626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423506261"/>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9" w:name="_Toc404845909"/>
      <w:bookmarkStart w:id="10" w:name="_Toc423506262"/>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$120.00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$2 017.00.</w:t>
      </w:r>
    </w:p>
    <w:p>
      <w:pPr>
        <w:pStyle w:val="Subsection"/>
        <w:spacing w:before="180"/>
        <w:rPr>
          <w:snapToGrid w:val="0"/>
        </w:rPr>
      </w:pPr>
      <w:r>
        <w:rPr>
          <w:snapToGrid w:val="0"/>
        </w:rPr>
        <w:tab/>
        <w:t>(7)</w:t>
      </w:r>
      <w:r>
        <w:rPr>
          <w:snapToGrid w:val="0"/>
        </w:rPr>
        <w:tab/>
        <w:t>For the purposes of section 139(b) of the Act, the prescribed rate is a rate of </w:t>
      </w:r>
      <w:r>
        <w:t>$771.00.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$16 799.00.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$16 352.00.</w:t>
      </w:r>
    </w:p>
    <w:p>
      <w:pPr>
        <w:pStyle w:val="Subsection"/>
        <w:spacing w:before="180"/>
      </w:pPr>
      <w:r>
        <w:tab/>
        <w:t>(10)</w:t>
      </w:r>
      <w:r>
        <w:tab/>
        <w:t>For the purposes of section 141A of the Act, the fee is $16 352.00.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w:t>
      </w:r>
    </w:p>
    <w:p>
      <w:pPr>
        <w:pStyle w:val="Ednotesection"/>
        <w:spacing w:before="260"/>
      </w:pPr>
      <w:r>
        <w:t>[</w:t>
      </w:r>
      <w:r>
        <w:rPr>
          <w:b/>
          <w:bCs/>
        </w:rPr>
        <w:t>3A.</w:t>
      </w:r>
      <w:r>
        <w:rPr>
          <w:b/>
          <w:bCs/>
        </w:rPr>
        <w:tab/>
      </w:r>
      <w:r>
        <w:t>Deleted in Gazette 23 Jun 2009 p. 2475.]</w:t>
      </w:r>
    </w:p>
    <w:p>
      <w:pPr>
        <w:pStyle w:val="Heading5"/>
        <w:rPr>
          <w:snapToGrid w:val="0"/>
        </w:rPr>
      </w:pPr>
      <w:bookmarkStart w:id="11" w:name="_Toc404845910"/>
      <w:bookmarkStart w:id="12" w:name="_Toc423506263"/>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423506264"/>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15" w:name="_Toc404845912"/>
      <w:bookmarkStart w:id="16" w:name="_Toc423506265"/>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17" w:name="_Toc404845913"/>
      <w:bookmarkStart w:id="18" w:name="_Toc423506266"/>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19" w:name="_Toc404845914"/>
      <w:bookmarkStart w:id="20" w:name="_Toc423506267"/>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21" w:name="_Toc404845915"/>
      <w:bookmarkStart w:id="22" w:name="_Toc423506268"/>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7218.]</w:t>
      </w:r>
    </w:p>
    <w:p>
      <w:pPr>
        <w:pStyle w:val="Heading5"/>
      </w:pPr>
      <w:bookmarkStart w:id="23" w:name="_Toc423506269"/>
      <w:r>
        <w:rPr>
          <w:rStyle w:val="CharSectno"/>
        </w:rPr>
        <w:t>12</w:t>
      </w:r>
      <w:r>
        <w:t>.</w:t>
      </w:r>
      <w:r>
        <w:tab/>
        <w:t>Transitional provision: operation of r. 3</w:t>
      </w:r>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in Gazette 30 Jun 2015 p. 2345.]</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 w:name="_Toc404845916"/>
      <w:bookmarkStart w:id="25" w:name="_Toc423414571"/>
      <w:bookmarkStart w:id="26" w:name="_Toc423506270"/>
      <w:r>
        <w:rPr>
          <w:rStyle w:val="CharSchNo"/>
        </w:rPr>
        <w:t>Schedule 1</w:t>
      </w:r>
      <w:r>
        <w:rPr>
          <w:rStyle w:val="CharSDivNo"/>
        </w:rPr>
        <w:t> </w:t>
      </w:r>
      <w:r>
        <w:t>—</w:t>
      </w:r>
      <w:r>
        <w:rPr>
          <w:rStyle w:val="CharSDivText"/>
        </w:rPr>
        <w:t> </w:t>
      </w:r>
      <w:r>
        <w:rPr>
          <w:rStyle w:val="CharSchText"/>
        </w:rPr>
        <w:t>Prescribed fees</w:t>
      </w:r>
      <w:bookmarkEnd w:id="24"/>
      <w:bookmarkEnd w:id="25"/>
      <w:bookmarkEnd w:id="26"/>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120.00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120.00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120.00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120.00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6 036.00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192.00</w:t>
            </w:r>
          </w:p>
        </w:tc>
      </w:tr>
    </w:tbl>
    <w:p>
      <w:pPr>
        <w:pStyle w:val="yFootnotesection"/>
      </w:pPr>
      <w:r>
        <w:tab/>
        <w:t>[Schedule 1 inserted in Gazette 12 Jun 2012 p. 2461-2; amended in Gazette 25 Feb 2014 p. 501; 17 Jun 2014 p. 1984</w:t>
      </w:r>
      <w:r>
        <w:noBreakHyphen/>
        <w:t>5; 30 Jun 2015 p. 2348</w:t>
      </w:r>
      <w:r>
        <w:noBreakHyphen/>
        <w:t>9.]</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8" w:name="_Toc404845917"/>
      <w:bookmarkStart w:id="29" w:name="_Toc423414572"/>
      <w:bookmarkStart w:id="30" w:name="_Toc423506271"/>
      <w:r>
        <w:rPr>
          <w:rStyle w:val="CharSchNo"/>
        </w:rPr>
        <w:t>Schedule 2</w:t>
      </w:r>
      <w:bookmarkEnd w:id="28"/>
      <w:bookmarkEnd w:id="29"/>
      <w:bookmarkEnd w:id="30"/>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30"/>
          <w:pgSz w:w="11907" w:h="16840" w:code="9"/>
          <w:pgMar w:top="2381" w:right="2409" w:bottom="3543" w:left="2409" w:header="720" w:footer="3380" w:gutter="0"/>
          <w:cols w:space="720"/>
          <w:noEndnote/>
          <w:docGrid w:linePitch="326"/>
        </w:sectPr>
      </w:pPr>
    </w:p>
    <w:p>
      <w:pPr>
        <w:pStyle w:val="nHeading2"/>
      </w:pPr>
      <w:bookmarkStart w:id="31" w:name="_Toc404845918"/>
      <w:bookmarkStart w:id="32" w:name="_Toc423414573"/>
      <w:bookmarkStart w:id="33" w:name="_Toc423506272"/>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404845919"/>
      <w:bookmarkStart w:id="35" w:name="_Toc423506273"/>
      <w:r>
        <w:rPr>
          <w:snapToGrid w:val="0"/>
        </w:rP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trPr>
        <w:tc>
          <w:tcPr>
            <w:tcW w:w="3118"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4"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cantSplit/>
        </w:trPr>
        <w:tc>
          <w:tcPr>
            <w:tcW w:w="3118" w:type="dxa"/>
            <w:tcBorders>
              <w:bottom w:val="single" w:sz="4" w:space="0" w:color="auto"/>
            </w:tcBorders>
            <w:shd w:val="clear" w:color="auto" w:fill="auto"/>
          </w:tcPr>
          <w:p>
            <w:pPr>
              <w:pStyle w:val="nTable"/>
              <w:spacing w:after="40"/>
              <w:ind w:right="113"/>
              <w:rPr>
                <w:i/>
              </w:rPr>
            </w:pPr>
            <w:r>
              <w:rPr>
                <w:i/>
              </w:rPr>
              <w:t>Petroleum (Submerged Lands) Amendment Regulations (No. 2) 2015</w:t>
            </w:r>
          </w:p>
        </w:tc>
        <w:tc>
          <w:tcPr>
            <w:tcW w:w="1276" w:type="dxa"/>
            <w:tcBorders>
              <w:bottom w:val="single" w:sz="4" w:space="0" w:color="auto"/>
            </w:tcBorders>
            <w:shd w:val="clear" w:color="auto" w:fill="auto"/>
          </w:tcPr>
          <w:p>
            <w:pPr>
              <w:pStyle w:val="nTable"/>
              <w:spacing w:after="40"/>
            </w:pPr>
            <w:r>
              <w:t>30 Jun 2015 p. 2348</w:t>
            </w:r>
            <w:r>
              <w:noBreakHyphen/>
              <w:t>9</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31"/>
          <w:headerReference w:type="default" r:id="rId32"/>
          <w:type w:val="continuous"/>
          <w:pgSz w:w="11907" w:h="16840" w:code="9"/>
          <w:pgMar w:top="2381" w:right="2410" w:bottom="3544" w:left="2410" w:header="720" w:footer="3380" w:gutter="0"/>
          <w:cols w:space="720"/>
          <w:noEndnote/>
          <w:docGrid w:linePitch="326"/>
        </w:sectPr>
      </w:pPr>
    </w:p>
    <w:p>
      <w:pPr>
        <w:pStyle w:val="nHeading2"/>
        <w:rPr>
          <w:sz w:val="28"/>
        </w:rPr>
      </w:pPr>
      <w:bookmarkStart w:id="37" w:name="_Toc423506274"/>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511C-B204-42A1-BA98-8A50B95D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3246</Words>
  <Characters>15812</Characters>
  <Application>Microsoft Office Word</Application>
  <DocSecurity>0</DocSecurity>
  <Lines>608</Lines>
  <Paragraphs>414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1990 - 03-b0-03</dc:title>
  <dc:subject/>
  <dc:creator/>
  <cp:keywords/>
  <dc:description/>
  <cp:lastModifiedBy>svcMRProcess</cp:lastModifiedBy>
  <cp:revision>4</cp:revision>
  <cp:lastPrinted>2014-11-25T02:07:00Z</cp:lastPrinted>
  <dcterms:created xsi:type="dcterms:W3CDTF">2020-02-27T13:40:00Z</dcterms:created>
  <dcterms:modified xsi:type="dcterms:W3CDTF">2020-02-27T13:40:00Z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2015</vt:lpwstr>
  </property>
  <property fmtid="{D5CDD505-2E9C-101B-9397-08002B2CF9AE}" pid="8" name="Suffix">
    <vt:lpwstr>03-b0-03</vt:lpwstr>
  </property>
  <property fmtid="{D5CDD505-2E9C-101B-9397-08002B2CF9AE}" pid="9" name="CommencementDate">
    <vt:lpwstr>20150701</vt:lpwstr>
  </property>
</Properties>
</file>