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Safety Levies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Safety Levies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_Toc423506923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_Toc423506924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_Toc423506925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Levy period and levy amount</w:t>
      </w:r>
    </w:p>
    <w:p>
      <w:pPr>
        <w:pStyle w:val="TOC8"/>
        <w:rPr>
          <w:rFonts w:asciiTheme="minorHAnsi" w:eastAsiaTheme="minorEastAsia" w:hAnsiTheme="minorHAnsi" w:cstheme="minorBidi"/>
          <w:szCs w:val="22"/>
        </w:rPr>
      </w:pPr>
      <w:r>
        <w:t>4.</w:t>
      </w:r>
      <w:r>
        <w:tab/>
        <w:t>Levy period</w:t>
      </w:r>
      <w:r>
        <w:tab/>
      </w:r>
      <w:r>
        <w:fldChar w:fldCharType="begin"/>
      </w:r>
      <w:r>
        <w:instrText xml:space="preserve"> PAGEREF _Toc423506927 \h </w:instrText>
      </w:r>
      <w:r>
        <w:fldChar w:fldCharType="separate"/>
      </w:r>
      <w:r>
        <w:t>3</w:t>
      </w:r>
      <w:r>
        <w:fldChar w:fldCharType="end"/>
      </w:r>
    </w:p>
    <w:p>
      <w:pPr>
        <w:pStyle w:val="TOC8"/>
        <w:rPr>
          <w:rFonts w:asciiTheme="minorHAnsi" w:eastAsiaTheme="minorEastAsia" w:hAnsiTheme="minorHAnsi" w:cstheme="minorBidi"/>
          <w:szCs w:val="22"/>
        </w:rPr>
      </w:pPr>
      <w:r>
        <w:t>5.</w:t>
      </w:r>
      <w:r>
        <w:tab/>
        <w:t>Levy amount</w:t>
      </w:r>
      <w:r>
        <w:tab/>
      </w:r>
      <w:r>
        <w:fldChar w:fldCharType="begin"/>
      </w:r>
      <w:r>
        <w:instrText xml:space="preserve"> PAGEREF _Toc423506928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Classification of safety systems</w:t>
      </w:r>
    </w:p>
    <w:p>
      <w:pPr>
        <w:pStyle w:val="TOC8"/>
        <w:rPr>
          <w:rFonts w:asciiTheme="minorHAnsi" w:eastAsiaTheme="minorEastAsia" w:hAnsiTheme="minorHAnsi" w:cstheme="minorBidi"/>
          <w:szCs w:val="22"/>
        </w:rPr>
      </w:pPr>
      <w:r>
        <w:t>6.</w:t>
      </w:r>
      <w:r>
        <w:tab/>
        <w:t>Classes of safety system</w:t>
      </w:r>
      <w:r>
        <w:tab/>
      </w:r>
      <w:r>
        <w:fldChar w:fldCharType="begin"/>
      </w:r>
      <w:r>
        <w:instrText xml:space="preserve"> PAGEREF _Toc423506930 \h </w:instrText>
      </w:r>
      <w:r>
        <w:fldChar w:fldCharType="separate"/>
      </w:r>
      <w:r>
        <w:t>5</w:t>
      </w:r>
      <w:r>
        <w:fldChar w:fldCharType="end"/>
      </w:r>
    </w:p>
    <w:p>
      <w:pPr>
        <w:pStyle w:val="TOC8"/>
        <w:rPr>
          <w:rFonts w:asciiTheme="minorHAnsi" w:eastAsiaTheme="minorEastAsia" w:hAnsiTheme="minorHAnsi" w:cstheme="minorBidi"/>
          <w:szCs w:val="22"/>
        </w:rPr>
      </w:pPr>
      <w:r>
        <w:t>7.</w:t>
      </w:r>
      <w:r>
        <w:tab/>
        <w:t>CEO to determine classification of safety system</w:t>
      </w:r>
      <w:r>
        <w:tab/>
      </w:r>
      <w:r>
        <w:fldChar w:fldCharType="begin"/>
      </w:r>
      <w:r>
        <w:instrText xml:space="preserve"> PAGEREF _Toc423506931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Assessment and reassessment of safety levies</w:t>
      </w:r>
    </w:p>
    <w:p>
      <w:pPr>
        <w:pStyle w:val="TOC8"/>
        <w:rPr>
          <w:rFonts w:asciiTheme="minorHAnsi" w:eastAsiaTheme="minorEastAsia" w:hAnsiTheme="minorHAnsi" w:cstheme="minorBidi"/>
          <w:szCs w:val="22"/>
        </w:rPr>
      </w:pPr>
      <w:r>
        <w:t>8.</w:t>
      </w:r>
      <w:r>
        <w:tab/>
        <w:t>Assessment</w:t>
      </w:r>
      <w:r>
        <w:tab/>
      </w:r>
      <w:r>
        <w:fldChar w:fldCharType="begin"/>
      </w:r>
      <w:r>
        <w:instrText xml:space="preserve"> PAGEREF _Toc423506933 \h </w:instrText>
      </w:r>
      <w:r>
        <w:fldChar w:fldCharType="separate"/>
      </w:r>
      <w:r>
        <w:t>8</w:t>
      </w:r>
      <w:r>
        <w:fldChar w:fldCharType="end"/>
      </w:r>
    </w:p>
    <w:p>
      <w:pPr>
        <w:pStyle w:val="TOC8"/>
        <w:rPr>
          <w:rFonts w:asciiTheme="minorHAnsi" w:eastAsiaTheme="minorEastAsia" w:hAnsiTheme="minorHAnsi" w:cstheme="minorBidi"/>
          <w:szCs w:val="22"/>
        </w:rPr>
      </w:pPr>
      <w:r>
        <w:t>9.</w:t>
      </w:r>
      <w:r>
        <w:tab/>
        <w:t>CEO may make reassessment</w:t>
      </w:r>
      <w:r>
        <w:tab/>
      </w:r>
      <w:r>
        <w:fldChar w:fldCharType="begin"/>
      </w:r>
      <w:r>
        <w:instrText xml:space="preserve"> PAGEREF _Toc423506934 \h </w:instrText>
      </w:r>
      <w:r>
        <w:fldChar w:fldCharType="separate"/>
      </w:r>
      <w:r>
        <w:t>8</w:t>
      </w:r>
      <w:r>
        <w:fldChar w:fldCharType="end"/>
      </w:r>
    </w:p>
    <w:p>
      <w:pPr>
        <w:pStyle w:val="TOC8"/>
        <w:rPr>
          <w:rFonts w:asciiTheme="minorHAnsi" w:eastAsiaTheme="minorEastAsia" w:hAnsiTheme="minorHAnsi" w:cstheme="minorBidi"/>
          <w:szCs w:val="22"/>
        </w:rPr>
      </w:pPr>
      <w:r>
        <w:t>10.</w:t>
      </w:r>
      <w:r>
        <w:tab/>
        <w:t>Notice of reassessment</w:t>
      </w:r>
      <w:r>
        <w:tab/>
      </w:r>
      <w:r>
        <w:fldChar w:fldCharType="begin"/>
      </w:r>
      <w:r>
        <w:instrText xml:space="preserve"> PAGEREF _Toc423506935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Objections and review</w:t>
      </w:r>
    </w:p>
    <w:p>
      <w:pPr>
        <w:pStyle w:val="TOC8"/>
        <w:rPr>
          <w:rFonts w:asciiTheme="minorHAnsi" w:eastAsiaTheme="minorEastAsia" w:hAnsiTheme="minorHAnsi" w:cstheme="minorBidi"/>
          <w:szCs w:val="22"/>
        </w:rPr>
      </w:pPr>
      <w:r>
        <w:t>11.</w:t>
      </w:r>
      <w:r>
        <w:tab/>
        <w:t>Prescribed ground of objection</w:t>
      </w:r>
      <w:r>
        <w:tab/>
      </w:r>
      <w:r>
        <w:fldChar w:fldCharType="begin"/>
      </w:r>
      <w:r>
        <w:instrText xml:space="preserve"> PAGEREF _Toc423506937 \h </w:instrText>
      </w:r>
      <w:r>
        <w:fldChar w:fldCharType="separate"/>
      </w:r>
      <w:r>
        <w:t>11</w:t>
      </w:r>
      <w:r>
        <w:fldChar w:fldCharType="end"/>
      </w:r>
    </w:p>
    <w:p>
      <w:pPr>
        <w:pStyle w:val="TOC8"/>
        <w:rPr>
          <w:rFonts w:asciiTheme="minorHAnsi" w:eastAsiaTheme="minorEastAsia" w:hAnsiTheme="minorHAnsi" w:cstheme="minorBidi"/>
          <w:szCs w:val="22"/>
        </w:rPr>
      </w:pPr>
      <w:r>
        <w:t>12.</w:t>
      </w:r>
      <w:r>
        <w:tab/>
        <w:t>Time for making objection</w:t>
      </w:r>
      <w:r>
        <w:tab/>
      </w:r>
      <w:r>
        <w:fldChar w:fldCharType="begin"/>
      </w:r>
      <w:r>
        <w:instrText xml:space="preserve"> PAGEREF _Toc423506938 \h </w:instrText>
      </w:r>
      <w:r>
        <w:fldChar w:fldCharType="separate"/>
      </w:r>
      <w:r>
        <w:t>11</w:t>
      </w:r>
      <w:r>
        <w:fldChar w:fldCharType="end"/>
      </w:r>
    </w:p>
    <w:p>
      <w:pPr>
        <w:pStyle w:val="TOC8"/>
        <w:rPr>
          <w:rFonts w:asciiTheme="minorHAnsi" w:eastAsiaTheme="minorEastAsia" w:hAnsiTheme="minorHAnsi" w:cstheme="minorBidi"/>
          <w:szCs w:val="22"/>
        </w:rPr>
      </w:pPr>
      <w:r>
        <w:t>13.</w:t>
      </w:r>
      <w:r>
        <w:tab/>
        <w:t>Form of objection</w:t>
      </w:r>
      <w:r>
        <w:tab/>
      </w:r>
      <w:r>
        <w:fldChar w:fldCharType="begin"/>
      </w:r>
      <w:r>
        <w:instrText xml:space="preserve"> PAGEREF _Toc423506939 \h </w:instrText>
      </w:r>
      <w:r>
        <w:fldChar w:fldCharType="separate"/>
      </w:r>
      <w:r>
        <w:t>11</w:t>
      </w:r>
      <w:r>
        <w:fldChar w:fldCharType="end"/>
      </w:r>
    </w:p>
    <w:p>
      <w:pPr>
        <w:pStyle w:val="TOC8"/>
        <w:rPr>
          <w:rFonts w:asciiTheme="minorHAnsi" w:eastAsiaTheme="minorEastAsia" w:hAnsiTheme="minorHAnsi" w:cstheme="minorBidi"/>
          <w:szCs w:val="22"/>
        </w:rPr>
      </w:pPr>
      <w:r>
        <w:t>14.</w:t>
      </w:r>
      <w:r>
        <w:tab/>
        <w:t>Determination of objection</w:t>
      </w:r>
      <w:r>
        <w:tab/>
      </w:r>
      <w:r>
        <w:fldChar w:fldCharType="begin"/>
      </w:r>
      <w:r>
        <w:instrText xml:space="preserve"> PAGEREF _Toc423506940 \h </w:instrText>
      </w:r>
      <w:r>
        <w:fldChar w:fldCharType="separate"/>
      </w:r>
      <w:r>
        <w:t>11</w:t>
      </w:r>
      <w:r>
        <w:fldChar w:fldCharType="end"/>
      </w:r>
    </w:p>
    <w:p>
      <w:pPr>
        <w:pStyle w:val="TOC8"/>
        <w:rPr>
          <w:rFonts w:asciiTheme="minorHAnsi" w:eastAsiaTheme="minorEastAsia" w:hAnsiTheme="minorHAnsi" w:cstheme="minorBidi"/>
          <w:szCs w:val="22"/>
        </w:rPr>
      </w:pPr>
      <w:r>
        <w:t>15.</w:t>
      </w:r>
      <w:r>
        <w:tab/>
        <w:t>Notice of adjusted safety levy following objection</w:t>
      </w:r>
      <w:r>
        <w:tab/>
      </w:r>
      <w:r>
        <w:fldChar w:fldCharType="begin"/>
      </w:r>
      <w:r>
        <w:instrText xml:space="preserve"> PAGEREF _Toc423506941 \h </w:instrText>
      </w:r>
      <w:r>
        <w:fldChar w:fldCharType="separate"/>
      </w:r>
      <w:r>
        <w:t>12</w:t>
      </w:r>
      <w:r>
        <w:fldChar w:fldCharType="end"/>
      </w:r>
    </w:p>
    <w:p>
      <w:pPr>
        <w:pStyle w:val="TOC8"/>
        <w:rPr>
          <w:rFonts w:asciiTheme="minorHAnsi" w:eastAsiaTheme="minorEastAsia" w:hAnsiTheme="minorHAnsi" w:cstheme="minorBidi"/>
          <w:szCs w:val="22"/>
        </w:rPr>
      </w:pPr>
      <w:r>
        <w:t>16.</w:t>
      </w:r>
      <w:r>
        <w:tab/>
        <w:t>Notice of withdrawal of safety levy following objection</w:t>
      </w:r>
      <w:r>
        <w:tab/>
      </w:r>
      <w:r>
        <w:fldChar w:fldCharType="begin"/>
      </w:r>
      <w:r>
        <w:instrText xml:space="preserve"> PAGEREF _Toc423506942 \h </w:instrText>
      </w:r>
      <w:r>
        <w:fldChar w:fldCharType="separate"/>
      </w:r>
      <w:r>
        <w:t>13</w:t>
      </w:r>
      <w:r>
        <w:fldChar w:fldCharType="end"/>
      </w:r>
    </w:p>
    <w:p>
      <w:pPr>
        <w:pStyle w:val="TOC8"/>
        <w:rPr>
          <w:rFonts w:asciiTheme="minorHAnsi" w:eastAsiaTheme="minorEastAsia" w:hAnsiTheme="minorHAnsi" w:cstheme="minorBidi"/>
          <w:szCs w:val="22"/>
        </w:rPr>
      </w:pPr>
      <w:r>
        <w:t>17.</w:t>
      </w:r>
      <w:r>
        <w:tab/>
        <w:t>Review of decision on objection</w:t>
      </w:r>
      <w:r>
        <w:tab/>
      </w:r>
      <w:r>
        <w:fldChar w:fldCharType="begin"/>
      </w:r>
      <w:r>
        <w:instrText xml:space="preserve"> PAGEREF _Toc423506943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18.</w:t>
      </w:r>
      <w:r>
        <w:tab/>
        <w:t>Penalty amount: prescribed rate of interest</w:t>
      </w:r>
      <w:r>
        <w:tab/>
      </w:r>
      <w:r>
        <w:fldChar w:fldCharType="begin"/>
      </w:r>
      <w:r>
        <w:instrText xml:space="preserve"> PAGEREF _Toc423506945 \h </w:instrText>
      </w:r>
      <w:r>
        <w:fldChar w:fldCharType="separate"/>
      </w:r>
      <w:r>
        <w:t>15</w:t>
      </w:r>
      <w:r>
        <w:fldChar w:fldCharType="end"/>
      </w:r>
    </w:p>
    <w:p>
      <w:pPr>
        <w:pStyle w:val="TOC8"/>
        <w:rPr>
          <w:rFonts w:asciiTheme="minorHAnsi" w:eastAsiaTheme="minorEastAsia" w:hAnsiTheme="minorHAnsi" w:cstheme="minorBidi"/>
          <w:szCs w:val="22"/>
        </w:rPr>
      </w:pPr>
      <w:r>
        <w:t>19.</w:t>
      </w:r>
      <w:r>
        <w:tab/>
        <w:t>When levy amount becomes due and payable</w:t>
      </w:r>
      <w:r>
        <w:tab/>
      </w:r>
      <w:r>
        <w:fldChar w:fldCharType="begin"/>
      </w:r>
      <w:r>
        <w:instrText xml:space="preserve"> PAGEREF _Toc423506946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20.</w:t>
      </w:r>
      <w:r>
        <w:tab/>
        <w:t xml:space="preserve">Transitional provision for </w:t>
      </w:r>
      <w:r>
        <w:rPr>
          <w:i/>
        </w:rPr>
        <w:t>Petroleum and Geothermal Energy Safety Levies Amendment Regulations 2012</w:t>
      </w:r>
      <w:r>
        <w:tab/>
      </w:r>
      <w:r>
        <w:fldChar w:fldCharType="begin"/>
      </w:r>
      <w:r>
        <w:instrText xml:space="preserve"> PAGEREF _Toc423506948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Complexity ratings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_Toc423506951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Safety Levies Act 2011</w:t>
      </w:r>
    </w:p>
    <w:p>
      <w:pPr>
        <w:pStyle w:val="NameofActReg"/>
      </w:pPr>
      <w:r>
        <w:t>Petroleum and Geothermal Energy Safety Levies Regulations 2011</w:t>
      </w:r>
    </w:p>
    <w:p>
      <w:pPr>
        <w:pStyle w:val="Heading2"/>
        <w:pageBreakBefore w:val="0"/>
      </w:pPr>
      <w:bookmarkStart w:id="3" w:name="_Toc377108652"/>
      <w:bookmarkStart w:id="4" w:name="_Toc423414766"/>
      <w:bookmarkStart w:id="5" w:name="_Toc42350692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108653"/>
      <w:bookmarkStart w:id="7" w:name="_Toc423506923"/>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9" w:name="_Toc377108654"/>
      <w:bookmarkStart w:id="10" w:name="_Toc423506924"/>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1" w:name="_Toc377108655"/>
      <w:bookmarkStart w:id="12" w:name="_Toc423506925"/>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 Gazette 28 Sep 2012 p. 4655</w:t>
      </w:r>
      <w:r>
        <w:noBreakHyphen/>
        <w:t>6.]</w:t>
      </w:r>
    </w:p>
    <w:p>
      <w:pPr>
        <w:pStyle w:val="Heading2"/>
      </w:pPr>
      <w:bookmarkStart w:id="13" w:name="_Toc377108656"/>
      <w:bookmarkStart w:id="14" w:name="_Toc423414770"/>
      <w:bookmarkStart w:id="15" w:name="_Toc423506926"/>
      <w:r>
        <w:rPr>
          <w:rStyle w:val="CharPartNo"/>
        </w:rPr>
        <w:t>Part 2</w:t>
      </w:r>
      <w:r>
        <w:rPr>
          <w:rStyle w:val="CharDivNo"/>
        </w:rPr>
        <w:t> </w:t>
      </w:r>
      <w:r>
        <w:t>—</w:t>
      </w:r>
      <w:r>
        <w:rPr>
          <w:rStyle w:val="CharDivText"/>
        </w:rPr>
        <w:t> </w:t>
      </w:r>
      <w:r>
        <w:rPr>
          <w:rStyle w:val="CharPartText"/>
        </w:rPr>
        <w:t>Levy period and levy amount</w:t>
      </w:r>
      <w:bookmarkEnd w:id="13"/>
      <w:bookmarkEnd w:id="14"/>
      <w:bookmarkEnd w:id="15"/>
    </w:p>
    <w:p>
      <w:pPr>
        <w:pStyle w:val="Heading5"/>
      </w:pPr>
      <w:bookmarkStart w:id="16" w:name="_Toc377108657"/>
      <w:bookmarkStart w:id="17" w:name="_Toc423506927"/>
      <w:r>
        <w:rPr>
          <w:rStyle w:val="CharSectno"/>
        </w:rPr>
        <w:t>4</w:t>
      </w:r>
      <w:r>
        <w:t>.</w:t>
      </w:r>
      <w:r>
        <w:tab/>
        <w:t>Levy period</w:t>
      </w:r>
      <w:bookmarkEnd w:id="16"/>
      <w:bookmarkEnd w:id="17"/>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18" w:name="_Toc377108658"/>
      <w:bookmarkStart w:id="19" w:name="_Toc423506928"/>
      <w:r>
        <w:rPr>
          <w:rStyle w:val="CharSectno"/>
        </w:rPr>
        <w:t>5</w:t>
      </w:r>
      <w:r>
        <w:t>.</w:t>
      </w:r>
      <w:r>
        <w:tab/>
        <w:t>Levy amount</w:t>
      </w:r>
      <w:bookmarkEnd w:id="18"/>
      <w:bookmarkEnd w:id="19"/>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$9 000;</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$9 000;</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r>
        <w:tab/>
        <w:t>[Regulation 5 amended: Gazette 28 Sep 2012 p. 4656; 28 Jun 2013 p. 2829; 26 Jun 2015 p. 2261.]</w:t>
      </w:r>
    </w:p>
    <w:p>
      <w:pPr>
        <w:pStyle w:val="Heading2"/>
      </w:pPr>
      <w:bookmarkStart w:id="20" w:name="_Toc377108659"/>
      <w:bookmarkStart w:id="21" w:name="_Toc423414773"/>
      <w:bookmarkStart w:id="22" w:name="_Toc423506929"/>
      <w:r>
        <w:rPr>
          <w:rStyle w:val="CharPartNo"/>
        </w:rPr>
        <w:t>Part 3</w:t>
      </w:r>
      <w:r>
        <w:rPr>
          <w:rStyle w:val="CharDivNo"/>
        </w:rPr>
        <w:t> </w:t>
      </w:r>
      <w:r>
        <w:t>—</w:t>
      </w:r>
      <w:r>
        <w:rPr>
          <w:rStyle w:val="CharDivText"/>
        </w:rPr>
        <w:t> </w:t>
      </w:r>
      <w:r>
        <w:rPr>
          <w:rStyle w:val="CharPartText"/>
        </w:rPr>
        <w:t>Classification of safety systems</w:t>
      </w:r>
      <w:bookmarkEnd w:id="20"/>
      <w:bookmarkEnd w:id="21"/>
      <w:bookmarkEnd w:id="22"/>
    </w:p>
    <w:p>
      <w:pPr>
        <w:pStyle w:val="Heading5"/>
      </w:pPr>
      <w:bookmarkStart w:id="23" w:name="_Toc377108660"/>
      <w:bookmarkStart w:id="24" w:name="_Toc423506930"/>
      <w:r>
        <w:rPr>
          <w:rStyle w:val="CharSectno"/>
        </w:rPr>
        <w:t>6</w:t>
      </w:r>
      <w:r>
        <w:t>.</w:t>
      </w:r>
      <w:r>
        <w:tab/>
        <w:t>Classes of safety system</w:t>
      </w:r>
      <w:bookmarkEnd w:id="23"/>
      <w:bookmarkEnd w:id="24"/>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25" w:name="_Toc377108661"/>
      <w:bookmarkStart w:id="26" w:name="_Toc423506931"/>
      <w:r>
        <w:rPr>
          <w:rStyle w:val="CharSectno"/>
        </w:rPr>
        <w:t>7</w:t>
      </w:r>
      <w:r>
        <w:t>.</w:t>
      </w:r>
      <w:r>
        <w:tab/>
        <w:t>CEO to determine classification of safety system</w:t>
      </w:r>
      <w:bookmarkEnd w:id="25"/>
      <w:bookmarkEnd w:id="26"/>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 Gazette 28 Sep 2012 p. 4657.]</w:t>
      </w:r>
    </w:p>
    <w:p>
      <w:pPr>
        <w:pStyle w:val="Heading2"/>
      </w:pPr>
      <w:bookmarkStart w:id="27" w:name="_Toc377108662"/>
      <w:bookmarkStart w:id="28" w:name="_Toc423414776"/>
      <w:bookmarkStart w:id="29" w:name="_Toc423506932"/>
      <w:r>
        <w:rPr>
          <w:rStyle w:val="CharPartNo"/>
        </w:rPr>
        <w:t>Part 4</w:t>
      </w:r>
      <w:r>
        <w:rPr>
          <w:rStyle w:val="CharDivNo"/>
        </w:rPr>
        <w:t> </w:t>
      </w:r>
      <w:r>
        <w:t>—</w:t>
      </w:r>
      <w:r>
        <w:rPr>
          <w:rStyle w:val="CharDivText"/>
        </w:rPr>
        <w:t> </w:t>
      </w:r>
      <w:r>
        <w:rPr>
          <w:rStyle w:val="CharPartText"/>
        </w:rPr>
        <w:t>Assessment and reassessment of safety levies</w:t>
      </w:r>
      <w:bookmarkEnd w:id="27"/>
      <w:bookmarkEnd w:id="28"/>
      <w:bookmarkEnd w:id="29"/>
    </w:p>
    <w:p>
      <w:pPr>
        <w:pStyle w:val="Heading5"/>
      </w:pPr>
      <w:bookmarkStart w:id="30" w:name="_Toc377108663"/>
      <w:bookmarkStart w:id="31" w:name="_Toc423506933"/>
      <w:r>
        <w:rPr>
          <w:rStyle w:val="CharSectno"/>
        </w:rPr>
        <w:t>8</w:t>
      </w:r>
      <w:r>
        <w:t>.</w:t>
      </w:r>
      <w:r>
        <w:tab/>
        <w:t>Assessment</w:t>
      </w:r>
      <w:bookmarkEnd w:id="30"/>
      <w:bookmarkEnd w:id="31"/>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r>
        <w:tab/>
        <w:t>[Regulation 8 amended: Gazette 28 Sep 2012 p. 4657.]</w:t>
      </w:r>
    </w:p>
    <w:p>
      <w:pPr>
        <w:pStyle w:val="Heading5"/>
      </w:pPr>
      <w:bookmarkStart w:id="32" w:name="_Toc377108664"/>
      <w:bookmarkStart w:id="33" w:name="_Toc423506934"/>
      <w:r>
        <w:rPr>
          <w:rStyle w:val="CharSectno"/>
        </w:rPr>
        <w:t>9</w:t>
      </w:r>
      <w:r>
        <w:t>.</w:t>
      </w:r>
      <w:r>
        <w:tab/>
        <w:t>CEO may make reassessment</w:t>
      </w:r>
      <w:bookmarkEnd w:id="32"/>
      <w:bookmarkEnd w:id="33"/>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34" w:name="_Toc377108665"/>
      <w:bookmarkStart w:id="35" w:name="_Toc423506935"/>
      <w:r>
        <w:rPr>
          <w:rStyle w:val="CharSectno"/>
        </w:rPr>
        <w:t>10</w:t>
      </w:r>
      <w:r>
        <w:t>.</w:t>
      </w:r>
      <w:r>
        <w:tab/>
        <w:t>Notice of reassessment</w:t>
      </w:r>
      <w:bookmarkEnd w:id="34"/>
      <w:bookmarkEnd w:id="35"/>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 Gazette 28 Sep 2012 p. 4658.]</w:t>
      </w:r>
    </w:p>
    <w:p>
      <w:pPr>
        <w:pStyle w:val="Heading2"/>
      </w:pPr>
      <w:bookmarkStart w:id="36" w:name="_Toc377108666"/>
      <w:bookmarkStart w:id="37" w:name="_Toc423414780"/>
      <w:bookmarkStart w:id="38" w:name="_Toc423506936"/>
      <w:r>
        <w:rPr>
          <w:rStyle w:val="CharPartNo"/>
        </w:rPr>
        <w:t>Part 5</w:t>
      </w:r>
      <w:r>
        <w:rPr>
          <w:rStyle w:val="CharDivNo"/>
        </w:rPr>
        <w:t> </w:t>
      </w:r>
      <w:r>
        <w:t>—</w:t>
      </w:r>
      <w:r>
        <w:rPr>
          <w:rStyle w:val="CharDivText"/>
        </w:rPr>
        <w:t> </w:t>
      </w:r>
      <w:r>
        <w:rPr>
          <w:rStyle w:val="CharPartText"/>
        </w:rPr>
        <w:t>Objections and review</w:t>
      </w:r>
      <w:bookmarkEnd w:id="36"/>
      <w:bookmarkEnd w:id="37"/>
      <w:bookmarkEnd w:id="38"/>
    </w:p>
    <w:p>
      <w:pPr>
        <w:pStyle w:val="Heading5"/>
      </w:pPr>
      <w:bookmarkStart w:id="39" w:name="_Toc377108667"/>
      <w:bookmarkStart w:id="40" w:name="_Toc423506937"/>
      <w:r>
        <w:rPr>
          <w:rStyle w:val="CharSectno"/>
        </w:rPr>
        <w:t>11</w:t>
      </w:r>
      <w:r>
        <w:t>.</w:t>
      </w:r>
      <w:r>
        <w:tab/>
        <w:t>Prescribed ground of objection</w:t>
      </w:r>
      <w:bookmarkEnd w:id="39"/>
      <w:bookmarkEnd w:id="40"/>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41" w:name="_Toc377108668"/>
      <w:bookmarkStart w:id="42" w:name="_Toc423506938"/>
      <w:r>
        <w:rPr>
          <w:rStyle w:val="CharSectno"/>
        </w:rPr>
        <w:t>12</w:t>
      </w:r>
      <w:r>
        <w:t>.</w:t>
      </w:r>
      <w:r>
        <w:tab/>
        <w:t>Time for making objection</w:t>
      </w:r>
      <w:bookmarkEnd w:id="41"/>
      <w:bookmarkEnd w:id="42"/>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43" w:name="_Toc377108669"/>
      <w:bookmarkStart w:id="44" w:name="_Toc423506939"/>
      <w:r>
        <w:rPr>
          <w:rStyle w:val="CharSectno"/>
        </w:rPr>
        <w:t>13</w:t>
      </w:r>
      <w:r>
        <w:t>.</w:t>
      </w:r>
      <w:r>
        <w:tab/>
        <w:t>Form of objection</w:t>
      </w:r>
      <w:bookmarkEnd w:id="43"/>
      <w:bookmarkEnd w:id="44"/>
    </w:p>
    <w:p>
      <w:pPr>
        <w:pStyle w:val="Subsection"/>
      </w:pPr>
      <w:r>
        <w:tab/>
      </w:r>
      <w:r>
        <w:tab/>
        <w:t>In addition to the requirements of section 14(3)(a) and (b), an objection must have attached to it the assessment notice to which the objection relates.</w:t>
      </w:r>
    </w:p>
    <w:p>
      <w:pPr>
        <w:pStyle w:val="Heading5"/>
      </w:pPr>
      <w:bookmarkStart w:id="45" w:name="_Toc377108670"/>
      <w:bookmarkStart w:id="46" w:name="_Toc423506940"/>
      <w:r>
        <w:rPr>
          <w:rStyle w:val="CharSectno"/>
        </w:rPr>
        <w:t>14</w:t>
      </w:r>
      <w:r>
        <w:t>.</w:t>
      </w:r>
      <w:r>
        <w:tab/>
        <w:t>Determination of objection</w:t>
      </w:r>
      <w:bookmarkEnd w:id="45"/>
      <w:bookmarkEnd w:id="46"/>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47" w:name="_Toc377108671"/>
      <w:bookmarkStart w:id="48" w:name="_Toc423506941"/>
      <w:r>
        <w:rPr>
          <w:rStyle w:val="CharSectno"/>
        </w:rPr>
        <w:t>15</w:t>
      </w:r>
      <w:r>
        <w:t>.</w:t>
      </w:r>
      <w:r>
        <w:tab/>
        <w:t>Notice of adjusted safety levy following objection</w:t>
      </w:r>
      <w:bookmarkEnd w:id="47"/>
      <w:bookmarkEnd w:id="48"/>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49" w:name="_Toc377108672"/>
      <w:bookmarkStart w:id="50" w:name="_Toc423506942"/>
      <w:r>
        <w:rPr>
          <w:rStyle w:val="CharSectno"/>
        </w:rPr>
        <w:t>16</w:t>
      </w:r>
      <w:r>
        <w:t>.</w:t>
      </w:r>
      <w:r>
        <w:tab/>
        <w:t>Notice of withdrawal of safety levy following objection</w:t>
      </w:r>
      <w:bookmarkEnd w:id="49"/>
      <w:bookmarkEnd w:id="50"/>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51" w:name="_Toc377108673"/>
      <w:bookmarkStart w:id="52" w:name="_Toc423506943"/>
      <w:r>
        <w:rPr>
          <w:rStyle w:val="CharSectno"/>
        </w:rPr>
        <w:t>17</w:t>
      </w:r>
      <w:r>
        <w:t>.</w:t>
      </w:r>
      <w:r>
        <w:tab/>
        <w:t>Review of decision on objection</w:t>
      </w:r>
      <w:bookmarkEnd w:id="51"/>
      <w:bookmarkEnd w:id="52"/>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53" w:name="_Toc377108674"/>
      <w:bookmarkStart w:id="54" w:name="_Toc423414788"/>
      <w:bookmarkStart w:id="55" w:name="_Toc423506944"/>
      <w:r>
        <w:rPr>
          <w:rStyle w:val="CharPartNo"/>
        </w:rPr>
        <w:t>Part 6</w:t>
      </w:r>
      <w:r>
        <w:rPr>
          <w:rStyle w:val="CharDivNo"/>
        </w:rPr>
        <w:t> </w:t>
      </w:r>
      <w:r>
        <w:t>—</w:t>
      </w:r>
      <w:r>
        <w:rPr>
          <w:rStyle w:val="CharDivText"/>
        </w:rPr>
        <w:t> </w:t>
      </w:r>
      <w:r>
        <w:rPr>
          <w:rStyle w:val="CharPartText"/>
        </w:rPr>
        <w:t>Other matters</w:t>
      </w:r>
      <w:bookmarkEnd w:id="53"/>
      <w:bookmarkEnd w:id="54"/>
      <w:bookmarkEnd w:id="55"/>
    </w:p>
    <w:p>
      <w:pPr>
        <w:pStyle w:val="Heading5"/>
      </w:pPr>
      <w:bookmarkStart w:id="56" w:name="_Toc377108675"/>
      <w:bookmarkStart w:id="57" w:name="_Toc423506945"/>
      <w:r>
        <w:rPr>
          <w:rStyle w:val="CharSectno"/>
        </w:rPr>
        <w:t>18</w:t>
      </w:r>
      <w:r>
        <w:t>.</w:t>
      </w:r>
      <w:r>
        <w:tab/>
        <w:t>Penalty amount: prescribed rate of interest</w:t>
      </w:r>
      <w:bookmarkEnd w:id="56"/>
      <w:bookmarkEnd w:id="57"/>
    </w:p>
    <w:p>
      <w:pPr>
        <w:pStyle w:val="Subsection"/>
      </w:pPr>
      <w:r>
        <w:tab/>
      </w:r>
      <w:r>
        <w:tab/>
        <w:t>For the purposes of section 12(1), the rate of 20% per annum is prescribed.</w:t>
      </w:r>
    </w:p>
    <w:p>
      <w:pPr>
        <w:pStyle w:val="Heading5"/>
      </w:pPr>
      <w:bookmarkStart w:id="58" w:name="_Toc377108676"/>
      <w:bookmarkStart w:id="59" w:name="_Toc423506946"/>
      <w:r>
        <w:rPr>
          <w:rStyle w:val="CharSectno"/>
        </w:rPr>
        <w:t>19</w:t>
      </w:r>
      <w:r>
        <w:t>.</w:t>
      </w:r>
      <w:r>
        <w:tab/>
        <w:t>When levy amount becomes due and payable</w:t>
      </w:r>
      <w:bookmarkEnd w:id="58"/>
      <w:bookmarkEnd w:id="59"/>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60" w:name="_Toc377108677"/>
      <w:bookmarkStart w:id="61" w:name="_Toc423414791"/>
      <w:bookmarkStart w:id="62" w:name="_Toc423506947"/>
      <w:r>
        <w:rPr>
          <w:rStyle w:val="CharPartNo"/>
        </w:rPr>
        <w:t>Part 7</w:t>
      </w:r>
      <w:r>
        <w:rPr>
          <w:rStyle w:val="CharDivNo"/>
        </w:rPr>
        <w:t> </w:t>
      </w:r>
      <w:r>
        <w:t>—</w:t>
      </w:r>
      <w:r>
        <w:rPr>
          <w:rStyle w:val="CharDivText"/>
        </w:rPr>
        <w:t> </w:t>
      </w:r>
      <w:r>
        <w:rPr>
          <w:rStyle w:val="CharPartText"/>
        </w:rPr>
        <w:t>Transitional provisions</w:t>
      </w:r>
      <w:bookmarkEnd w:id="60"/>
      <w:bookmarkEnd w:id="61"/>
      <w:bookmarkEnd w:id="62"/>
    </w:p>
    <w:p>
      <w:pPr>
        <w:pStyle w:val="Footnoteheading"/>
      </w:pPr>
      <w:r>
        <w:tab/>
        <w:t>[Heading inserted: Gazette 28 Sep 2012 p. 4658.]</w:t>
      </w:r>
    </w:p>
    <w:p>
      <w:pPr>
        <w:pStyle w:val="Heading5"/>
      </w:pPr>
      <w:bookmarkStart w:id="63" w:name="_Toc377108678"/>
      <w:bookmarkStart w:id="64" w:name="_Toc423506948"/>
      <w:r>
        <w:rPr>
          <w:rStyle w:val="CharSectno"/>
        </w:rPr>
        <w:t>20</w:t>
      </w:r>
      <w:r>
        <w:t>.</w:t>
      </w:r>
      <w:r>
        <w:tab/>
        <w:t xml:space="preserve">Transitional provision for </w:t>
      </w:r>
      <w:r>
        <w:rPr>
          <w:i/>
        </w:rPr>
        <w:t>Petroleum and Geothermal Energy Safety Levies Amendment Regulations 2012</w:t>
      </w:r>
      <w:bookmarkEnd w:id="63"/>
      <w:bookmarkEnd w:id="64"/>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 Gazette 28 Sep 2012 p. 4658.]</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65" w:name="_Toc377108679"/>
      <w:bookmarkStart w:id="66" w:name="_Toc423414793"/>
      <w:bookmarkStart w:id="67" w:name="_Toc423506949"/>
      <w:r>
        <w:rPr>
          <w:rStyle w:val="CharSchNo"/>
        </w:rPr>
        <w:t>Schedule 1</w:t>
      </w:r>
      <w:r>
        <w:rPr>
          <w:rStyle w:val="CharSDivNo"/>
        </w:rPr>
        <w:t> </w:t>
      </w:r>
      <w:r>
        <w:t>—</w:t>
      </w:r>
      <w:r>
        <w:rPr>
          <w:rStyle w:val="CharSDivText"/>
        </w:rPr>
        <w:t> </w:t>
      </w:r>
      <w:r>
        <w:rPr>
          <w:rStyle w:val="CharSchText"/>
        </w:rPr>
        <w:t>Complexity ratings</w:t>
      </w:r>
      <w:bookmarkEnd w:id="65"/>
      <w:bookmarkEnd w:id="66"/>
      <w:bookmarkEnd w:id="67"/>
    </w:p>
    <w:p>
      <w:pPr>
        <w:pStyle w:val="yShoulderClause"/>
      </w:pPr>
      <w:r>
        <w:t>[r. 3]</w:t>
      </w:r>
    </w:p>
    <w:p>
      <w:pPr>
        <w:pStyle w:val="yFootnoteheading"/>
        <w:spacing w:after="120"/>
      </w:pPr>
      <w:r>
        <w:tab/>
        <w:t>[Heading inserted: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 Gazette 28 Sep 2012 p. 4658.]</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9" w:name="_Toc377108680"/>
      <w:bookmarkStart w:id="70" w:name="_Toc423414794"/>
      <w:bookmarkStart w:id="71" w:name="_Toc423506950"/>
      <w:r>
        <w:t>Notes</w:t>
      </w:r>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rPr>
        <w:t>Petroleum and Geothermal Energy Safety Levies Regulations 2011.</w:t>
      </w:r>
      <w:r>
        <w:t xml:space="preserve">  </w:t>
      </w:r>
      <w:r>
        <w:rPr>
          <w:snapToGrid w:val="0"/>
        </w:rPr>
        <w:t>The following table contains information about those regulations.</w:t>
      </w:r>
    </w:p>
    <w:p>
      <w:pPr>
        <w:pStyle w:val="nHeading3"/>
      </w:pPr>
      <w:bookmarkStart w:id="72" w:name="_Toc377108681"/>
      <w:bookmarkStart w:id="73" w:name="_Toc423506951"/>
      <w:r>
        <w:t>Compilation table</w:t>
      </w:r>
      <w:bookmarkEnd w:id="72"/>
      <w:bookmarkEnd w:id="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Petroleum and Geothermal Energy Safety Levies Regulations 2011</w:t>
            </w:r>
          </w:p>
        </w:tc>
        <w:tc>
          <w:tcPr>
            <w:tcW w:w="1276" w:type="dxa"/>
            <w:tcBorders>
              <w:bottom w:val="nil"/>
            </w:tcBorders>
          </w:tcPr>
          <w:p>
            <w:pPr>
              <w:pStyle w:val="nTable"/>
              <w:spacing w:after="40"/>
            </w:pPr>
            <w:r>
              <w:t>30 Dec 2011 p. 5515-34</w:t>
            </w:r>
          </w:p>
        </w:tc>
        <w:tc>
          <w:tcPr>
            <w:tcW w:w="2693" w:type="dxa"/>
            <w:tcBorders>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5573)</w:t>
            </w:r>
          </w:p>
        </w:tc>
      </w:tr>
      <w:tr>
        <w:tc>
          <w:tcPr>
            <w:tcW w:w="3118" w:type="dxa"/>
            <w:tcBorders>
              <w:top w:val="nil"/>
              <w:bottom w:val="nil"/>
              <w:right w:val="nil"/>
            </w:tcBorders>
          </w:tcPr>
          <w:p>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pPr>
              <w:pStyle w:val="nTable"/>
              <w:spacing w:after="40"/>
            </w:pPr>
            <w:r>
              <w:t>28 Sep 2012 p. 4655</w:t>
            </w:r>
            <w:r>
              <w:noBreakHyphen/>
              <w:t>8</w:t>
            </w:r>
          </w:p>
        </w:tc>
        <w:tc>
          <w:tcPr>
            <w:tcW w:w="2693" w:type="dxa"/>
            <w:tcBorders>
              <w:top w:val="nil"/>
              <w:left w:val="nil"/>
              <w:bottom w:val="nil"/>
            </w:tcBorders>
          </w:tcPr>
          <w:p>
            <w:pPr>
              <w:pStyle w:val="nTable"/>
              <w:spacing w:after="40"/>
            </w:pPr>
            <w:r>
              <w:t>r. 1 and 2: 28 Sep 2012 (see r. 2(a));</w:t>
            </w:r>
            <w:r>
              <w:br/>
              <w:t xml:space="preserve">Regulations other than r. 1 and 2: 1 Oct 2012 (see r. 2(b) and </w:t>
            </w:r>
            <w:r>
              <w:rPr>
                <w:i/>
              </w:rPr>
              <w:t>Gazette</w:t>
            </w:r>
            <w:r>
              <w:t xml:space="preserve"> 28 Sep 2012 p. 4647)</w:t>
            </w:r>
          </w:p>
        </w:tc>
      </w:tr>
      <w:tr>
        <w:tc>
          <w:tcPr>
            <w:tcW w:w="3118" w:type="dxa"/>
            <w:tcBorders>
              <w:top w:val="nil"/>
              <w:bottom w:val="nil"/>
              <w:right w:val="nil"/>
            </w:tcBorders>
          </w:tcPr>
          <w:p>
            <w:pPr>
              <w:pStyle w:val="nTable"/>
              <w:spacing w:after="40"/>
              <w:rPr>
                <w:i/>
              </w:rPr>
            </w:pPr>
            <w:r>
              <w:rPr>
                <w:i/>
              </w:rPr>
              <w:t>Petroleum and Geothermal Energy Safety Levies Amendment Regulations 2013</w:t>
            </w:r>
          </w:p>
        </w:tc>
        <w:tc>
          <w:tcPr>
            <w:tcW w:w="1276" w:type="dxa"/>
            <w:tcBorders>
              <w:top w:val="nil"/>
              <w:left w:val="nil"/>
              <w:bottom w:val="nil"/>
              <w:right w:val="nil"/>
            </w:tcBorders>
          </w:tcPr>
          <w:p>
            <w:pPr>
              <w:pStyle w:val="nTable"/>
              <w:spacing w:after="40"/>
            </w:pPr>
            <w:r>
              <w:t>28 Jun 2013 p. 2829</w:t>
            </w:r>
          </w:p>
        </w:tc>
        <w:tc>
          <w:tcPr>
            <w:tcW w:w="2693" w:type="dxa"/>
            <w:tcBorders>
              <w:top w:val="nil"/>
              <w:left w:val="nil"/>
              <w:bottom w:val="nil"/>
            </w:tcBorders>
          </w:tcPr>
          <w:p>
            <w:pPr>
              <w:pStyle w:val="nTable"/>
              <w:spacing w:after="40"/>
            </w:pPr>
            <w:r>
              <w:t>r. 1 and 2: 28 Jun 2013 (see r. 2(a));</w:t>
            </w:r>
            <w:r>
              <w:br/>
              <w:t>Regulations other than r. 1 and 2: 1 Jul 2013 (see r. 2(b))</w:t>
            </w:r>
          </w:p>
        </w:tc>
      </w:tr>
      <w:tr>
        <w:tc>
          <w:tcPr>
            <w:tcW w:w="3118" w:type="dxa"/>
            <w:tcBorders>
              <w:top w:val="nil"/>
              <w:bottom w:val="single" w:sz="4" w:space="0" w:color="auto"/>
              <w:right w:val="nil"/>
            </w:tcBorders>
          </w:tcPr>
          <w:p>
            <w:pPr>
              <w:pStyle w:val="nTable"/>
              <w:spacing w:after="40"/>
              <w:rPr>
                <w:i/>
              </w:rPr>
            </w:pPr>
            <w:r>
              <w:rPr>
                <w:i/>
              </w:rPr>
              <w:t>Petroleum and Geothermal Energy Safety Levies Amendment Regulations 2015</w:t>
            </w:r>
          </w:p>
        </w:tc>
        <w:tc>
          <w:tcPr>
            <w:tcW w:w="1276" w:type="dxa"/>
            <w:tcBorders>
              <w:top w:val="nil"/>
              <w:left w:val="nil"/>
              <w:bottom w:val="single" w:sz="4" w:space="0" w:color="auto"/>
              <w:right w:val="nil"/>
            </w:tcBorders>
          </w:tcPr>
          <w:p>
            <w:pPr>
              <w:pStyle w:val="nTable"/>
              <w:spacing w:after="40"/>
            </w:pPr>
            <w:r>
              <w:t>26 Jun 2015 p. 2260</w:t>
            </w:r>
            <w:r>
              <w:noBreakHyphen/>
              <w:t>1</w:t>
            </w:r>
          </w:p>
        </w:tc>
        <w:tc>
          <w:tcPr>
            <w:tcW w:w="2693" w:type="dxa"/>
            <w:tcBorders>
              <w:top w:val="nil"/>
              <w:left w:val="nil"/>
              <w:bottom w:val="single" w:sz="4" w:space="0" w:color="auto"/>
            </w:tcBorders>
          </w:tcPr>
          <w:p>
            <w:pPr>
              <w:pStyle w:val="nTable"/>
              <w:spacing w:after="40"/>
            </w:pPr>
            <w:r>
              <w:t>r. 1 and 2: 26 Jun 2015 (see r. 2(a));</w:t>
            </w:r>
            <w:r>
              <w:br/>
              <w:t>Regulations other than r. 1 and 2: 1 Jul 2015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75" w:name="_Toc423506952"/>
      <w:r>
        <w:rPr>
          <w:sz w:val="28"/>
        </w:rPr>
        <w:t>Defined terms</w:t>
      </w:r>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class</w:t>
      </w:r>
      <w:r>
        <w:tab/>
        <w:t>3</w:t>
      </w:r>
    </w:p>
    <w:p>
      <w:pPr>
        <w:pStyle w:val="DefinedTerms"/>
      </w:pPr>
      <w:r>
        <w:t>classification</w:t>
      </w:r>
      <w:r>
        <w:tab/>
        <w:t>3</w:t>
      </w:r>
    </w:p>
    <w:p>
      <w:pPr>
        <w:pStyle w:val="DefinedTerms"/>
      </w:pPr>
      <w:r>
        <w:t>complexity rating</w:t>
      </w:r>
      <w:r>
        <w:tab/>
        <w:t>3</w:t>
      </w:r>
    </w:p>
    <w:p>
      <w:pPr>
        <w:pStyle w:val="DefinedTerms"/>
      </w:pPr>
      <w:r>
        <w:t>facility safety case</w:t>
      </w:r>
      <w:r>
        <w:tab/>
        <w:t>3</w:t>
      </w:r>
    </w:p>
    <w:p>
      <w:pPr>
        <w:pStyle w:val="DefinedTerms"/>
      </w:pPr>
      <w:r>
        <w:t>levy amount</w:t>
      </w:r>
      <w:r>
        <w:tab/>
        <w:t>3</w:t>
      </w:r>
    </w:p>
    <w:p>
      <w:pPr>
        <w:pStyle w:val="DefinedTerms"/>
      </w:pPr>
      <w:r>
        <w:t>notice</w:t>
      </w:r>
      <w:r>
        <w:tab/>
        <w:t>19(1)</w:t>
      </w:r>
    </w:p>
    <w:p>
      <w:pPr>
        <w:pStyle w:val="DefinedTerms"/>
      </w:pPr>
      <w:r>
        <w:t>operation</w:t>
      </w:r>
      <w:r>
        <w:tab/>
        <w:t>3</w:t>
      </w:r>
    </w:p>
    <w:p>
      <w:pPr>
        <w:pStyle w:val="DefinedTerms"/>
      </w:pPr>
      <w:r>
        <w:t>original assessment</w:t>
      </w:r>
      <w:r>
        <w:tab/>
        <w:t>3, 9(1)</w:t>
      </w:r>
    </w:p>
    <w:p>
      <w:pPr>
        <w:pStyle w:val="DefinedTerms"/>
      </w:pPr>
      <w:r>
        <w:t>other protected persons</w:t>
      </w:r>
      <w:r>
        <w:tab/>
        <w:t>7(1)</w:t>
      </w:r>
    </w:p>
    <w:p>
      <w:pPr>
        <w:pStyle w:val="DefinedTerms"/>
      </w:pPr>
      <w:r>
        <w:t>relevant period</w:t>
      </w:r>
      <w:r>
        <w:tab/>
        <w:t>7(1)</w:t>
      </w:r>
    </w:p>
    <w:p>
      <w:pPr>
        <w:pStyle w:val="DefinedTerms"/>
      </w:pPr>
      <w:r>
        <w:t>safety system</w:t>
      </w:r>
      <w:r>
        <w:tab/>
        <w:t>3</w:t>
      </w:r>
    </w:p>
    <w:p>
      <w:pPr>
        <w:pStyle w:val="DefinedTerms"/>
      </w:pPr>
      <w:r>
        <w:t>section</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 w:name="Schedule"/>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323"/>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109113918" w:val="UpdateStyles,UsedStyles"/>
    <w:docVar w:name="WAFER_20151109113918_GUID" w:val="6be5858e-705b-4041-957b-65a534ac29b2"/>
    <w:docVar w:name="WAFER_20151201103323" w:val="RemoveTrackChanges"/>
    <w:docVar w:name="WAFER_20151201103323_GUID" w:val="ddc1abf6-9396-4e8f-800f-1fd90be363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3530</Words>
  <Characters>16768</Characters>
  <Application>Microsoft Office Word</Application>
  <DocSecurity>0</DocSecurity>
  <Lines>558</Lines>
  <Paragraphs>382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2011 - 00-d0-03</dc:title>
  <dc:subject/>
  <dc:creator/>
  <cp:keywords/>
  <dc:description/>
  <cp:lastModifiedBy>svcMRProcess</cp:lastModifiedBy>
  <cp:revision>4</cp:revision>
  <cp:lastPrinted>2011-12-07T01:54:00Z</cp:lastPrinted>
  <dcterms:created xsi:type="dcterms:W3CDTF">2020-02-25T08:07:00Z</dcterms:created>
  <dcterms:modified xsi:type="dcterms:W3CDTF">2020-02-25T08:07:00Z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2011 p 5515-34</vt:lpwstr>
  </property>
  <property fmtid="{D5CDD505-2E9C-101B-9397-08002B2CF9AE}" pid="3" name="DocumentType">
    <vt:lpwstr>Reg</vt:lpwstr>
  </property>
  <property fmtid="{D5CDD505-2E9C-101B-9397-08002B2CF9AE}" pid="4" name="CommencementDate">
    <vt:lpwstr>20150701</vt:lpwstr>
  </property>
  <property fmtid="{D5CDD505-2E9C-101B-9397-08002B2CF9AE}" pid="5" name="AsAtDate">
    <vt:lpwstr>01 Jul 2015</vt:lpwstr>
  </property>
  <property fmtid="{D5CDD505-2E9C-101B-9397-08002B2CF9AE}" pid="6" name="Suffix">
    <vt:lpwstr>00-d0-03</vt:lpwstr>
  </property>
</Properties>
</file>