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_Toc423517387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_Toc423517388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_Toc423517389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_Toc423517391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_Toc423517392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_Toc423517393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_Toc423517394 \h </w:instrText>
      </w:r>
      <w:r>
        <w:fldChar w:fldCharType="separate"/>
      </w:r>
      <w:r>
        <w:t>3</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_Toc423517395 \h </w:instrText>
      </w:r>
      <w:r>
        <w:fldChar w:fldCharType="separate"/>
      </w:r>
      <w:r>
        <w:t>4</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_Toc423517396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w:t>
      </w:r>
      <w:r>
        <w:tab/>
      </w:r>
      <w:r>
        <w:fldChar w:fldCharType="begin"/>
      </w:r>
      <w:r>
        <w:instrText xml:space="preserve"> PAGEREF _Toc423517398 \h </w:instrText>
      </w:r>
      <w:r>
        <w:fldChar w:fldCharType="separate"/>
      </w:r>
      <w:r>
        <w:t>5</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_Toc423517399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_Toc423517401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22122856"/>
      <w:bookmarkStart w:id="4" w:name="_Toc422141873"/>
      <w:bookmarkStart w:id="5" w:name="_Toc423516905"/>
      <w:bookmarkStart w:id="6" w:name="_Toc4235173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23517387"/>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423517388"/>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0" w:name="_Toc423517389"/>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1" w:name="_Toc422122860"/>
      <w:bookmarkStart w:id="12" w:name="_Toc422141877"/>
      <w:bookmarkStart w:id="13" w:name="_Toc423516909"/>
      <w:bookmarkStart w:id="14" w:name="_Toc423517390"/>
      <w:r>
        <w:rPr>
          <w:rStyle w:val="CharPartNo"/>
        </w:rPr>
        <w:t>Part 2</w:t>
      </w:r>
      <w:r>
        <w:rPr>
          <w:rStyle w:val="CharDivNo"/>
        </w:rPr>
        <w:t> </w:t>
      </w:r>
      <w:r>
        <w:t>—</w:t>
      </w:r>
      <w:r>
        <w:rPr>
          <w:rStyle w:val="CharDivText"/>
        </w:rPr>
        <w:t> </w:t>
      </w:r>
      <w:r>
        <w:rPr>
          <w:rStyle w:val="CharPartText"/>
        </w:rPr>
        <w:t>Western Australian Photo Card</w:t>
      </w:r>
      <w:bookmarkEnd w:id="11"/>
      <w:bookmarkEnd w:id="12"/>
      <w:bookmarkEnd w:id="13"/>
      <w:bookmarkEnd w:id="14"/>
    </w:p>
    <w:p>
      <w:pPr>
        <w:pStyle w:val="Heading5"/>
      </w:pPr>
      <w:bookmarkStart w:id="15" w:name="_Toc423517391"/>
      <w:r>
        <w:rPr>
          <w:rStyle w:val="CharSectno"/>
        </w:rPr>
        <w:t>4</w:t>
      </w:r>
      <w:r>
        <w:t>.</w:t>
      </w:r>
      <w:r>
        <w:tab/>
        <w:t>Replacement photo cards</w:t>
      </w:r>
      <w:bookmarkEnd w:id="1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6" w:name="_Toc423517392"/>
      <w:r>
        <w:rPr>
          <w:rStyle w:val="CharSectno"/>
        </w:rPr>
        <w:t>5</w:t>
      </w:r>
      <w:r>
        <w:t>.</w:t>
      </w:r>
      <w:r>
        <w:tab/>
        <w:t>Additional photo cards</w:t>
      </w:r>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423517393"/>
      <w:r>
        <w:rPr>
          <w:rStyle w:val="CharSectno"/>
        </w:rPr>
        <w:t>6</w:t>
      </w:r>
      <w:r>
        <w:t>.</w:t>
      </w:r>
      <w:r>
        <w:tab/>
        <w:t>Duration of photo card</w:t>
      </w:r>
      <w:bookmarkEnd w:id="17"/>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8" w:name="_Toc423517394"/>
      <w:r>
        <w:rPr>
          <w:rStyle w:val="CharSectno"/>
        </w:rPr>
        <w:t>7</w:t>
      </w:r>
      <w:r>
        <w:t>.</w:t>
      </w:r>
      <w:r>
        <w:tab/>
        <w:t>Fees under s. 5(3)(c)</w:t>
      </w:r>
      <w:bookmarkEnd w:id="18"/>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$41.50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$36.00</w:t>
            </w:r>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$36.00</w:t>
            </w:r>
          </w:p>
        </w:tc>
      </w:tr>
    </w:tbl>
    <w:p>
      <w:pPr>
        <w:pStyle w:val="Footnotesection"/>
        <w:spacing w:before="100"/>
        <w:ind w:left="890" w:hanging="890"/>
        <w:rPr>
          <w:rStyle w:val="CharSectno"/>
          <w:b/>
        </w:rPr>
      </w:pPr>
      <w:r>
        <w:tab/>
        <w:t>[Regulation 7 amended in Gazette 12 Jun 2015 p. 2041.]</w:t>
      </w:r>
    </w:p>
    <w:p>
      <w:pPr>
        <w:pStyle w:val="Heading5"/>
      </w:pPr>
      <w:bookmarkStart w:id="19" w:name="_Toc423517395"/>
      <w:r>
        <w:rPr>
          <w:rStyle w:val="CharSectno"/>
        </w:rPr>
        <w:t>8</w:t>
      </w:r>
      <w:r>
        <w:t>.</w:t>
      </w:r>
      <w:r>
        <w:tab/>
        <w:t>Stolen, lost or destroyed photo cards</w:t>
      </w:r>
      <w:bookmarkEnd w:id="19"/>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0" w:name="_Toc423517396"/>
      <w:r>
        <w:rPr>
          <w:rStyle w:val="CharSectno"/>
        </w:rPr>
        <w:t>9</w:t>
      </w:r>
      <w:r>
        <w:t>.</w:t>
      </w:r>
      <w:r>
        <w:tab/>
        <w:t>Change of cardholder’s address</w:t>
      </w:r>
      <w:bookmarkEnd w:id="20"/>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1" w:name="_Toc422122867"/>
      <w:bookmarkStart w:id="22" w:name="_Toc422141884"/>
      <w:bookmarkStart w:id="23" w:name="_Toc423516916"/>
      <w:bookmarkStart w:id="24" w:name="_Toc423517397"/>
      <w:r>
        <w:rPr>
          <w:rStyle w:val="CharPartNo"/>
        </w:rPr>
        <w:t>Part 3</w:t>
      </w:r>
      <w:r>
        <w:rPr>
          <w:rStyle w:val="CharDivNo"/>
        </w:rPr>
        <w:t> </w:t>
      </w:r>
      <w:r>
        <w:t>—</w:t>
      </w:r>
      <w:r>
        <w:rPr>
          <w:rStyle w:val="CharDivText"/>
        </w:rPr>
        <w:t> </w:t>
      </w:r>
      <w:r>
        <w:rPr>
          <w:rStyle w:val="CharPartText"/>
        </w:rPr>
        <w:t>Information management</w:t>
      </w:r>
      <w:bookmarkEnd w:id="21"/>
      <w:bookmarkEnd w:id="22"/>
      <w:bookmarkEnd w:id="23"/>
      <w:bookmarkEnd w:id="24"/>
    </w:p>
    <w:p>
      <w:pPr>
        <w:pStyle w:val="Heading5"/>
      </w:pPr>
      <w:bookmarkStart w:id="25" w:name="_Toc423517398"/>
      <w:r>
        <w:rPr>
          <w:rStyle w:val="CharSectno"/>
        </w:rPr>
        <w:t>10</w:t>
      </w:r>
      <w:r>
        <w:t>.</w:t>
      </w:r>
      <w:r>
        <w:tab/>
        <w:t>Disclosure of photo card information</w:t>
      </w:r>
      <w:bookmarkEnd w:id="25"/>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10 amended in Gazette 26 Jun 2015 p. 2276.]</w:t>
      </w:r>
    </w:p>
    <w:p>
      <w:pPr>
        <w:pStyle w:val="Heading5"/>
      </w:pPr>
      <w:bookmarkStart w:id="26" w:name="_Toc423517399"/>
      <w:r>
        <w:rPr>
          <w:rStyle w:val="CharSectno"/>
        </w:rPr>
        <w:t>11</w:t>
      </w:r>
      <w:r>
        <w:t>.</w:t>
      </w:r>
      <w:r>
        <w:tab/>
        <w:t>Disclosure of photographs</w:t>
      </w:r>
      <w:bookmarkEnd w:id="26"/>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7" w:name="_Toc422122870"/>
      <w:bookmarkStart w:id="28" w:name="_Toc422141887"/>
      <w:bookmarkStart w:id="29" w:name="_Toc423516919"/>
      <w:bookmarkStart w:id="30" w:name="_Toc423517400"/>
      <w:r>
        <w:t>Notes</w:t>
      </w:r>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xml:space="preserve">.  The following table contains information about those regulations. </w:t>
      </w:r>
    </w:p>
    <w:p>
      <w:pPr>
        <w:pStyle w:val="nHeading3"/>
      </w:pPr>
      <w:bookmarkStart w:id="31" w:name="_Toc423517401"/>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single" w:sz="4" w:space="0" w:color="auto"/>
            </w:tcBorders>
          </w:tcPr>
          <w:p>
            <w:pPr>
              <w:pStyle w:val="nTable"/>
              <w:spacing w:after="40"/>
              <w:rPr>
                <w:i/>
                <w:noProof/>
                <w:snapToGrid w:val="0"/>
              </w:rPr>
            </w:pPr>
            <w:r>
              <w:rPr>
                <w:i/>
              </w:rPr>
              <w:t>Western Australian Photo Card Amendment Regulations 2015</w:t>
            </w:r>
          </w:p>
        </w:tc>
        <w:tc>
          <w:tcPr>
            <w:tcW w:w="1276" w:type="dxa"/>
            <w:tcBorders>
              <w:top w:val="nil"/>
              <w:bottom w:val="single" w:sz="4" w:space="0" w:color="auto"/>
            </w:tcBorders>
          </w:tcPr>
          <w:p>
            <w:pPr>
              <w:pStyle w:val="nTable"/>
              <w:spacing w:after="40"/>
            </w:pPr>
            <w:r>
              <w:t>26 Jun 2015 p. 2276</w:t>
            </w:r>
          </w:p>
        </w:tc>
        <w:tc>
          <w:tcPr>
            <w:tcW w:w="2693" w:type="dxa"/>
            <w:tcBorders>
              <w:top w:val="nil"/>
              <w:bottom w:val="single" w:sz="4" w:space="0" w:color="auto"/>
            </w:tcBorders>
          </w:tcPr>
          <w:p>
            <w:pPr>
              <w:pStyle w:val="nTable"/>
              <w:spacing w:after="40"/>
            </w:pPr>
            <w:r>
              <w:t>r. 1 and 2: 26 Jun 2015 (see r. 2(a));</w:t>
            </w:r>
            <w:r>
              <w:br/>
              <w:t>Regulations other than r. 1 and 2: 1 Jul 2015 (see r. 2(b)(ii) and Gazette 26 Jun 2015 p. 2235)</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3" w:name="_Toc422141890"/>
      <w:bookmarkStart w:id="34" w:name="_Toc423516921"/>
      <w:bookmarkStart w:id="35" w:name="_Toc423517402"/>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1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9FBB-2959-4509-A860-FF01BEB9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1477</Words>
  <Characters>7196</Characters>
  <Application>Microsoft Office Word</Application>
  <DocSecurity>0</DocSecurity>
  <Lines>257</Lines>
  <Paragraphs>170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2014 - 00-c0-01</dc:title>
  <dc:subject/>
  <dc:creator/>
  <cp:keywords/>
  <dc:description/>
  <cp:lastModifiedBy>svcMRProcess</cp:lastModifiedBy>
  <cp:revision>4</cp:revision>
  <cp:lastPrinted>2014-05-14T09:06:00Z</cp:lastPrinted>
  <dcterms:created xsi:type="dcterms:W3CDTF">2015-11-12T04:33:00Z</dcterms:created>
  <dcterms:modified xsi:type="dcterms:W3CDTF">2015-11-12T04:33:00Z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AsAtDate">
    <vt:lpwstr>01 Jul 2015</vt:lpwstr>
  </property>
  <property fmtid="{D5CDD505-2E9C-101B-9397-08002B2CF9AE}" pid="4" name="Suffix">
    <vt:lpwstr>00-c0-01</vt:lpwstr>
  </property>
  <property fmtid="{D5CDD505-2E9C-101B-9397-08002B2CF9AE}" pid="5" name="DocumentType">
    <vt:lpwstr>Reg</vt:lpwstr>
  </property>
  <property fmtid="{D5CDD505-2E9C-101B-9397-08002B2CF9AE}" pid="6" name="CommencementDate">
    <vt:lpwstr>20150701</vt:lpwstr>
  </property>
</Properties>
</file>