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Jetties Act 1926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Jetties Regulations 1940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Jetties Regulations 1940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_Toc425337928 \h </w:instrText>
      </w:r>
      <w:r>
        <w:fldChar w:fldCharType="separate"/>
      </w:r>
      <w:r>
        <w:t>1</w:t>
      </w:r>
      <w:r>
        <w:fldChar w:fldCharType="end"/>
      </w:r>
    </w:p>
    <w:p>
      <w:pPr>
        <w:pStyle w:val="TOC8"/>
        <w:rPr>
          <w:rFonts w:asciiTheme="minorHAnsi" w:eastAsiaTheme="minorEastAsia" w:hAnsiTheme="minorHAnsi" w:cstheme="minorBidi"/>
          <w:szCs w:val="22"/>
        </w:rPr>
      </w:pPr>
      <w:r>
        <w:t>2.</w:t>
      </w:r>
      <w:r>
        <w:tab/>
        <w:t>Liability for dues and charges</w:t>
      </w:r>
      <w:r>
        <w:tab/>
      </w:r>
      <w:r>
        <w:fldChar w:fldCharType="begin"/>
      </w:r>
      <w:r>
        <w:instrText xml:space="preserve"> PAGEREF _Toc425337929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_Toc425337930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 — Regulations applying to jetties controlled by the Department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3A</w:t>
      </w:r>
      <w:r>
        <w:rPr>
          <w:snapToGrid w:val="0"/>
        </w:rPr>
        <w:t>.</w:t>
      </w:r>
      <w:r>
        <w:rPr>
          <w:snapToGrid w:val="0"/>
        </w:rPr>
        <w:tab/>
        <w:t>Application</w:t>
      </w:r>
      <w:r>
        <w:tab/>
      </w:r>
      <w:r>
        <w:fldChar w:fldCharType="begin"/>
      </w:r>
      <w:r>
        <w:instrText xml:space="preserve"> PAGEREF _Toc425337933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Arrival and movement of vessels</w:t>
      </w:r>
    </w:p>
    <w:p>
      <w:pPr>
        <w:pStyle w:val="TOC8"/>
        <w:rPr>
          <w:rFonts w:asciiTheme="minorHAnsi" w:eastAsiaTheme="minorEastAsia" w:hAnsiTheme="minorHAnsi" w:cstheme="minorBidi"/>
          <w:szCs w:val="22"/>
        </w:rPr>
      </w:pPr>
      <w:r>
        <w:t>4</w:t>
      </w:r>
      <w:r>
        <w:rPr>
          <w:snapToGrid w:val="0"/>
        </w:rPr>
        <w:t>.</w:t>
      </w:r>
      <w:r>
        <w:rPr>
          <w:snapToGrid w:val="0"/>
        </w:rPr>
        <w:tab/>
        <w:t>Master or agent to report arrival</w:t>
      </w:r>
      <w:r>
        <w:tab/>
      </w:r>
      <w:r>
        <w:fldChar w:fldCharType="begin"/>
      </w:r>
      <w:r>
        <w:instrText xml:space="preserve"> PAGEREF _Toc425337935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Vessels to change berths</w:t>
      </w:r>
      <w:r>
        <w:tab/>
      </w:r>
      <w:r>
        <w:fldChar w:fldCharType="begin"/>
      </w:r>
      <w:r>
        <w:instrText xml:space="preserve"> PAGEREF _Toc425337936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Berthing dues</w:t>
      </w:r>
    </w:p>
    <w:p>
      <w:pPr>
        <w:pStyle w:val="TOC8"/>
        <w:rPr>
          <w:rFonts w:asciiTheme="minorHAnsi" w:eastAsiaTheme="minorEastAsia" w:hAnsiTheme="minorHAnsi" w:cstheme="minorBidi"/>
          <w:szCs w:val="22"/>
        </w:rPr>
      </w:pPr>
      <w:r>
        <w:t>6.</w:t>
      </w:r>
      <w:r>
        <w:tab/>
        <w:t>Berthing dues</w:t>
      </w:r>
      <w:r>
        <w:tab/>
      </w:r>
      <w:r>
        <w:fldChar w:fldCharType="begin"/>
      </w:r>
      <w:r>
        <w:instrText xml:space="preserve"> PAGEREF _Toc425337938 \h </w:instrText>
      </w:r>
      <w:r>
        <w:fldChar w:fldCharType="separate"/>
      </w:r>
      <w:r>
        <w:t>6</w:t>
      </w:r>
      <w:r>
        <w:fldChar w:fldCharType="end"/>
      </w:r>
    </w:p>
    <w:p>
      <w:pPr>
        <w:pStyle w:val="TOC8"/>
        <w:rPr>
          <w:rFonts w:asciiTheme="minorHAnsi" w:eastAsiaTheme="minorEastAsia" w:hAnsiTheme="minorHAnsi" w:cstheme="minorBidi"/>
          <w:szCs w:val="22"/>
        </w:rPr>
      </w:pPr>
      <w:r>
        <w:t>6A.</w:t>
      </w:r>
      <w:r>
        <w:tab/>
        <w:t>Requirement to pay berthing dues</w:t>
      </w:r>
      <w:r>
        <w:tab/>
      </w:r>
      <w:r>
        <w:fldChar w:fldCharType="begin"/>
      </w:r>
      <w:r>
        <w:instrText xml:space="preserve"> PAGEREF _Toc425337939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Computation of berthing dues</w:t>
      </w:r>
      <w:r>
        <w:tab/>
      </w:r>
      <w:r>
        <w:fldChar w:fldCharType="begin"/>
      </w:r>
      <w:r>
        <w:instrText xml:space="preserve"> PAGEREF _Toc425337940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Inwards manifests</w:t>
      </w:r>
      <w:r>
        <w:tab/>
      </w:r>
      <w:r>
        <w:fldChar w:fldCharType="begin"/>
      </w:r>
      <w:r>
        <w:instrText xml:space="preserve"> PAGEREF _Toc425337941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Outwards manifests</w:t>
      </w:r>
      <w:r>
        <w:tab/>
      </w:r>
      <w:r>
        <w:fldChar w:fldCharType="begin"/>
      </w:r>
      <w:r>
        <w:instrText xml:space="preserve"> PAGEREF _Toc425337942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Wharfage dues, handling and haulage charges</w:t>
      </w:r>
    </w:p>
    <w:p>
      <w:pPr>
        <w:pStyle w:val="TOC8"/>
        <w:rPr>
          <w:rFonts w:asciiTheme="minorHAnsi" w:eastAsiaTheme="minorEastAsia" w:hAnsiTheme="minorHAnsi" w:cstheme="minorBidi"/>
          <w:szCs w:val="22"/>
        </w:rPr>
      </w:pPr>
      <w:r>
        <w:t>10A</w:t>
      </w:r>
      <w:r>
        <w:rPr>
          <w:snapToGrid w:val="0"/>
        </w:rPr>
        <w:t>.</w:t>
      </w:r>
      <w:r>
        <w:rPr>
          <w:snapToGrid w:val="0"/>
        </w:rPr>
        <w:tab/>
        <w:t>Payment of dues and charges</w:t>
      </w:r>
      <w:r>
        <w:tab/>
      </w:r>
      <w:r>
        <w:fldChar w:fldCharType="begin"/>
      </w:r>
      <w:r>
        <w:instrText xml:space="preserve"> PAGEREF _Toc425337944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Charges for transhipment cargo</w:t>
      </w:r>
      <w:r>
        <w:tab/>
      </w:r>
      <w:r>
        <w:fldChar w:fldCharType="begin"/>
      </w:r>
      <w:r>
        <w:instrText xml:space="preserve"> PAGEREF _Toc425337945 \h </w:instrText>
      </w:r>
      <w:r>
        <w:fldChar w:fldCharType="separate"/>
      </w:r>
      <w:r>
        <w:t>8</w:t>
      </w:r>
      <w:r>
        <w:fldChar w:fldCharType="end"/>
      </w:r>
    </w:p>
    <w:p>
      <w:pPr>
        <w:pStyle w:val="TOC8"/>
        <w:rPr>
          <w:rFonts w:asciiTheme="minorHAnsi" w:eastAsiaTheme="minorEastAsia" w:hAnsiTheme="minorHAnsi" w:cstheme="minorBidi"/>
          <w:szCs w:val="22"/>
        </w:rPr>
      </w:pPr>
      <w:r>
        <w:t>11B</w:t>
      </w:r>
      <w:r>
        <w:rPr>
          <w:snapToGrid w:val="0"/>
        </w:rPr>
        <w:t>.</w:t>
      </w:r>
      <w:r>
        <w:rPr>
          <w:snapToGrid w:val="0"/>
        </w:rPr>
        <w:tab/>
        <w:t>Charges on vessels’ stores, including fuel oil</w:t>
      </w:r>
      <w:r>
        <w:tab/>
      </w:r>
      <w:r>
        <w:fldChar w:fldCharType="begin"/>
      </w:r>
      <w:r>
        <w:instrText xml:space="preserve"> PAGEREF _Toc425337946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Charges to be paid before delivery of cargo</w:t>
      </w:r>
      <w:r>
        <w:tab/>
      </w:r>
      <w:r>
        <w:fldChar w:fldCharType="begin"/>
      </w:r>
      <w:r>
        <w:instrText xml:space="preserve"> PAGEREF _Toc425337947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Extra charges</w:t>
      </w:r>
      <w:r>
        <w:tab/>
      </w:r>
      <w:r>
        <w:fldChar w:fldCharType="begin"/>
      </w:r>
      <w:r>
        <w:instrText xml:space="preserve"> PAGEREF _Toc425337948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Handling of cargo</w:t>
      </w:r>
    </w:p>
    <w:p>
      <w:pPr>
        <w:pStyle w:val="TOC8"/>
        <w:rPr>
          <w:rFonts w:asciiTheme="minorHAnsi" w:eastAsiaTheme="minorEastAsia" w:hAnsiTheme="minorHAnsi" w:cstheme="minorBidi"/>
          <w:szCs w:val="22"/>
        </w:rPr>
      </w:pPr>
      <w:r>
        <w:t>14</w:t>
      </w:r>
      <w:r>
        <w:rPr>
          <w:snapToGrid w:val="0"/>
        </w:rPr>
        <w:t>.</w:t>
      </w:r>
      <w:r>
        <w:rPr>
          <w:snapToGrid w:val="0"/>
        </w:rPr>
        <w:tab/>
        <w:t>Cargo not to be placed on jetties or premises without authority</w:t>
      </w:r>
      <w:r>
        <w:tab/>
      </w:r>
      <w:r>
        <w:fldChar w:fldCharType="begin"/>
      </w:r>
      <w:r>
        <w:instrText xml:space="preserve"> PAGEREF _Toc425337950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Discharging of cargo may be stopped</w:t>
      </w:r>
      <w:r>
        <w:tab/>
      </w:r>
      <w:r>
        <w:fldChar w:fldCharType="begin"/>
      </w:r>
      <w:r>
        <w:instrText xml:space="preserve"> PAGEREF _Toc425337951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Goods not to be shifted without authority</w:t>
      </w:r>
      <w:r>
        <w:tab/>
      </w:r>
      <w:r>
        <w:fldChar w:fldCharType="begin"/>
      </w:r>
      <w:r>
        <w:instrText xml:space="preserve"> PAGEREF _Toc425337952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Bulk cargo not to be deposited without authority</w:t>
      </w:r>
      <w:r>
        <w:tab/>
      </w:r>
      <w:r>
        <w:fldChar w:fldCharType="begin"/>
      </w:r>
      <w:r>
        <w:instrText xml:space="preserve"> PAGEREF _Toc425337953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Outward cargo advice notes</w:t>
      </w:r>
      <w:r>
        <w:tab/>
      </w:r>
      <w:r>
        <w:fldChar w:fldCharType="begin"/>
      </w:r>
      <w:r>
        <w:instrText xml:space="preserve"> PAGEREF _Toc425337954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Outward cargo</w:t>
      </w:r>
      <w:r>
        <w:tab/>
      </w:r>
      <w:r>
        <w:fldChar w:fldCharType="begin"/>
      </w:r>
      <w:r>
        <w:instrText xml:space="preserve"> PAGEREF _Toc425337955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Dangerous cargo not to be shipped without permission</w:t>
      </w:r>
      <w:r>
        <w:tab/>
      </w:r>
      <w:r>
        <w:fldChar w:fldCharType="begin"/>
      </w:r>
      <w:r>
        <w:instrText xml:space="preserve"> PAGEREF _Toc425337956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Dangerous cargo may be refused or examined</w:t>
      </w:r>
      <w:r>
        <w:tab/>
      </w:r>
      <w:r>
        <w:fldChar w:fldCharType="begin"/>
      </w:r>
      <w:r>
        <w:instrText xml:space="preserve"> PAGEREF _Toc425337957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Marking of heavy packages</w:t>
      </w:r>
      <w:r>
        <w:tab/>
      </w:r>
      <w:r>
        <w:fldChar w:fldCharType="begin"/>
      </w:r>
      <w:r>
        <w:instrText xml:space="preserve"> PAGEREF _Toc425337958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False statements</w:t>
      </w:r>
      <w:r>
        <w:tab/>
      </w:r>
      <w:r>
        <w:fldChar w:fldCharType="begin"/>
      </w:r>
      <w:r>
        <w:instrText xml:space="preserve"> PAGEREF _Toc425337959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Receipt, delivery and storage of cargo</w:t>
      </w:r>
    </w:p>
    <w:p>
      <w:pPr>
        <w:pStyle w:val="TOC8"/>
        <w:rPr>
          <w:rFonts w:asciiTheme="minorHAnsi" w:eastAsiaTheme="minorEastAsia" w:hAnsiTheme="minorHAnsi" w:cstheme="minorBidi"/>
          <w:szCs w:val="22"/>
        </w:rPr>
      </w:pPr>
      <w:r>
        <w:t>24</w:t>
      </w:r>
      <w:r>
        <w:rPr>
          <w:snapToGrid w:val="0"/>
        </w:rPr>
        <w:t>.</w:t>
      </w:r>
      <w:r>
        <w:rPr>
          <w:snapToGrid w:val="0"/>
        </w:rPr>
        <w:tab/>
        <w:t>Removal of cargo</w:t>
      </w:r>
      <w:r>
        <w:tab/>
      </w:r>
      <w:r>
        <w:fldChar w:fldCharType="begin"/>
      </w:r>
      <w:r>
        <w:instrText xml:space="preserve"> PAGEREF _Toc425337961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Storage charges</w:t>
      </w:r>
      <w:r>
        <w:tab/>
      </w:r>
      <w:r>
        <w:fldChar w:fldCharType="begin"/>
      </w:r>
      <w:r>
        <w:instrText xml:space="preserve"> PAGEREF _Toc425337962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Department not bound to find storage accommodation</w:t>
      </w:r>
      <w:r>
        <w:tab/>
      </w:r>
      <w:r>
        <w:fldChar w:fldCharType="begin"/>
      </w:r>
      <w:r>
        <w:instrText xml:space="preserve"> PAGEREF _Toc425337963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Goods may be disposed of</w:t>
      </w:r>
      <w:r>
        <w:tab/>
      </w:r>
      <w:r>
        <w:fldChar w:fldCharType="begin"/>
      </w:r>
      <w:r>
        <w:instrText xml:space="preserve"> PAGEREF _Toc425337964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Goods to be checked before delivery</w:t>
      </w:r>
      <w:r>
        <w:tab/>
      </w:r>
      <w:r>
        <w:fldChar w:fldCharType="begin"/>
      </w:r>
      <w:r>
        <w:instrText xml:space="preserve"> PAGEREF _Toc425337965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Delay in delivery</w:t>
      </w:r>
      <w:r>
        <w:tab/>
      </w:r>
      <w:r>
        <w:fldChar w:fldCharType="begin"/>
      </w:r>
      <w:r>
        <w:instrText xml:space="preserve"> PAGEREF _Toc425337966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Wrong delivery</w:t>
      </w:r>
      <w:r>
        <w:tab/>
      </w:r>
      <w:r>
        <w:fldChar w:fldCharType="begin"/>
      </w:r>
      <w:r>
        <w:instrText xml:space="preserve"> PAGEREF _Toc425337967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Responsibility of Department</w:t>
      </w:r>
    </w:p>
    <w:p>
      <w:pPr>
        <w:pStyle w:val="TOC8"/>
        <w:rPr>
          <w:rFonts w:asciiTheme="minorHAnsi" w:eastAsiaTheme="minorEastAsia" w:hAnsiTheme="minorHAnsi" w:cstheme="minorBidi"/>
          <w:szCs w:val="22"/>
        </w:rPr>
      </w:pPr>
      <w:r>
        <w:t>31</w:t>
      </w:r>
      <w:r>
        <w:rPr>
          <w:snapToGrid w:val="0"/>
        </w:rPr>
        <w:t>.</w:t>
      </w:r>
      <w:r>
        <w:rPr>
          <w:snapToGrid w:val="0"/>
        </w:rPr>
        <w:tab/>
        <w:t>Custody of cargo</w:t>
      </w:r>
      <w:r>
        <w:tab/>
      </w:r>
      <w:r>
        <w:fldChar w:fldCharType="begin"/>
      </w:r>
      <w:r>
        <w:instrText xml:space="preserve"> PAGEREF _Toc425337969 \h </w:instrText>
      </w:r>
      <w:r>
        <w:fldChar w:fldCharType="separate"/>
      </w:r>
      <w:r>
        <w:t>17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Goods without receipts</w:t>
      </w:r>
      <w:r>
        <w:tab/>
      </w:r>
      <w:r>
        <w:fldChar w:fldCharType="begin"/>
      </w:r>
      <w:r>
        <w:instrText xml:space="preserve"> PAGEREF _Toc425337970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Goods stacked on jetties</w:t>
      </w:r>
      <w:r>
        <w:tab/>
      </w:r>
      <w:r>
        <w:fldChar w:fldCharType="begin"/>
      </w:r>
      <w:r>
        <w:instrText xml:space="preserve"> PAGEREF _Toc425337971 \h </w:instrText>
      </w:r>
      <w:r>
        <w:fldChar w:fldCharType="separate"/>
      </w:r>
      <w:r>
        <w:t>18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Cargo damaged by fire etc.</w:t>
      </w:r>
      <w:r>
        <w:tab/>
      </w:r>
      <w:r>
        <w:fldChar w:fldCharType="begin"/>
      </w:r>
      <w:r>
        <w:instrText xml:space="preserve"> PAGEREF _Toc425337972 \h </w:instrText>
      </w:r>
      <w:r>
        <w:fldChar w:fldCharType="separate"/>
      </w:r>
      <w:r>
        <w:t>18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Goods insufficiently packed</w:t>
      </w:r>
      <w:r>
        <w:tab/>
      </w:r>
      <w:r>
        <w:fldChar w:fldCharType="begin"/>
      </w:r>
      <w:r>
        <w:instrText xml:space="preserve"> PAGEREF _Toc425337973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Claims in respect of cargo</w:t>
      </w:r>
      <w:r>
        <w:tab/>
      </w:r>
      <w:r>
        <w:fldChar w:fldCharType="begin"/>
      </w:r>
      <w:r>
        <w:instrText xml:space="preserve"> PAGEREF _Toc425337974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Working hours</w:t>
      </w:r>
    </w:p>
    <w:p>
      <w:pPr>
        <w:pStyle w:val="TOC8"/>
        <w:rPr>
          <w:rFonts w:asciiTheme="minorHAnsi" w:eastAsiaTheme="minorEastAsia" w:hAnsiTheme="minorHAnsi" w:cstheme="minorBidi"/>
          <w:szCs w:val="22"/>
        </w:rPr>
      </w:pPr>
      <w:r>
        <w:t>37</w:t>
      </w:r>
      <w:r>
        <w:rPr>
          <w:snapToGrid w:val="0"/>
        </w:rPr>
        <w:t>.</w:t>
      </w:r>
      <w:r>
        <w:rPr>
          <w:snapToGrid w:val="0"/>
        </w:rPr>
        <w:tab/>
        <w:t>Ordinary time</w:t>
      </w:r>
      <w:r>
        <w:tab/>
      </w:r>
      <w:r>
        <w:fldChar w:fldCharType="begin"/>
      </w:r>
      <w:r>
        <w:instrText xml:space="preserve"> PAGEREF _Toc425337976 \h </w:instrText>
      </w:r>
      <w:r>
        <w:fldChar w:fldCharType="separate"/>
      </w:r>
      <w:r>
        <w:t>19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Overtime</w:t>
      </w:r>
      <w:r>
        <w:tab/>
      </w:r>
      <w:r>
        <w:fldChar w:fldCharType="begin"/>
      </w:r>
      <w:r>
        <w:instrText xml:space="preserve"> PAGEREF _Toc425337977 \h </w:instrText>
      </w:r>
      <w:r>
        <w:fldChar w:fldCharType="separate"/>
      </w:r>
      <w:r>
        <w:t>19</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Wages incurred through ships’ delays to be paid for</w:t>
      </w:r>
      <w:r>
        <w:tab/>
      </w:r>
      <w:r>
        <w:fldChar w:fldCharType="begin"/>
      </w:r>
      <w:r>
        <w:instrText xml:space="preserve"> PAGEREF _Toc425337978 \h </w:instrText>
      </w:r>
      <w:r>
        <w:fldChar w:fldCharType="separate"/>
      </w:r>
      <w:r>
        <w:t>20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Master to give notice of desire to work</w:t>
      </w:r>
      <w:r>
        <w:tab/>
      </w:r>
      <w:r>
        <w:fldChar w:fldCharType="begin"/>
      </w:r>
      <w:r>
        <w:instrText xml:space="preserve"> PAGEREF _Toc425337979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Livestock or vehicles on jetties or premises</w:t>
      </w:r>
    </w:p>
    <w:p>
      <w:pPr>
        <w:pStyle w:val="TOC8"/>
        <w:rPr>
          <w:rFonts w:asciiTheme="minorHAnsi" w:eastAsiaTheme="minorEastAsia" w:hAnsiTheme="minorHAnsi" w:cstheme="minorBidi"/>
          <w:szCs w:val="22"/>
        </w:rPr>
      </w:pPr>
      <w:r>
        <w:t>40</w:t>
      </w:r>
      <w:r>
        <w:rPr>
          <w:snapToGrid w:val="0"/>
        </w:rPr>
        <w:t>.</w:t>
      </w:r>
      <w:r>
        <w:rPr>
          <w:snapToGrid w:val="0"/>
        </w:rPr>
        <w:tab/>
        <w:t>Livestock on jetties or premises</w:t>
      </w:r>
      <w:r>
        <w:tab/>
      </w:r>
      <w:r>
        <w:fldChar w:fldCharType="begin"/>
      </w:r>
      <w:r>
        <w:instrText xml:space="preserve"> PAGEREF _Toc425337981 \h </w:instrText>
      </w:r>
      <w:r>
        <w:fldChar w:fldCharType="separate"/>
      </w:r>
      <w:r>
        <w:t>20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Riding vehicles etc. on jetties or premises</w:t>
      </w:r>
      <w:r>
        <w:tab/>
      </w:r>
      <w:r>
        <w:fldChar w:fldCharType="begin"/>
      </w:r>
      <w:r>
        <w:instrText xml:space="preserve"> PAGEREF _Toc425337982 \h </w:instrText>
      </w:r>
      <w:r>
        <w:fldChar w:fldCharType="separate"/>
      </w:r>
      <w:r>
        <w:t>21</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Vehicles not to be parked on jetties</w:t>
      </w:r>
      <w:r>
        <w:tab/>
      </w:r>
      <w:r>
        <w:fldChar w:fldCharType="begin"/>
      </w:r>
      <w:r>
        <w:instrText xml:space="preserve"> PAGEREF _Toc425337983 \h </w:instrText>
      </w:r>
      <w:r>
        <w:fldChar w:fldCharType="separate"/>
      </w:r>
      <w:r>
        <w:t>21</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Department not responsible for vehicles on jetties</w:t>
      </w:r>
      <w:r>
        <w:tab/>
      </w:r>
      <w:r>
        <w:fldChar w:fldCharType="begin"/>
      </w:r>
      <w:r>
        <w:instrText xml:space="preserve"> PAGEREF _Toc425337984 \h </w:instrText>
      </w:r>
      <w:r>
        <w:fldChar w:fldCharType="separate"/>
      </w:r>
      <w:r>
        <w:t>21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Drivers of vehicles to obey instructions</w:t>
      </w:r>
      <w:r>
        <w:tab/>
      </w:r>
      <w:r>
        <w:fldChar w:fldCharType="begin"/>
      </w:r>
      <w:r>
        <w:instrText xml:space="preserve"> PAGEREF _Toc425337985 \h </w:instrText>
      </w:r>
      <w:r>
        <w:fldChar w:fldCharType="separate"/>
      </w:r>
      <w:r>
        <w:t>21</w:t>
      </w:r>
      <w:r>
        <w:fldChar w:fldCharType="end"/>
      </w:r>
    </w:p>
    <w:p>
      <w:pPr>
        <w:pStyle w:val="TOC8"/>
        <w:rPr>
          <w:rFonts w:asciiTheme="minorHAnsi" w:eastAsiaTheme="minorEastAsia" w:hAnsiTheme="minorHAnsi" w:cstheme="minorBidi"/>
          <w:szCs w:val="22"/>
        </w:rPr>
      </w:pPr>
      <w:r>
        <w:t>42A.</w:t>
      </w:r>
      <w:r>
        <w:tab/>
        <w:t>Charges for vehicular use of jetty</w:t>
      </w:r>
      <w:r>
        <w:tab/>
      </w:r>
      <w:r>
        <w:fldChar w:fldCharType="begin"/>
      </w:r>
      <w:r>
        <w:instrText xml:space="preserve"> PAGEREF _Toc425337986 \h </w:instrText>
      </w:r>
      <w:r>
        <w:fldChar w:fldCharType="separate"/>
      </w:r>
      <w:r>
        <w:t>22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Persons not to be on jetties when livestock is being handled</w:t>
      </w:r>
      <w:r>
        <w:tab/>
      </w:r>
      <w:r>
        <w:fldChar w:fldCharType="begin"/>
      </w:r>
      <w:r>
        <w:instrText xml:space="preserve"> PAGEREF _Toc425337987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Miscellaneous</w:t>
      </w:r>
    </w:p>
    <w:p>
      <w:pPr>
        <w:pStyle w:val="TOC8"/>
        <w:rPr>
          <w:rFonts w:asciiTheme="minorHAnsi" w:eastAsiaTheme="minorEastAsia" w:hAnsiTheme="minorHAnsi" w:cstheme="minorBidi"/>
          <w:szCs w:val="22"/>
        </w:rPr>
      </w:pPr>
      <w:r>
        <w:t>44</w:t>
      </w:r>
      <w:r>
        <w:rPr>
          <w:snapToGrid w:val="0"/>
        </w:rPr>
        <w:t>.</w:t>
      </w:r>
      <w:r>
        <w:rPr>
          <w:snapToGrid w:val="0"/>
        </w:rPr>
        <w:tab/>
        <w:t>Bill posting, defacement and obscenity</w:t>
      </w:r>
      <w:r>
        <w:tab/>
      </w:r>
      <w:r>
        <w:fldChar w:fldCharType="begin"/>
      </w:r>
      <w:r>
        <w:instrText xml:space="preserve"> PAGEREF _Toc425337989 \h </w:instrText>
      </w:r>
      <w:r>
        <w:fldChar w:fldCharType="separate"/>
      </w:r>
      <w:r>
        <w:t>22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Disorderly persons</w:t>
      </w:r>
      <w:r>
        <w:tab/>
      </w:r>
      <w:r>
        <w:fldChar w:fldCharType="begin"/>
      </w:r>
      <w:r>
        <w:instrText xml:space="preserve"> PAGEREF _Toc425337990 \h </w:instrText>
      </w:r>
      <w:r>
        <w:fldChar w:fldCharType="separate"/>
      </w:r>
      <w:r>
        <w:t>23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Fires not to be lit</w:t>
      </w:r>
      <w:r>
        <w:tab/>
      </w:r>
      <w:r>
        <w:fldChar w:fldCharType="begin"/>
      </w:r>
      <w:r>
        <w:instrText xml:space="preserve"> PAGEREF _Toc425337991 \h </w:instrText>
      </w:r>
      <w:r>
        <w:fldChar w:fldCharType="separate"/>
      </w:r>
      <w:r>
        <w:t>23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Gates to be shut</w:t>
      </w:r>
      <w:r>
        <w:tab/>
      </w:r>
      <w:r>
        <w:fldChar w:fldCharType="begin"/>
      </w:r>
      <w:r>
        <w:instrText xml:space="preserve"> PAGEREF _Toc425337992 \h </w:instrText>
      </w:r>
      <w:r>
        <w:fldChar w:fldCharType="separate"/>
      </w:r>
      <w:r>
        <w:t>23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Interference with lights</w:t>
      </w:r>
      <w:r>
        <w:tab/>
      </w:r>
      <w:r>
        <w:fldChar w:fldCharType="begin"/>
      </w:r>
      <w:r>
        <w:instrText xml:space="preserve"> PAGEREF _Toc425337993 \h </w:instrText>
      </w:r>
      <w:r>
        <w:fldChar w:fldCharType="separate"/>
      </w:r>
      <w:r>
        <w:t>24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Interference with or damaging property</w:t>
      </w:r>
      <w:r>
        <w:tab/>
      </w:r>
      <w:r>
        <w:fldChar w:fldCharType="begin"/>
      </w:r>
      <w:r>
        <w:instrText xml:space="preserve"> PAGEREF _Toc425337994 \h </w:instrText>
      </w:r>
      <w:r>
        <w:fldChar w:fldCharType="separate"/>
      </w:r>
      <w:r>
        <w:t>24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Lost property</w:t>
      </w:r>
      <w:r>
        <w:tab/>
      </w:r>
      <w:r>
        <w:fldChar w:fldCharType="begin"/>
      </w:r>
      <w:r>
        <w:instrText xml:space="preserve"> PAGEREF _Toc425337995 \h </w:instrText>
      </w:r>
      <w:r>
        <w:fldChar w:fldCharType="separate"/>
      </w:r>
      <w:r>
        <w:t>24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Obstruction of officers, or premises</w:t>
      </w:r>
      <w:r>
        <w:tab/>
      </w:r>
      <w:r>
        <w:fldChar w:fldCharType="begin"/>
      </w:r>
      <w:r>
        <w:instrText xml:space="preserve"> PAGEREF _Toc425337996 \h </w:instrText>
      </w:r>
      <w:r>
        <w:fldChar w:fldCharType="separate"/>
      </w:r>
      <w:r>
        <w:t>25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Obstruction of or damage to jetties or premises</w:t>
      </w:r>
      <w:r>
        <w:tab/>
      </w:r>
      <w:r>
        <w:fldChar w:fldCharType="begin"/>
      </w:r>
      <w:r>
        <w:instrText xml:space="preserve"> PAGEREF _Toc425337997 \h </w:instrText>
      </w:r>
      <w:r>
        <w:fldChar w:fldCharType="separate"/>
      </w:r>
      <w:r>
        <w:t>25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Rubbish etc. not to be thrown</w:t>
      </w:r>
      <w:r>
        <w:tab/>
      </w:r>
      <w:r>
        <w:fldChar w:fldCharType="begin"/>
      </w:r>
      <w:r>
        <w:instrText xml:space="preserve"> PAGEREF _Toc425337998 \h </w:instrText>
      </w:r>
      <w:r>
        <w:fldChar w:fldCharType="separate"/>
      </w:r>
      <w:r>
        <w:t>26</w:t>
      </w:r>
      <w:r>
        <w:fldChar w:fldCharType="end"/>
      </w:r>
    </w:p>
    <w:p>
      <w:pPr>
        <w:pStyle w:val="TOC8"/>
        <w:rPr>
          <w:rFonts w:asciiTheme="minorHAnsi" w:eastAsiaTheme="minorEastAsia" w:hAnsiTheme="minorHAnsi" w:cstheme="minorBidi"/>
          <w:szCs w:val="22"/>
        </w:rPr>
      </w:pPr>
      <w:r>
        <w:t>53A.</w:t>
      </w:r>
      <w:r>
        <w:tab/>
        <w:t>Charges for rubbish removal</w:t>
      </w:r>
      <w:r>
        <w:tab/>
      </w:r>
      <w:r>
        <w:fldChar w:fldCharType="begin"/>
      </w:r>
      <w:r>
        <w:instrText xml:space="preserve"> PAGEREF _Toc425337999 \h </w:instrText>
      </w:r>
      <w:r>
        <w:fldChar w:fldCharType="separate"/>
      </w:r>
      <w:r>
        <w:t>26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Sale of articles prohibited</w:t>
      </w:r>
      <w:r>
        <w:tab/>
      </w:r>
      <w:r>
        <w:fldChar w:fldCharType="begin"/>
      </w:r>
      <w:r>
        <w:instrText xml:space="preserve"> PAGEREF _Toc425338000 \h </w:instrText>
      </w:r>
      <w:r>
        <w:fldChar w:fldCharType="separate"/>
      </w:r>
      <w:r>
        <w:t>26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Smoking and loitering</w:t>
      </w:r>
      <w:r>
        <w:tab/>
      </w:r>
      <w:r>
        <w:fldChar w:fldCharType="begin"/>
      </w:r>
      <w:r>
        <w:instrText xml:space="preserve"> PAGEREF _Toc425338001 \h </w:instrText>
      </w:r>
      <w:r>
        <w:fldChar w:fldCharType="separate"/>
      </w:r>
      <w:r>
        <w:t>26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Trespassing</w:t>
      </w:r>
      <w:r>
        <w:tab/>
      </w:r>
      <w:r>
        <w:fldChar w:fldCharType="begin"/>
      </w:r>
      <w:r>
        <w:instrText xml:space="preserve"> PAGEREF _Toc425338002 \h </w:instrText>
      </w:r>
      <w:r>
        <w:fldChar w:fldCharType="separate"/>
      </w:r>
      <w:r>
        <w:t>27</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Conditions for construction and installation of pipelines</w:t>
      </w:r>
      <w:r>
        <w:tab/>
      </w:r>
      <w:r>
        <w:fldChar w:fldCharType="begin"/>
      </w:r>
      <w:r>
        <w:instrText xml:space="preserve"> PAGEREF _Toc425338003 \h </w:instrText>
      </w:r>
      <w:r>
        <w:fldChar w:fldCharType="separate"/>
      </w:r>
      <w:r>
        <w:t>27</w:t>
      </w:r>
      <w:r>
        <w:fldChar w:fldCharType="end"/>
      </w:r>
    </w:p>
    <w:p>
      <w:pPr>
        <w:pStyle w:val="TOC8"/>
        <w:rPr>
          <w:rFonts w:asciiTheme="minorHAnsi" w:eastAsiaTheme="minorEastAsia" w:hAnsiTheme="minorHAnsi" w:cstheme="minorBidi"/>
          <w:szCs w:val="22"/>
        </w:rPr>
      </w:pPr>
      <w:r>
        <w:t>67B</w:t>
      </w:r>
      <w:r>
        <w:rPr>
          <w:snapToGrid w:val="0"/>
        </w:rPr>
        <w:t>.</w:t>
      </w:r>
      <w:r>
        <w:rPr>
          <w:snapToGrid w:val="0"/>
        </w:rPr>
        <w:tab/>
        <w:t>Maintenance and operation of pipelines</w:t>
      </w:r>
      <w:r>
        <w:tab/>
      </w:r>
      <w:r>
        <w:fldChar w:fldCharType="begin"/>
      </w:r>
      <w:r>
        <w:instrText xml:space="preserve"> PAGEREF _Toc425338004 \h </w:instrText>
      </w:r>
      <w:r>
        <w:fldChar w:fldCharType="separate"/>
      </w:r>
      <w:r>
        <w:t>30</w:t>
      </w:r>
      <w:r>
        <w:fldChar w:fldCharType="end"/>
      </w:r>
    </w:p>
    <w:p>
      <w:pPr>
        <w:pStyle w:val="TOC8"/>
        <w:rPr>
          <w:rFonts w:asciiTheme="minorHAnsi" w:eastAsiaTheme="minorEastAsia" w:hAnsiTheme="minorHAnsi" w:cstheme="minorBidi"/>
          <w:szCs w:val="22"/>
        </w:rPr>
      </w:pPr>
      <w:r>
        <w:t>67D</w:t>
      </w:r>
      <w:r>
        <w:rPr>
          <w:snapToGrid w:val="0"/>
        </w:rPr>
        <w:t>.</w:t>
      </w:r>
      <w:r>
        <w:rPr>
          <w:snapToGrid w:val="0"/>
        </w:rPr>
        <w:tab/>
        <w:t>Penalty for failure to remove or amend pipeline</w:t>
      </w:r>
      <w:r>
        <w:tab/>
      </w:r>
      <w:r>
        <w:fldChar w:fldCharType="begin"/>
      </w:r>
      <w:r>
        <w:instrText xml:space="preserve"> PAGEREF _Toc425338005 \h </w:instrText>
      </w:r>
      <w:r>
        <w:fldChar w:fldCharType="separate"/>
      </w:r>
      <w:r>
        <w:t>36</w:t>
      </w:r>
      <w:r>
        <w:fldChar w:fldCharType="end"/>
      </w:r>
    </w:p>
    <w:p>
      <w:pPr>
        <w:pStyle w:val="TOC8"/>
        <w:rPr>
          <w:rFonts w:asciiTheme="minorHAnsi" w:eastAsiaTheme="minorEastAsia" w:hAnsiTheme="minorHAnsi" w:cstheme="minorBidi"/>
          <w:szCs w:val="22"/>
        </w:rPr>
      </w:pPr>
      <w:r>
        <w:t>67DA.</w:t>
      </w:r>
      <w:r>
        <w:tab/>
        <w:t>Fuelling vessels at service jetties limited</w:t>
      </w:r>
      <w:r>
        <w:tab/>
      </w:r>
      <w:r>
        <w:fldChar w:fldCharType="begin"/>
      </w:r>
      <w:r>
        <w:instrText xml:space="preserve"> PAGEREF _Toc425338006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2 — Regulations applying to jetties within the Port of Perth</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67E</w:t>
      </w:r>
      <w:r>
        <w:rPr>
          <w:snapToGrid w:val="0"/>
        </w:rPr>
        <w:t>.</w:t>
      </w:r>
      <w:r>
        <w:rPr>
          <w:snapToGrid w:val="0"/>
        </w:rPr>
        <w:tab/>
        <w:t>Application</w:t>
      </w:r>
      <w:r>
        <w:tab/>
      </w:r>
      <w:r>
        <w:fldChar w:fldCharType="begin"/>
      </w:r>
      <w:r>
        <w:instrText xml:space="preserve"> PAGEREF _Toc425338009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Management and use of jetties</w:t>
      </w:r>
    </w:p>
    <w:p>
      <w:pPr>
        <w:pStyle w:val="TOC8"/>
        <w:rPr>
          <w:rFonts w:asciiTheme="minorHAnsi" w:eastAsiaTheme="minorEastAsia" w:hAnsiTheme="minorHAnsi" w:cstheme="minorBidi"/>
          <w:szCs w:val="22"/>
        </w:rPr>
      </w:pPr>
      <w:r>
        <w:t>68</w:t>
      </w:r>
      <w:r>
        <w:rPr>
          <w:snapToGrid w:val="0"/>
        </w:rPr>
        <w:t>.</w:t>
      </w:r>
      <w:r>
        <w:rPr>
          <w:snapToGrid w:val="0"/>
        </w:rPr>
        <w:tab/>
        <w:t>Control of jetties</w:t>
      </w:r>
      <w:r>
        <w:tab/>
      </w:r>
      <w:r>
        <w:fldChar w:fldCharType="begin"/>
      </w:r>
      <w:r>
        <w:instrText xml:space="preserve"> PAGEREF _Toc425338011 \h </w:instrText>
      </w:r>
      <w:r>
        <w:fldChar w:fldCharType="separate"/>
      </w:r>
      <w:r>
        <w:t>38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Use of jetties</w:t>
      </w:r>
      <w:r>
        <w:tab/>
      </w:r>
      <w:r>
        <w:fldChar w:fldCharType="begin"/>
      </w:r>
      <w:r>
        <w:instrText xml:space="preserve"> PAGEREF _Toc425338012 \h </w:instrText>
      </w:r>
      <w:r>
        <w:fldChar w:fldCharType="separate"/>
      </w:r>
      <w:r>
        <w:t>38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Jetties may be closed</w:t>
      </w:r>
      <w:r>
        <w:tab/>
      </w:r>
      <w:r>
        <w:fldChar w:fldCharType="begin"/>
      </w:r>
      <w:r>
        <w:instrText xml:space="preserve"> PAGEREF _Toc425338013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Mooring and berthing of vessels</w:t>
      </w:r>
    </w:p>
    <w:p>
      <w:pPr>
        <w:pStyle w:val="TOC8"/>
        <w:rPr>
          <w:rFonts w:asciiTheme="minorHAnsi" w:eastAsiaTheme="minorEastAsia" w:hAnsiTheme="minorHAnsi" w:cstheme="minorBidi"/>
          <w:szCs w:val="22"/>
        </w:rPr>
      </w:pPr>
      <w:r>
        <w:t>71</w:t>
      </w:r>
      <w:r>
        <w:rPr>
          <w:snapToGrid w:val="0"/>
        </w:rPr>
        <w:t>.</w:t>
      </w:r>
      <w:r>
        <w:rPr>
          <w:snapToGrid w:val="0"/>
        </w:rPr>
        <w:tab/>
        <w:t>Permit required to moor etc. alongside jetty or buoy</w:t>
      </w:r>
      <w:r>
        <w:tab/>
      </w:r>
      <w:r>
        <w:fldChar w:fldCharType="begin"/>
      </w:r>
      <w:r>
        <w:instrText xml:space="preserve"> PAGEREF _Toc425338015 \h </w:instrText>
      </w:r>
      <w:r>
        <w:fldChar w:fldCharType="separate"/>
      </w:r>
      <w:r>
        <w:t>39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Duration of, and charges for, permits</w:t>
      </w:r>
      <w:r>
        <w:tab/>
      </w:r>
      <w:r>
        <w:fldChar w:fldCharType="begin"/>
      </w:r>
      <w:r>
        <w:instrText xml:space="preserve"> PAGEREF _Toc425338016 \h </w:instrText>
      </w:r>
      <w:r>
        <w:fldChar w:fldCharType="separate"/>
      </w:r>
      <w:r>
        <w:t>39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Permit for exclusive use of berth</w:t>
      </w:r>
      <w:r>
        <w:tab/>
      </w:r>
      <w:r>
        <w:fldChar w:fldCharType="begin"/>
      </w:r>
      <w:r>
        <w:instrText xml:space="preserve"> PAGEREF _Toc425338017 \h </w:instrText>
      </w:r>
      <w:r>
        <w:fldChar w:fldCharType="separate"/>
      </w:r>
      <w:r>
        <w:t>40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Manner of mooring vessels</w:t>
      </w:r>
      <w:r>
        <w:tab/>
      </w:r>
      <w:r>
        <w:fldChar w:fldCharType="begin"/>
      </w:r>
      <w:r>
        <w:instrText xml:space="preserve"> PAGEREF _Toc425338018 \h </w:instrText>
      </w:r>
      <w:r>
        <w:fldChar w:fldCharType="separate"/>
      </w:r>
      <w:r>
        <w:t>41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Vessels not to remain at jetties longer than necessary</w:t>
      </w:r>
      <w:r>
        <w:tab/>
      </w:r>
      <w:r>
        <w:fldChar w:fldCharType="begin"/>
      </w:r>
      <w:r>
        <w:instrText xml:space="preserve"> PAGEREF _Toc425338019 \h </w:instrText>
      </w:r>
      <w:r>
        <w:fldChar w:fldCharType="separate"/>
      </w:r>
      <w:r>
        <w:t>42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Mooring of rafts and boathouses</w:t>
      </w:r>
      <w:r>
        <w:tab/>
      </w:r>
      <w:r>
        <w:fldChar w:fldCharType="begin"/>
      </w:r>
      <w:r>
        <w:instrText xml:space="preserve"> PAGEREF _Toc425338020 \h </w:instrText>
      </w:r>
      <w:r>
        <w:fldChar w:fldCharType="separate"/>
      </w:r>
      <w:r>
        <w:t>42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Vessels to be in charge of competent person</w:t>
      </w:r>
      <w:r>
        <w:tab/>
      </w:r>
      <w:r>
        <w:fldChar w:fldCharType="begin"/>
      </w:r>
      <w:r>
        <w:instrText xml:space="preserve"> PAGEREF _Toc425338021 \h </w:instrText>
      </w:r>
      <w:r>
        <w:fldChar w:fldCharType="separate"/>
      </w:r>
      <w:r>
        <w:t>42</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Approaching jetties after sunset</w:t>
      </w:r>
      <w:r>
        <w:tab/>
      </w:r>
      <w:r>
        <w:fldChar w:fldCharType="begin"/>
      </w:r>
      <w:r>
        <w:instrText xml:space="preserve"> PAGEREF _Toc425338022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Loading or discharging cargo</w:t>
      </w:r>
    </w:p>
    <w:p>
      <w:pPr>
        <w:pStyle w:val="TOC8"/>
        <w:rPr>
          <w:rFonts w:asciiTheme="minorHAnsi" w:eastAsiaTheme="minorEastAsia" w:hAnsiTheme="minorHAnsi" w:cstheme="minorBidi"/>
          <w:szCs w:val="22"/>
        </w:rPr>
      </w:pPr>
      <w:r>
        <w:t>80</w:t>
      </w:r>
      <w:r>
        <w:rPr>
          <w:snapToGrid w:val="0"/>
        </w:rPr>
        <w:t>.</w:t>
      </w:r>
      <w:r>
        <w:rPr>
          <w:snapToGrid w:val="0"/>
        </w:rPr>
        <w:tab/>
        <w:t>Vessels loading or discharging</w:t>
      </w:r>
      <w:r>
        <w:tab/>
      </w:r>
      <w:r>
        <w:fldChar w:fldCharType="begin"/>
      </w:r>
      <w:r>
        <w:instrText xml:space="preserve"> PAGEREF _Toc425338024 \h </w:instrText>
      </w:r>
      <w:r>
        <w:fldChar w:fldCharType="separate"/>
      </w:r>
      <w:r>
        <w:t>43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Cargo to be removed</w:t>
      </w:r>
      <w:r>
        <w:tab/>
      </w:r>
      <w:r>
        <w:fldChar w:fldCharType="begin"/>
      </w:r>
      <w:r>
        <w:instrText xml:space="preserve"> PAGEREF _Toc425338025 \h </w:instrText>
      </w:r>
      <w:r>
        <w:fldChar w:fldCharType="separate"/>
      </w:r>
      <w:r>
        <w:t>43</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Cargo not to remain on jetties overnight</w:t>
      </w:r>
      <w:r>
        <w:tab/>
      </w:r>
      <w:r>
        <w:fldChar w:fldCharType="begin"/>
      </w:r>
      <w:r>
        <w:instrText xml:space="preserve"> PAGEREF _Toc425338026 \h </w:instrText>
      </w:r>
      <w:r>
        <w:fldChar w:fldCharType="separate"/>
      </w:r>
      <w:r>
        <w:t>44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Explosives not to be handled without permission</w:t>
      </w:r>
      <w:r>
        <w:tab/>
      </w:r>
      <w:r>
        <w:fldChar w:fldCharType="begin"/>
      </w:r>
      <w:r>
        <w:instrText xml:space="preserve"> PAGEREF _Toc425338027 \h </w:instrText>
      </w:r>
      <w:r>
        <w:fldChar w:fldCharType="separate"/>
      </w:r>
      <w:r>
        <w:t>44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Manner of handling cargo</w:t>
      </w:r>
      <w:r>
        <w:tab/>
      </w:r>
      <w:r>
        <w:fldChar w:fldCharType="begin"/>
      </w:r>
      <w:r>
        <w:instrText xml:space="preserve"> PAGEREF _Toc425338028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Navigation of vessels</w:t>
      </w:r>
    </w:p>
    <w:p>
      <w:pPr>
        <w:pStyle w:val="TOC8"/>
        <w:rPr>
          <w:rFonts w:asciiTheme="minorHAnsi" w:eastAsiaTheme="minorEastAsia" w:hAnsiTheme="minorHAnsi" w:cstheme="minorBidi"/>
          <w:szCs w:val="22"/>
        </w:rPr>
      </w:pPr>
      <w:r>
        <w:t>85</w:t>
      </w:r>
      <w:r>
        <w:rPr>
          <w:snapToGrid w:val="0"/>
        </w:rPr>
        <w:t>.</w:t>
      </w:r>
      <w:r>
        <w:rPr>
          <w:snapToGrid w:val="0"/>
        </w:rPr>
        <w:tab/>
        <w:t>Power vessels approaching jetties</w:t>
      </w:r>
      <w:r>
        <w:tab/>
      </w:r>
      <w:r>
        <w:fldChar w:fldCharType="begin"/>
      </w:r>
      <w:r>
        <w:instrText xml:space="preserve"> PAGEREF _Toc425338030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86</w:t>
      </w:r>
      <w:r>
        <w:rPr>
          <w:snapToGrid w:val="0"/>
        </w:rPr>
        <w:t>.</w:t>
      </w:r>
      <w:r>
        <w:rPr>
          <w:snapToGrid w:val="0"/>
        </w:rPr>
        <w:tab/>
        <w:t>Bathing from jetties</w:t>
      </w:r>
      <w:r>
        <w:tab/>
      </w:r>
      <w:r>
        <w:fldChar w:fldCharType="begin"/>
      </w:r>
      <w:r>
        <w:instrText xml:space="preserve"> PAGEREF _Toc425338032 \h </w:instrText>
      </w:r>
      <w:r>
        <w:fldChar w:fldCharType="separate"/>
      </w:r>
      <w:r>
        <w:t>45</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Damage to jetties</w:t>
      </w:r>
      <w:r>
        <w:tab/>
      </w:r>
      <w:r>
        <w:fldChar w:fldCharType="begin"/>
      </w:r>
      <w:r>
        <w:instrText xml:space="preserve"> PAGEREF _Toc425338033 \h </w:instrText>
      </w:r>
      <w:r>
        <w:fldChar w:fldCharType="separate"/>
      </w:r>
      <w:r>
        <w:t>45</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Fishing from certain places prohibited</w:t>
      </w:r>
      <w:r>
        <w:tab/>
      </w:r>
      <w:r>
        <w:fldChar w:fldCharType="begin"/>
      </w:r>
      <w:r>
        <w:instrText xml:space="preserve"> PAGEREF _Toc425338034 \h </w:instrText>
      </w:r>
      <w:r>
        <w:fldChar w:fldCharType="separate"/>
      </w:r>
      <w:r>
        <w:t>45</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Fishing nets on jetties</w:t>
      </w:r>
      <w:r>
        <w:tab/>
      </w:r>
      <w:r>
        <w:fldChar w:fldCharType="begin"/>
      </w:r>
      <w:r>
        <w:instrText xml:space="preserve"> PAGEREF _Toc425338035 \h </w:instrText>
      </w:r>
      <w:r>
        <w:fldChar w:fldCharType="separate"/>
      </w:r>
      <w:r>
        <w:t>46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Gangways to be provided</w:t>
      </w:r>
      <w:r>
        <w:tab/>
      </w:r>
      <w:r>
        <w:fldChar w:fldCharType="begin"/>
      </w:r>
      <w:r>
        <w:instrText xml:space="preserve"> PAGEREF _Toc425338036 \h </w:instrText>
      </w:r>
      <w:r>
        <w:fldChar w:fldCharType="separate"/>
      </w:r>
      <w:r>
        <w:t>46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Interference with jetties or approaches</w:t>
      </w:r>
      <w:r>
        <w:tab/>
      </w:r>
      <w:r>
        <w:fldChar w:fldCharType="begin"/>
      </w:r>
      <w:r>
        <w:instrText xml:space="preserve"> PAGEREF _Toc425338037 \h </w:instrText>
      </w:r>
      <w:r>
        <w:fldChar w:fldCharType="separate"/>
      </w:r>
      <w:r>
        <w:t>46</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Lifebuoys on jetties</w:t>
      </w:r>
      <w:r>
        <w:tab/>
      </w:r>
      <w:r>
        <w:fldChar w:fldCharType="begin"/>
      </w:r>
      <w:r>
        <w:instrText xml:space="preserve"> PAGEREF _Toc425338038 \h </w:instrText>
      </w:r>
      <w:r>
        <w:fldChar w:fldCharType="separate"/>
      </w:r>
      <w:r>
        <w:t>46</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Obstruction of jetties or officers</w:t>
      </w:r>
      <w:r>
        <w:tab/>
      </w:r>
      <w:r>
        <w:fldChar w:fldCharType="begin"/>
      </w:r>
      <w:r>
        <w:instrText xml:space="preserve"> PAGEREF _Toc425338039 \h </w:instrText>
      </w:r>
      <w:r>
        <w:fldChar w:fldCharType="separate"/>
      </w:r>
      <w:r>
        <w:t>46</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Rubbish not to be thrown in river etc.</w:t>
      </w:r>
      <w:r>
        <w:tab/>
      </w:r>
      <w:r>
        <w:fldChar w:fldCharType="begin"/>
      </w:r>
      <w:r>
        <w:instrText xml:space="preserve"> PAGEREF _Toc425338040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2A — Mooring and berthing other than in the Port of Perth</w:t>
      </w:r>
    </w:p>
    <w:p>
      <w:pPr>
        <w:pStyle w:val="TOC8"/>
        <w:rPr>
          <w:rFonts w:asciiTheme="minorHAnsi" w:eastAsiaTheme="minorEastAsia" w:hAnsiTheme="minorHAnsi" w:cstheme="minorBidi"/>
          <w:szCs w:val="22"/>
        </w:rPr>
      </w:pPr>
      <w:r>
        <w:t>94A.</w:t>
      </w:r>
      <w:r>
        <w:tab/>
        <w:t>Charges for pen rentals and services</w:t>
      </w:r>
      <w:r>
        <w:tab/>
      </w:r>
      <w:r>
        <w:fldChar w:fldCharType="begin"/>
      </w:r>
      <w:r>
        <w:instrText xml:space="preserve"> PAGEREF _Toc425338042 \h </w:instrText>
      </w:r>
      <w:r>
        <w:fldChar w:fldCharType="separate"/>
      </w:r>
      <w:r>
        <w:t>48</w:t>
      </w:r>
      <w:r>
        <w:fldChar w:fldCharType="end"/>
      </w:r>
    </w:p>
    <w:p>
      <w:pPr>
        <w:pStyle w:val="TOC8"/>
        <w:rPr>
          <w:rFonts w:asciiTheme="minorHAnsi" w:eastAsiaTheme="minorEastAsia" w:hAnsiTheme="minorHAnsi" w:cstheme="minorBidi"/>
          <w:szCs w:val="22"/>
        </w:rPr>
      </w:pPr>
      <w:r>
        <w:t>94B</w:t>
      </w:r>
      <w:r>
        <w:rPr>
          <w:snapToGrid w:val="0"/>
        </w:rPr>
        <w:t>.</w:t>
      </w:r>
      <w:r>
        <w:rPr>
          <w:snapToGrid w:val="0"/>
        </w:rPr>
        <w:tab/>
        <w:t>Charges for pile mooring</w:t>
      </w:r>
      <w:r>
        <w:tab/>
      </w:r>
      <w:r>
        <w:fldChar w:fldCharType="begin"/>
      </w:r>
      <w:r>
        <w:instrText xml:space="preserve"> PAGEREF _Toc425338043 \h </w:instrText>
      </w:r>
      <w:r>
        <w:fldChar w:fldCharType="separate"/>
      </w:r>
      <w:r>
        <w:t>48</w:t>
      </w:r>
      <w:r>
        <w:fldChar w:fldCharType="end"/>
      </w:r>
    </w:p>
    <w:p>
      <w:pPr>
        <w:pStyle w:val="TOC8"/>
        <w:rPr>
          <w:rFonts w:asciiTheme="minorHAnsi" w:eastAsiaTheme="minorEastAsia" w:hAnsiTheme="minorHAnsi" w:cstheme="minorBidi"/>
          <w:szCs w:val="22"/>
        </w:rPr>
      </w:pPr>
      <w:r>
        <w:t>94C</w:t>
      </w:r>
      <w:r>
        <w:rPr>
          <w:snapToGrid w:val="0"/>
        </w:rPr>
        <w:t>.</w:t>
      </w:r>
      <w:r>
        <w:rPr>
          <w:snapToGrid w:val="0"/>
        </w:rPr>
        <w:tab/>
        <w:t>Dues or charges for berthing or mooring on a casual basis</w:t>
      </w:r>
      <w:r>
        <w:tab/>
      </w:r>
      <w:r>
        <w:fldChar w:fldCharType="begin"/>
      </w:r>
      <w:r>
        <w:instrText xml:space="preserve"> PAGEREF _Toc425338044 \h </w:instrText>
      </w:r>
      <w:r>
        <w:fldChar w:fldCharType="separate"/>
      </w:r>
      <w:r>
        <w:t>48</w:t>
      </w:r>
      <w:r>
        <w:fldChar w:fldCharType="end"/>
      </w:r>
    </w:p>
    <w:p>
      <w:pPr>
        <w:pStyle w:val="TOC8"/>
        <w:rPr>
          <w:rFonts w:asciiTheme="minorHAnsi" w:eastAsiaTheme="minorEastAsia" w:hAnsiTheme="minorHAnsi" w:cstheme="minorBidi"/>
          <w:szCs w:val="22"/>
        </w:rPr>
      </w:pPr>
      <w:r>
        <w:t>94D.</w:t>
      </w:r>
      <w:r>
        <w:tab/>
        <w:t>Waiving charges in emergencies</w:t>
      </w:r>
      <w:r>
        <w:tab/>
      </w:r>
      <w:r>
        <w:fldChar w:fldCharType="begin"/>
      </w:r>
      <w:r>
        <w:instrText xml:space="preserve"> PAGEREF _Toc425338045 \h </w:instrText>
      </w:r>
      <w:r>
        <w:fldChar w:fldCharType="separate"/>
      </w:r>
      <w:r>
        <w:t>49</w:t>
      </w:r>
      <w:r>
        <w:fldChar w:fldCharType="end"/>
      </w:r>
    </w:p>
    <w:p>
      <w:pPr>
        <w:pStyle w:val="TOC8"/>
        <w:rPr>
          <w:rFonts w:asciiTheme="minorHAnsi" w:eastAsiaTheme="minorEastAsia" w:hAnsiTheme="minorHAnsi" w:cstheme="minorBidi"/>
          <w:szCs w:val="22"/>
        </w:rPr>
      </w:pPr>
      <w:r>
        <w:t>94E.</w:t>
      </w:r>
      <w:r>
        <w:tab/>
        <w:t>Controlling short term use</w:t>
      </w:r>
      <w:r>
        <w:tab/>
      </w:r>
      <w:r>
        <w:fldChar w:fldCharType="begin"/>
      </w:r>
      <w:r>
        <w:instrText xml:space="preserve"> PAGEREF _Toc425338046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3 — Special provisions applying at particular ports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Use of slipways</w:t>
      </w:r>
    </w:p>
    <w:p>
      <w:pPr>
        <w:pStyle w:val="TOC8"/>
        <w:rPr>
          <w:rFonts w:asciiTheme="minorHAnsi" w:eastAsiaTheme="minorEastAsia" w:hAnsiTheme="minorHAnsi" w:cstheme="minorBidi"/>
          <w:szCs w:val="22"/>
        </w:rPr>
      </w:pPr>
      <w:r>
        <w:t>95.</w:t>
      </w:r>
      <w:r>
        <w:tab/>
        <w:t>Management and control of departmental slipways</w:t>
      </w:r>
      <w:r>
        <w:tab/>
      </w:r>
      <w:r>
        <w:fldChar w:fldCharType="begin"/>
      </w:r>
      <w:r>
        <w:instrText xml:space="preserve"> PAGEREF _Toc425338049 \h </w:instrText>
      </w:r>
      <w:r>
        <w:fldChar w:fldCharType="separate"/>
      </w:r>
      <w:r>
        <w:t>50</w:t>
      </w:r>
      <w:r>
        <w:fldChar w:fldCharType="end"/>
      </w:r>
    </w:p>
    <w:p>
      <w:pPr>
        <w:pStyle w:val="TOC8"/>
        <w:rPr>
          <w:rFonts w:asciiTheme="minorHAnsi" w:eastAsiaTheme="minorEastAsia" w:hAnsiTheme="minorHAnsi" w:cstheme="minorBidi"/>
          <w:szCs w:val="22"/>
        </w:rPr>
      </w:pPr>
      <w:r>
        <w:t>95A.</w:t>
      </w:r>
      <w:r>
        <w:tab/>
        <w:t>Use of slipway</w:t>
      </w:r>
      <w:r>
        <w:tab/>
      </w:r>
      <w:r>
        <w:fldChar w:fldCharType="begin"/>
      </w:r>
      <w:r>
        <w:instrText xml:space="preserve"> PAGEREF _Toc425338050 \h </w:instrText>
      </w:r>
      <w:r>
        <w:fldChar w:fldCharType="separate"/>
      </w:r>
      <w:r>
        <w:t>50</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Charges for use of slipway</w:t>
      </w:r>
      <w:r>
        <w:tab/>
      </w:r>
      <w:r>
        <w:fldChar w:fldCharType="begin"/>
      </w:r>
      <w:r>
        <w:instrText xml:space="preserve"> PAGEREF _Toc425338051 \h </w:instrText>
      </w:r>
      <w:r>
        <w:fldChar w:fldCharType="separate"/>
      </w:r>
      <w:r>
        <w:t>50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Government vessels may take precedence</w:t>
      </w:r>
      <w:r>
        <w:tab/>
      </w:r>
      <w:r>
        <w:fldChar w:fldCharType="begin"/>
      </w:r>
      <w:r>
        <w:instrText xml:space="preserve"> PAGEREF _Toc425338052 \h </w:instrText>
      </w:r>
      <w:r>
        <w:fldChar w:fldCharType="separate"/>
      </w:r>
      <w:r>
        <w:t>51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Vessels may forfeit their turn</w:t>
      </w:r>
      <w:r>
        <w:tab/>
      </w:r>
      <w:r>
        <w:fldChar w:fldCharType="begin"/>
      </w:r>
      <w:r>
        <w:instrText xml:space="preserve"> PAGEREF _Toc425338053 \h </w:instrText>
      </w:r>
      <w:r>
        <w:fldChar w:fldCharType="separate"/>
      </w:r>
      <w:r>
        <w:t>51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Department will not undertake repairs etc.</w:t>
      </w:r>
      <w:r>
        <w:tab/>
      </w:r>
      <w:r>
        <w:fldChar w:fldCharType="begin"/>
      </w:r>
      <w:r>
        <w:instrText xml:space="preserve"> PAGEREF _Toc425338054 \h </w:instrText>
      </w:r>
      <w:r>
        <w:fldChar w:fldCharType="separate"/>
      </w:r>
      <w:r>
        <w:t>51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Department not responsible for damage to vessel when in use of slip</w:t>
      </w:r>
      <w:r>
        <w:tab/>
      </w:r>
      <w:r>
        <w:fldChar w:fldCharType="begin"/>
      </w:r>
      <w:r>
        <w:instrText xml:space="preserve"> PAGEREF _Toc425338055 \h </w:instrText>
      </w:r>
      <w:r>
        <w:fldChar w:fldCharType="separate"/>
      </w:r>
      <w:r>
        <w:t>52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Duties of owner or master using slipway</w:t>
      </w:r>
      <w:r>
        <w:tab/>
      </w:r>
      <w:r>
        <w:fldChar w:fldCharType="begin"/>
      </w:r>
      <w:r>
        <w:instrText xml:space="preserve"> PAGEREF _Toc425338056 \h </w:instrText>
      </w:r>
      <w:r>
        <w:fldChar w:fldCharType="separate"/>
      </w:r>
      <w:r>
        <w:t>52</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Slipping of more than one vessel at a time</w:t>
      </w:r>
      <w:r>
        <w:tab/>
      </w:r>
      <w:r>
        <w:fldChar w:fldCharType="begin"/>
      </w:r>
      <w:r>
        <w:instrText xml:space="preserve"> PAGEREF _Toc425338057 \h </w:instrText>
      </w:r>
      <w:r>
        <w:fldChar w:fldCharType="separate"/>
      </w:r>
      <w:r>
        <w:t>52</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Dispute procedure</w:t>
      </w:r>
      <w:r>
        <w:tab/>
      </w:r>
      <w:r>
        <w:fldChar w:fldCharType="begin"/>
      </w:r>
      <w:r>
        <w:instrText xml:space="preserve"> PAGEREF _Toc425338058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Use of mooring springs</w:t>
      </w:r>
    </w:p>
    <w:p>
      <w:pPr>
        <w:pStyle w:val="TOC8"/>
        <w:rPr>
          <w:rFonts w:asciiTheme="minorHAnsi" w:eastAsiaTheme="minorEastAsia" w:hAnsiTheme="minorHAnsi" w:cstheme="minorBidi"/>
          <w:szCs w:val="22"/>
        </w:rPr>
      </w:pPr>
      <w:r>
        <w:t>105F</w:t>
      </w:r>
      <w:r>
        <w:rPr>
          <w:snapToGrid w:val="0"/>
        </w:rPr>
        <w:t>.</w:t>
      </w:r>
      <w:r>
        <w:rPr>
          <w:snapToGrid w:val="0"/>
        </w:rPr>
        <w:tab/>
        <w:t>Approaching bollard or jetty to which mooring spring or rope fastened</w:t>
      </w:r>
      <w:r>
        <w:tab/>
      </w:r>
      <w:r>
        <w:fldChar w:fldCharType="begin"/>
      </w:r>
      <w:r>
        <w:instrText xml:space="preserve"> PAGEREF _Toc425338060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Use of weighbridges at Wyndham</w:t>
      </w:r>
    </w:p>
    <w:p>
      <w:pPr>
        <w:pStyle w:val="TOC8"/>
        <w:rPr>
          <w:rFonts w:asciiTheme="minorHAnsi" w:eastAsiaTheme="minorEastAsia" w:hAnsiTheme="minorHAnsi" w:cstheme="minorBidi"/>
          <w:szCs w:val="22"/>
        </w:rPr>
      </w:pPr>
      <w:r>
        <w:t>105I</w:t>
      </w:r>
      <w:r>
        <w:rPr>
          <w:snapToGrid w:val="0"/>
        </w:rPr>
        <w:t>.</w:t>
      </w:r>
      <w:r>
        <w:rPr>
          <w:snapToGrid w:val="0"/>
        </w:rPr>
        <w:tab/>
        <w:t>Weighbridge charges</w:t>
      </w:r>
      <w:r>
        <w:tab/>
      </w:r>
      <w:r>
        <w:fldChar w:fldCharType="begin"/>
      </w:r>
      <w:r>
        <w:instrText xml:space="preserve"> PAGEREF _Toc425338062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4 — Breach of regulations and penalties</w:t>
      </w:r>
    </w:p>
    <w:p>
      <w:pPr>
        <w:pStyle w:val="TOC8"/>
        <w:rPr>
          <w:rFonts w:asciiTheme="minorHAnsi" w:eastAsiaTheme="minorEastAsia" w:hAnsiTheme="minorHAnsi" w:cstheme="minorBidi"/>
          <w:szCs w:val="22"/>
        </w:rPr>
      </w:pPr>
      <w:r>
        <w:t>106</w:t>
      </w:r>
      <w:r>
        <w:rPr>
          <w:snapToGrid w:val="0"/>
        </w:rPr>
        <w:t>.</w:t>
      </w:r>
      <w:r>
        <w:rPr>
          <w:snapToGrid w:val="0"/>
        </w:rPr>
        <w:tab/>
        <w:t>Powers of officer of Department</w:t>
      </w:r>
      <w:r>
        <w:tab/>
      </w:r>
      <w:r>
        <w:fldChar w:fldCharType="begin"/>
      </w:r>
      <w:r>
        <w:instrText xml:space="preserve"> PAGEREF _Toc425338064 \h </w:instrText>
      </w:r>
      <w:r>
        <w:fldChar w:fldCharType="separate"/>
      </w:r>
      <w:r>
        <w:t>55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Recovery of expenses incurred by breaches of regulations</w:t>
      </w:r>
      <w:r>
        <w:tab/>
      </w:r>
      <w:r>
        <w:fldChar w:fldCharType="begin"/>
      </w:r>
      <w:r>
        <w:instrText xml:space="preserve"> PAGEREF _Toc425338065 \h </w:instrText>
      </w:r>
      <w:r>
        <w:fldChar w:fldCharType="separate"/>
      </w:r>
      <w:r>
        <w:t>55</w:t>
      </w:r>
      <w:r>
        <w:fldChar w:fldCharType="end"/>
      </w:r>
    </w:p>
    <w:p>
      <w:pPr>
        <w:pStyle w:val="TOC8"/>
        <w:rPr>
          <w:rFonts w:asciiTheme="minorHAnsi" w:eastAsiaTheme="minorEastAsia" w:hAnsiTheme="minorHAnsi" w:cstheme="minorBidi"/>
          <w:szCs w:val="22"/>
        </w:rPr>
      </w:pPr>
      <w:r>
        <w:t>107A</w:t>
      </w:r>
      <w:r>
        <w:rPr>
          <w:snapToGrid w:val="0"/>
        </w:rPr>
        <w:t>.</w:t>
      </w:r>
      <w:r>
        <w:rPr>
          <w:snapToGrid w:val="0"/>
        </w:rPr>
        <w:tab/>
        <w:t>Police have authority to enforce regulations</w:t>
      </w:r>
      <w:r>
        <w:tab/>
      </w:r>
      <w:r>
        <w:fldChar w:fldCharType="begin"/>
      </w:r>
      <w:r>
        <w:instrText xml:space="preserve"> PAGEREF _Toc425338066 \h </w:instrText>
      </w:r>
      <w:r>
        <w:fldChar w:fldCharType="separate"/>
      </w:r>
      <w:r>
        <w:t>55</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Penalty for offences</w:t>
      </w:r>
      <w:r>
        <w:tab/>
      </w:r>
      <w:r>
        <w:fldChar w:fldCharType="begin"/>
      </w:r>
      <w:r>
        <w:instrText xml:space="preserve"> PAGEREF _Toc425338067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Schedule 1 — Dues and charges generally</w:t>
      </w:r>
    </w:p>
    <w:p>
      <w:pPr>
        <w:pStyle w:val="TOC4"/>
        <w:tabs>
          <w:tab w:val="right" w:leader="dot" w:pos="7077"/>
        </w:tabs>
        <w:rPr>
          <w:rFonts w:asciiTheme="minorHAnsi" w:eastAsiaTheme="minorEastAsia" w:hAnsiTheme="minorHAnsi" w:cstheme="minorBidi"/>
          <w:b w:val="0"/>
          <w:szCs w:val="22"/>
        </w:rPr>
      </w:pPr>
      <w:r>
        <w:t>Division 1A</w:t>
      </w:r>
      <w:r>
        <w:rPr>
          <w:b w:val="0"/>
        </w:rPr>
        <w:t> — </w:t>
      </w:r>
      <w:r>
        <w:t>Standard rates</w:t>
      </w:r>
    </w:p>
    <w:p>
      <w:pPr>
        <w:pStyle w:val="TOC8"/>
        <w:rPr>
          <w:rFonts w:asciiTheme="minorHAnsi" w:eastAsiaTheme="minorEastAsia" w:hAnsiTheme="minorHAnsi" w:cstheme="minorBidi"/>
          <w:szCs w:val="22"/>
        </w:rPr>
      </w:pPr>
      <w:r>
        <w:t>1A.</w:t>
      </w:r>
      <w:r>
        <w:tab/>
        <w:t>Standard rates for this Schedule</w:t>
      </w:r>
      <w:r>
        <w:tab/>
      </w:r>
      <w:r>
        <w:fldChar w:fldCharType="begin"/>
      </w:r>
      <w:r>
        <w:instrText xml:space="preserve"> PAGEREF _Toc425338070 \h </w:instrText>
      </w:r>
      <w:r>
        <w:fldChar w:fldCharType="separate"/>
      </w:r>
      <w:r>
        <w:t>57</w:t>
      </w:r>
      <w:r>
        <w:fldChar w:fldCharType="end"/>
      </w:r>
    </w:p>
    <w:p>
      <w:pPr>
        <w:pStyle w:val="TOC8"/>
        <w:rPr>
          <w:rFonts w:asciiTheme="minorHAnsi" w:eastAsiaTheme="minorEastAsia" w:hAnsiTheme="minorHAnsi" w:cstheme="minorBidi"/>
          <w:szCs w:val="22"/>
        </w:rPr>
      </w:pPr>
      <w:r>
        <w:t>1B.</w:t>
      </w:r>
      <w:r>
        <w:tab/>
        <w:t>Transferability of annual payments</w:t>
      </w:r>
      <w:r>
        <w:tab/>
      </w:r>
      <w:r>
        <w:fldChar w:fldCharType="begin"/>
      </w:r>
      <w:r>
        <w:instrText xml:space="preserve"> PAGEREF _Toc425338071 \h </w:instrText>
      </w:r>
      <w:r>
        <w:fldChar w:fldCharType="separate"/>
      </w:r>
      <w:r>
        <w:t>57</w:t>
      </w:r>
      <w:r>
        <w:fldChar w:fldCharType="end"/>
      </w:r>
    </w:p>
    <w:p>
      <w:pPr>
        <w:pStyle w:val="TOC8"/>
        <w:rPr>
          <w:rFonts w:asciiTheme="minorHAnsi" w:eastAsiaTheme="minorEastAsia" w:hAnsiTheme="minorHAnsi" w:cstheme="minorBidi"/>
          <w:szCs w:val="22"/>
        </w:rPr>
      </w:pPr>
      <w:r>
        <w:t>1C.</w:t>
      </w:r>
      <w:r>
        <w:tab/>
        <w:t>Service wharf or jetty entitlements</w:t>
      </w:r>
      <w:r>
        <w:tab/>
      </w:r>
      <w:r>
        <w:fldChar w:fldCharType="begin"/>
      </w:r>
      <w:r>
        <w:instrText xml:space="preserve"> PAGEREF _Toc425338072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1</w:t>
      </w:r>
      <w:r>
        <w:rPr>
          <w:b w:val="0"/>
        </w:rPr>
        <w:t> — </w:t>
      </w:r>
      <w:r>
        <w:t>Specified places</w:t>
      </w:r>
    </w:p>
    <w:p>
      <w:pPr>
        <w:pStyle w:val="TOC8"/>
        <w:rPr>
          <w:rFonts w:asciiTheme="minorHAnsi" w:eastAsiaTheme="minorEastAsia" w:hAnsiTheme="minorHAnsi" w:cstheme="minorBidi"/>
          <w:szCs w:val="22"/>
        </w:rPr>
      </w:pPr>
      <w:r>
        <w:t>1.</w:t>
      </w:r>
      <w:r>
        <w:tab/>
        <w:t>Albany, Albany Waterfront Marina</w:t>
      </w:r>
      <w:r>
        <w:tab/>
      </w:r>
      <w:r>
        <w:fldChar w:fldCharType="begin"/>
      </w:r>
      <w:r>
        <w:instrText xml:space="preserve"> PAGEREF _Toc425338074 \h </w:instrText>
      </w:r>
      <w:r>
        <w:fldChar w:fldCharType="separate"/>
      </w:r>
      <w:r>
        <w:t>58</w:t>
      </w:r>
      <w:r>
        <w:fldChar w:fldCharType="end"/>
      </w:r>
    </w:p>
    <w:p>
      <w:pPr>
        <w:pStyle w:val="TOC8"/>
        <w:rPr>
          <w:rFonts w:asciiTheme="minorHAnsi" w:eastAsiaTheme="minorEastAsia" w:hAnsiTheme="minorHAnsi" w:cstheme="minorBidi"/>
          <w:szCs w:val="22"/>
        </w:rPr>
      </w:pPr>
      <w:r>
        <w:t>2.</w:t>
      </w:r>
      <w:r>
        <w:tab/>
        <w:t>Albany, Emu Point Boat Harbour</w:t>
      </w:r>
      <w:r>
        <w:tab/>
      </w:r>
      <w:r>
        <w:fldChar w:fldCharType="begin"/>
      </w:r>
      <w:r>
        <w:instrText xml:space="preserve"> PAGEREF _Toc425338075 \h </w:instrText>
      </w:r>
      <w:r>
        <w:fldChar w:fldCharType="separate"/>
      </w:r>
      <w:r>
        <w:t>59</w:t>
      </w:r>
      <w:r>
        <w:fldChar w:fldCharType="end"/>
      </w:r>
    </w:p>
    <w:p>
      <w:pPr>
        <w:pStyle w:val="TOC8"/>
        <w:rPr>
          <w:rFonts w:asciiTheme="minorHAnsi" w:eastAsiaTheme="minorEastAsia" w:hAnsiTheme="minorHAnsi" w:cstheme="minorBidi"/>
          <w:szCs w:val="22"/>
        </w:rPr>
      </w:pPr>
      <w:r>
        <w:t>3.</w:t>
      </w:r>
      <w:r>
        <w:tab/>
        <w:t>Augusta Boat Harbour</w:t>
      </w:r>
      <w:r>
        <w:tab/>
      </w:r>
      <w:r>
        <w:fldChar w:fldCharType="begin"/>
      </w:r>
      <w:r>
        <w:instrText xml:space="preserve"> PAGEREF _Toc425338076 \h </w:instrText>
      </w:r>
      <w:r>
        <w:fldChar w:fldCharType="separate"/>
      </w:r>
      <w:r>
        <w:t>60</w:t>
      </w:r>
      <w:r>
        <w:fldChar w:fldCharType="end"/>
      </w:r>
    </w:p>
    <w:p>
      <w:pPr>
        <w:pStyle w:val="TOC8"/>
        <w:rPr>
          <w:rFonts w:asciiTheme="minorHAnsi" w:eastAsiaTheme="minorEastAsia" w:hAnsiTheme="minorHAnsi" w:cstheme="minorBidi"/>
          <w:szCs w:val="22"/>
        </w:rPr>
      </w:pPr>
      <w:r>
        <w:t>4.</w:t>
      </w:r>
      <w:r>
        <w:tab/>
        <w:t>Augusta (Ellis Street) Maritime Facility</w:t>
      </w:r>
      <w:r>
        <w:tab/>
      </w:r>
      <w:r>
        <w:fldChar w:fldCharType="begin"/>
      </w:r>
      <w:r>
        <w:instrText xml:space="preserve"> PAGEREF _Toc425338077 \h </w:instrText>
      </w:r>
      <w:r>
        <w:fldChar w:fldCharType="separate"/>
      </w:r>
      <w:r>
        <w:t>60</w:t>
      </w:r>
      <w:r>
        <w:fldChar w:fldCharType="end"/>
      </w:r>
    </w:p>
    <w:p>
      <w:pPr>
        <w:pStyle w:val="TOC8"/>
        <w:rPr>
          <w:rFonts w:asciiTheme="minorHAnsi" w:eastAsiaTheme="minorEastAsia" w:hAnsiTheme="minorHAnsi" w:cstheme="minorBidi"/>
          <w:szCs w:val="22"/>
        </w:rPr>
      </w:pPr>
      <w:r>
        <w:t>5.</w:t>
      </w:r>
      <w:r>
        <w:tab/>
        <w:t>Bremer Bay</w:t>
      </w:r>
      <w:r>
        <w:tab/>
      </w:r>
      <w:r>
        <w:fldChar w:fldCharType="begin"/>
      </w:r>
      <w:r>
        <w:instrText xml:space="preserve"> PAGEREF _Toc425338078 \h </w:instrText>
      </w:r>
      <w:r>
        <w:fldChar w:fldCharType="separate"/>
      </w:r>
      <w:r>
        <w:t>61</w:t>
      </w:r>
      <w:r>
        <w:fldChar w:fldCharType="end"/>
      </w:r>
    </w:p>
    <w:p>
      <w:pPr>
        <w:pStyle w:val="TOC8"/>
        <w:rPr>
          <w:rFonts w:asciiTheme="minorHAnsi" w:eastAsiaTheme="minorEastAsia" w:hAnsiTheme="minorHAnsi" w:cstheme="minorBidi"/>
          <w:szCs w:val="22"/>
        </w:rPr>
      </w:pPr>
      <w:r>
        <w:t>6.</w:t>
      </w:r>
      <w:r>
        <w:tab/>
        <w:t>Bunbury, Casuarina Boat Harbour</w:t>
      </w:r>
      <w:r>
        <w:tab/>
      </w:r>
      <w:r>
        <w:fldChar w:fldCharType="begin"/>
      </w:r>
      <w:r>
        <w:instrText xml:space="preserve"> PAGEREF _Toc425338079 \h </w:instrText>
      </w:r>
      <w:r>
        <w:fldChar w:fldCharType="separate"/>
      </w:r>
      <w:r>
        <w:t>62</w:t>
      </w:r>
      <w:r>
        <w:fldChar w:fldCharType="end"/>
      </w:r>
    </w:p>
    <w:p>
      <w:pPr>
        <w:pStyle w:val="TOC8"/>
        <w:rPr>
          <w:rFonts w:asciiTheme="minorHAnsi" w:eastAsiaTheme="minorEastAsia" w:hAnsiTheme="minorHAnsi" w:cstheme="minorBidi"/>
          <w:szCs w:val="22"/>
        </w:rPr>
      </w:pPr>
      <w:r>
        <w:t>7.</w:t>
      </w:r>
      <w:r>
        <w:tab/>
        <w:t>Carnarvon Boat Harbour</w:t>
      </w:r>
      <w:r>
        <w:tab/>
      </w:r>
      <w:r>
        <w:fldChar w:fldCharType="begin"/>
      </w:r>
      <w:r>
        <w:instrText xml:space="preserve"> PAGEREF _Toc425338080 \h </w:instrText>
      </w:r>
      <w:r>
        <w:fldChar w:fldCharType="separate"/>
      </w:r>
      <w:r>
        <w:t>63</w:t>
      </w:r>
      <w:r>
        <w:fldChar w:fldCharType="end"/>
      </w:r>
    </w:p>
    <w:p>
      <w:pPr>
        <w:pStyle w:val="TOC8"/>
        <w:rPr>
          <w:rFonts w:asciiTheme="minorHAnsi" w:eastAsiaTheme="minorEastAsia" w:hAnsiTheme="minorHAnsi" w:cstheme="minorBidi"/>
          <w:szCs w:val="22"/>
        </w:rPr>
      </w:pPr>
      <w:r>
        <w:t>8.</w:t>
      </w:r>
      <w:r>
        <w:tab/>
        <w:t>Cervantes</w:t>
      </w:r>
      <w:r>
        <w:tab/>
      </w:r>
      <w:r>
        <w:fldChar w:fldCharType="begin"/>
      </w:r>
      <w:r>
        <w:instrText xml:space="preserve"> PAGEREF _Toc425338081 \h </w:instrText>
      </w:r>
      <w:r>
        <w:fldChar w:fldCharType="separate"/>
      </w:r>
      <w:r>
        <w:t>64</w:t>
      </w:r>
      <w:r>
        <w:fldChar w:fldCharType="end"/>
      </w:r>
    </w:p>
    <w:p>
      <w:pPr>
        <w:pStyle w:val="TOC8"/>
        <w:rPr>
          <w:rFonts w:asciiTheme="minorHAnsi" w:eastAsiaTheme="minorEastAsia" w:hAnsiTheme="minorHAnsi" w:cstheme="minorBidi"/>
          <w:szCs w:val="22"/>
        </w:rPr>
      </w:pPr>
      <w:r>
        <w:t>9.</w:t>
      </w:r>
      <w:r>
        <w:tab/>
        <w:t>Coral Bay Maritime Facility</w:t>
      </w:r>
      <w:r>
        <w:tab/>
      </w:r>
      <w:r>
        <w:fldChar w:fldCharType="begin"/>
      </w:r>
      <w:r>
        <w:instrText xml:space="preserve"> PAGEREF _Toc425338082 \h </w:instrText>
      </w:r>
      <w:r>
        <w:fldChar w:fldCharType="separate"/>
      </w:r>
      <w:r>
        <w:t>65</w:t>
      </w:r>
      <w:r>
        <w:fldChar w:fldCharType="end"/>
      </w:r>
    </w:p>
    <w:p>
      <w:pPr>
        <w:pStyle w:val="TOC8"/>
        <w:rPr>
          <w:rFonts w:asciiTheme="minorHAnsi" w:eastAsiaTheme="minorEastAsia" w:hAnsiTheme="minorHAnsi" w:cstheme="minorBidi"/>
          <w:szCs w:val="22"/>
        </w:rPr>
      </w:pPr>
      <w:r>
        <w:t>10.</w:t>
      </w:r>
      <w:r>
        <w:tab/>
        <w:t>Denham Maritime Facility</w:t>
      </w:r>
      <w:r>
        <w:tab/>
      </w:r>
      <w:r>
        <w:fldChar w:fldCharType="begin"/>
      </w:r>
      <w:r>
        <w:instrText xml:space="preserve"> PAGEREF _Toc425338083 \h </w:instrText>
      </w:r>
      <w:r>
        <w:fldChar w:fldCharType="separate"/>
      </w:r>
      <w:r>
        <w:t>66</w:t>
      </w:r>
      <w:r>
        <w:fldChar w:fldCharType="end"/>
      </w:r>
    </w:p>
    <w:p>
      <w:pPr>
        <w:pStyle w:val="TOC8"/>
        <w:rPr>
          <w:rFonts w:asciiTheme="minorHAnsi" w:eastAsiaTheme="minorEastAsia" w:hAnsiTheme="minorHAnsi" w:cstheme="minorBidi"/>
          <w:szCs w:val="22"/>
        </w:rPr>
      </w:pPr>
      <w:r>
        <w:t>11.</w:t>
      </w:r>
      <w:r>
        <w:tab/>
        <w:t>Esperance, Bandy Creek Boat Harbour</w:t>
      </w:r>
      <w:r>
        <w:tab/>
      </w:r>
      <w:r>
        <w:fldChar w:fldCharType="begin"/>
      </w:r>
      <w:r>
        <w:instrText xml:space="preserve"> PAGEREF _Toc425338084 \h </w:instrText>
      </w:r>
      <w:r>
        <w:fldChar w:fldCharType="separate"/>
      </w:r>
      <w:r>
        <w:t>66</w:t>
      </w:r>
      <w:r>
        <w:fldChar w:fldCharType="end"/>
      </w:r>
    </w:p>
    <w:p>
      <w:pPr>
        <w:pStyle w:val="TOC8"/>
        <w:rPr>
          <w:rFonts w:asciiTheme="minorHAnsi" w:eastAsiaTheme="minorEastAsia" w:hAnsiTheme="minorHAnsi" w:cstheme="minorBidi"/>
          <w:szCs w:val="22"/>
        </w:rPr>
      </w:pPr>
      <w:r>
        <w:t>12.</w:t>
      </w:r>
      <w:r>
        <w:tab/>
        <w:t>Exmouth</w:t>
      </w:r>
      <w:r>
        <w:tab/>
      </w:r>
      <w:r>
        <w:fldChar w:fldCharType="begin"/>
      </w:r>
      <w:r>
        <w:instrText xml:space="preserve"> PAGEREF _Toc425338085 \h </w:instrText>
      </w:r>
      <w:r>
        <w:fldChar w:fldCharType="separate"/>
      </w:r>
      <w:r>
        <w:t>67</w:t>
      </w:r>
      <w:r>
        <w:fldChar w:fldCharType="end"/>
      </w:r>
    </w:p>
    <w:p>
      <w:pPr>
        <w:pStyle w:val="TOC8"/>
        <w:rPr>
          <w:rFonts w:asciiTheme="minorHAnsi" w:eastAsiaTheme="minorEastAsia" w:hAnsiTheme="minorHAnsi" w:cstheme="minorBidi"/>
          <w:szCs w:val="22"/>
        </w:rPr>
      </w:pPr>
      <w:r>
        <w:t>13.</w:t>
      </w:r>
      <w:r>
        <w:tab/>
        <w:t>Fremantle Fishing Boat Harbour</w:t>
      </w:r>
      <w:r>
        <w:tab/>
      </w:r>
      <w:r>
        <w:fldChar w:fldCharType="begin"/>
      </w:r>
      <w:r>
        <w:instrText xml:space="preserve"> PAGEREF _Toc425338086 \h </w:instrText>
      </w:r>
      <w:r>
        <w:fldChar w:fldCharType="separate"/>
      </w:r>
      <w:r>
        <w:t>70</w:t>
      </w:r>
      <w:r>
        <w:fldChar w:fldCharType="end"/>
      </w:r>
    </w:p>
    <w:p>
      <w:pPr>
        <w:pStyle w:val="TOC8"/>
        <w:rPr>
          <w:rFonts w:asciiTheme="minorHAnsi" w:eastAsiaTheme="minorEastAsia" w:hAnsiTheme="minorHAnsi" w:cstheme="minorBidi"/>
          <w:szCs w:val="22"/>
        </w:rPr>
      </w:pPr>
      <w:r>
        <w:t>14.</w:t>
      </w:r>
      <w:r>
        <w:tab/>
        <w:t>Geraldton, Batavia Coast Boat Harbour</w:t>
      </w:r>
      <w:r>
        <w:tab/>
      </w:r>
      <w:r>
        <w:fldChar w:fldCharType="begin"/>
      </w:r>
      <w:r>
        <w:instrText xml:space="preserve"> PAGEREF _Toc425338087 \h </w:instrText>
      </w:r>
      <w:r>
        <w:fldChar w:fldCharType="separate"/>
      </w:r>
      <w:r>
        <w:t>72</w:t>
      </w:r>
      <w:r>
        <w:fldChar w:fldCharType="end"/>
      </w:r>
    </w:p>
    <w:p>
      <w:pPr>
        <w:pStyle w:val="TOC8"/>
        <w:rPr>
          <w:rFonts w:asciiTheme="minorHAnsi" w:eastAsiaTheme="minorEastAsia" w:hAnsiTheme="minorHAnsi" w:cstheme="minorBidi"/>
          <w:szCs w:val="22"/>
        </w:rPr>
      </w:pPr>
      <w:r>
        <w:t>15.</w:t>
      </w:r>
      <w:r>
        <w:tab/>
        <w:t>Green Head</w:t>
      </w:r>
      <w:r>
        <w:tab/>
      </w:r>
      <w:r>
        <w:fldChar w:fldCharType="begin"/>
      </w:r>
      <w:r>
        <w:instrText xml:space="preserve"> PAGEREF _Toc425338088 \h </w:instrText>
      </w:r>
      <w:r>
        <w:fldChar w:fldCharType="separate"/>
      </w:r>
      <w:r>
        <w:t>73</w:t>
      </w:r>
      <w:r>
        <w:fldChar w:fldCharType="end"/>
      </w:r>
    </w:p>
    <w:p>
      <w:pPr>
        <w:pStyle w:val="TOC8"/>
        <w:rPr>
          <w:rFonts w:asciiTheme="minorHAnsi" w:eastAsiaTheme="minorEastAsia" w:hAnsiTheme="minorHAnsi" w:cstheme="minorBidi"/>
          <w:szCs w:val="22"/>
        </w:rPr>
      </w:pPr>
      <w:r>
        <w:t>16.</w:t>
      </w:r>
      <w:r>
        <w:tab/>
        <w:t>Hopetoun</w:t>
      </w:r>
      <w:r>
        <w:tab/>
      </w:r>
      <w:r>
        <w:fldChar w:fldCharType="begin"/>
      </w:r>
      <w:r>
        <w:instrText xml:space="preserve"> PAGEREF _Toc425338089 \h </w:instrText>
      </w:r>
      <w:r>
        <w:fldChar w:fldCharType="separate"/>
      </w:r>
      <w:r>
        <w:t>74</w:t>
      </w:r>
      <w:r>
        <w:fldChar w:fldCharType="end"/>
      </w:r>
    </w:p>
    <w:p>
      <w:pPr>
        <w:pStyle w:val="TOC8"/>
        <w:rPr>
          <w:rFonts w:asciiTheme="minorHAnsi" w:eastAsiaTheme="minorEastAsia" w:hAnsiTheme="minorHAnsi" w:cstheme="minorBidi"/>
          <w:szCs w:val="22"/>
        </w:rPr>
      </w:pPr>
      <w:r>
        <w:t>17.</w:t>
      </w:r>
      <w:r>
        <w:tab/>
        <w:t>Jurien</w:t>
      </w:r>
      <w:r>
        <w:tab/>
      </w:r>
      <w:r>
        <w:fldChar w:fldCharType="begin"/>
      </w:r>
      <w:r>
        <w:instrText xml:space="preserve"> PAGEREF _Toc425338090 \h </w:instrText>
      </w:r>
      <w:r>
        <w:fldChar w:fldCharType="separate"/>
      </w:r>
      <w:r>
        <w:t>74</w:t>
      </w:r>
      <w:r>
        <w:fldChar w:fldCharType="end"/>
      </w:r>
    </w:p>
    <w:p>
      <w:pPr>
        <w:pStyle w:val="TOC8"/>
        <w:rPr>
          <w:rFonts w:asciiTheme="minorHAnsi" w:eastAsiaTheme="minorEastAsia" w:hAnsiTheme="minorHAnsi" w:cstheme="minorBidi"/>
          <w:szCs w:val="22"/>
        </w:rPr>
      </w:pPr>
      <w:r>
        <w:t>18.</w:t>
      </w:r>
      <w:r>
        <w:tab/>
        <w:t>Kalbarri</w:t>
      </w:r>
      <w:r>
        <w:tab/>
      </w:r>
      <w:r>
        <w:fldChar w:fldCharType="begin"/>
      </w:r>
      <w:r>
        <w:instrText xml:space="preserve"> PAGEREF _Toc425338091 \h </w:instrText>
      </w:r>
      <w:r>
        <w:fldChar w:fldCharType="separate"/>
      </w:r>
      <w:r>
        <w:t>75</w:t>
      </w:r>
      <w:r>
        <w:fldChar w:fldCharType="end"/>
      </w:r>
    </w:p>
    <w:p>
      <w:pPr>
        <w:pStyle w:val="TOC8"/>
        <w:rPr>
          <w:rFonts w:asciiTheme="minorHAnsi" w:eastAsiaTheme="minorEastAsia" w:hAnsiTheme="minorHAnsi" w:cstheme="minorBidi"/>
          <w:szCs w:val="22"/>
        </w:rPr>
      </w:pPr>
      <w:r>
        <w:t>19.</w:t>
      </w:r>
      <w:r>
        <w:tab/>
        <w:t>Lancelin</w:t>
      </w:r>
      <w:r>
        <w:tab/>
      </w:r>
      <w:r>
        <w:fldChar w:fldCharType="begin"/>
      </w:r>
      <w:r>
        <w:instrText xml:space="preserve"> PAGEREF _Toc425338092 \h </w:instrText>
      </w:r>
      <w:r>
        <w:fldChar w:fldCharType="separate"/>
      </w:r>
      <w:r>
        <w:t>76</w:t>
      </w:r>
      <w:r>
        <w:fldChar w:fldCharType="end"/>
      </w:r>
    </w:p>
    <w:p>
      <w:pPr>
        <w:pStyle w:val="TOC8"/>
        <w:rPr>
          <w:rFonts w:asciiTheme="minorHAnsi" w:eastAsiaTheme="minorEastAsia" w:hAnsiTheme="minorHAnsi" w:cstheme="minorBidi"/>
          <w:szCs w:val="22"/>
        </w:rPr>
      </w:pPr>
      <w:r>
        <w:t>20.</w:t>
      </w:r>
      <w:r>
        <w:tab/>
        <w:t>Leeman</w:t>
      </w:r>
      <w:r>
        <w:tab/>
      </w:r>
      <w:r>
        <w:fldChar w:fldCharType="begin"/>
      </w:r>
      <w:r>
        <w:instrText xml:space="preserve"> PAGEREF _Toc425338093 \h </w:instrText>
      </w:r>
      <w:r>
        <w:fldChar w:fldCharType="separate"/>
      </w:r>
      <w:r>
        <w:t>77</w:t>
      </w:r>
      <w:r>
        <w:fldChar w:fldCharType="end"/>
      </w:r>
    </w:p>
    <w:p>
      <w:pPr>
        <w:pStyle w:val="TOC8"/>
        <w:rPr>
          <w:rFonts w:asciiTheme="minorHAnsi" w:eastAsiaTheme="minorEastAsia" w:hAnsiTheme="minorHAnsi" w:cstheme="minorBidi"/>
          <w:szCs w:val="22"/>
        </w:rPr>
      </w:pPr>
      <w:r>
        <w:t>21.</w:t>
      </w:r>
      <w:r>
        <w:tab/>
        <w:t>Onslow, Beadon Creek Boat Harbour</w:t>
      </w:r>
      <w:r>
        <w:tab/>
      </w:r>
      <w:r>
        <w:fldChar w:fldCharType="begin"/>
      </w:r>
      <w:r>
        <w:instrText xml:space="preserve"> PAGEREF _Toc425338094 \h </w:instrText>
      </w:r>
      <w:r>
        <w:fldChar w:fldCharType="separate"/>
      </w:r>
      <w:r>
        <w:t>77</w:t>
      </w:r>
      <w:r>
        <w:fldChar w:fldCharType="end"/>
      </w:r>
    </w:p>
    <w:p>
      <w:pPr>
        <w:pStyle w:val="TOC8"/>
        <w:rPr>
          <w:rFonts w:asciiTheme="minorHAnsi" w:eastAsiaTheme="minorEastAsia" w:hAnsiTheme="minorHAnsi" w:cstheme="minorBidi"/>
          <w:szCs w:val="22"/>
        </w:rPr>
      </w:pPr>
      <w:r>
        <w:t>22.</w:t>
      </w:r>
      <w:r>
        <w:tab/>
        <w:t>Point Samson, Johns Creek Boat Harbour</w:t>
      </w:r>
      <w:r>
        <w:tab/>
      </w:r>
      <w:r>
        <w:fldChar w:fldCharType="begin"/>
      </w:r>
      <w:r>
        <w:instrText xml:space="preserve"> PAGEREF _Toc425338095 \h </w:instrText>
      </w:r>
      <w:r>
        <w:fldChar w:fldCharType="separate"/>
      </w:r>
      <w:r>
        <w:t>79</w:t>
      </w:r>
      <w:r>
        <w:fldChar w:fldCharType="end"/>
      </w:r>
    </w:p>
    <w:p>
      <w:pPr>
        <w:pStyle w:val="TOC8"/>
        <w:rPr>
          <w:rFonts w:asciiTheme="minorHAnsi" w:eastAsiaTheme="minorEastAsia" w:hAnsiTheme="minorHAnsi" w:cstheme="minorBidi"/>
          <w:szCs w:val="22"/>
        </w:rPr>
      </w:pPr>
      <w:r>
        <w:t>23.</w:t>
      </w:r>
      <w:r>
        <w:tab/>
        <w:t>Port Denison</w:t>
      </w:r>
      <w:r>
        <w:tab/>
      </w:r>
      <w:r>
        <w:fldChar w:fldCharType="begin"/>
      </w:r>
      <w:r>
        <w:instrText xml:space="preserve"> PAGEREF _Toc425338096 \h </w:instrText>
      </w:r>
      <w:r>
        <w:fldChar w:fldCharType="separate"/>
      </w:r>
      <w:r>
        <w:t>82</w:t>
      </w:r>
      <w:r>
        <w:fldChar w:fldCharType="end"/>
      </w:r>
    </w:p>
    <w:p>
      <w:pPr>
        <w:pStyle w:val="TOC8"/>
        <w:rPr>
          <w:rFonts w:asciiTheme="minorHAnsi" w:eastAsiaTheme="minorEastAsia" w:hAnsiTheme="minorHAnsi" w:cstheme="minorBidi"/>
          <w:szCs w:val="22"/>
        </w:rPr>
      </w:pPr>
      <w:r>
        <w:t>24.</w:t>
      </w:r>
      <w:r>
        <w:tab/>
        <w:t>Port Gregory</w:t>
      </w:r>
      <w:r>
        <w:tab/>
      </w:r>
      <w:r>
        <w:fldChar w:fldCharType="begin"/>
      </w:r>
      <w:r>
        <w:instrText xml:space="preserve"> PAGEREF _Toc425338097 \h </w:instrText>
      </w:r>
      <w:r>
        <w:fldChar w:fldCharType="separate"/>
      </w:r>
      <w:r>
        <w:t>83</w:t>
      </w:r>
      <w:r>
        <w:fldChar w:fldCharType="end"/>
      </w:r>
    </w:p>
    <w:p>
      <w:pPr>
        <w:pStyle w:val="TOC8"/>
        <w:rPr>
          <w:rFonts w:asciiTheme="minorHAnsi" w:eastAsiaTheme="minorEastAsia" w:hAnsiTheme="minorHAnsi" w:cstheme="minorBidi"/>
          <w:szCs w:val="22"/>
        </w:rPr>
      </w:pPr>
      <w:r>
        <w:t>25A.</w:t>
      </w:r>
      <w:r>
        <w:tab/>
        <w:t>Two Rocks Marina</w:t>
      </w:r>
      <w:r>
        <w:tab/>
      </w:r>
      <w:r>
        <w:fldChar w:fldCharType="begin"/>
      </w:r>
      <w:r>
        <w:instrText xml:space="preserve"> PAGEREF _Toc425338098 \h </w:instrText>
      </w:r>
      <w:r>
        <w:fldChar w:fldCharType="separate"/>
      </w:r>
      <w:r>
        <w:t>84</w:t>
      </w:r>
      <w:r>
        <w:fldChar w:fldCharType="end"/>
      </w:r>
    </w:p>
    <w:p>
      <w:pPr>
        <w:pStyle w:val="TOC8"/>
        <w:rPr>
          <w:rFonts w:asciiTheme="minorHAnsi" w:eastAsiaTheme="minorEastAsia" w:hAnsiTheme="minorHAnsi" w:cstheme="minorBidi"/>
          <w:szCs w:val="22"/>
        </w:rPr>
      </w:pPr>
      <w:r>
        <w:t>25.</w:t>
      </w:r>
      <w:r>
        <w:tab/>
        <w:t>Wyndham</w:t>
      </w:r>
      <w:r>
        <w:tab/>
      </w:r>
      <w:r>
        <w:fldChar w:fldCharType="begin"/>
      </w:r>
      <w:r>
        <w:instrText xml:space="preserve"> PAGEREF _Toc425338099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State</w:t>
      </w:r>
      <w:r>
        <w:noBreakHyphen/>
        <w:t>wide charges</w:t>
      </w:r>
    </w:p>
    <w:p>
      <w:pPr>
        <w:pStyle w:val="TOC8"/>
        <w:rPr>
          <w:rFonts w:asciiTheme="minorHAnsi" w:eastAsiaTheme="minorEastAsia" w:hAnsiTheme="minorHAnsi" w:cstheme="minorBidi"/>
          <w:szCs w:val="22"/>
        </w:rPr>
      </w:pPr>
      <w:r>
        <w:t>26.</w:t>
      </w:r>
      <w:r>
        <w:tab/>
        <w:t>Living on a vessel</w:t>
      </w:r>
      <w:r>
        <w:tab/>
      </w:r>
      <w:r>
        <w:fldChar w:fldCharType="begin"/>
      </w:r>
      <w:r>
        <w:instrText xml:space="preserve"> PAGEREF _Toc425338101 \h </w:instrText>
      </w:r>
      <w:r>
        <w:fldChar w:fldCharType="separate"/>
      </w:r>
      <w:r>
        <w:t>89</w:t>
      </w:r>
      <w:r>
        <w:fldChar w:fldCharType="end"/>
      </w:r>
    </w:p>
    <w:p>
      <w:pPr>
        <w:pStyle w:val="TOC8"/>
        <w:rPr>
          <w:rFonts w:asciiTheme="minorHAnsi" w:eastAsiaTheme="minorEastAsia" w:hAnsiTheme="minorHAnsi" w:cstheme="minorBidi"/>
          <w:szCs w:val="22"/>
        </w:rPr>
      </w:pPr>
      <w:r>
        <w:t>27.</w:t>
      </w:r>
      <w:r>
        <w:tab/>
        <w:t>Electricity supply</w:t>
      </w:r>
      <w:r>
        <w:tab/>
      </w:r>
      <w:r>
        <w:fldChar w:fldCharType="begin"/>
      </w:r>
      <w:r>
        <w:instrText xml:space="preserve"> PAGEREF _Toc425338102 \h </w:instrText>
      </w:r>
      <w:r>
        <w:fldChar w:fldCharType="separate"/>
      </w:r>
      <w:r>
        <w:t>90</w:t>
      </w:r>
      <w:r>
        <w:fldChar w:fldCharType="end"/>
      </w:r>
    </w:p>
    <w:p>
      <w:pPr>
        <w:pStyle w:val="TOC8"/>
        <w:rPr>
          <w:rFonts w:asciiTheme="minorHAnsi" w:eastAsiaTheme="minorEastAsia" w:hAnsiTheme="minorHAnsi" w:cstheme="minorBidi"/>
          <w:szCs w:val="22"/>
        </w:rPr>
      </w:pPr>
      <w:r>
        <w:t>28.</w:t>
      </w:r>
      <w:r>
        <w:tab/>
        <w:t>Water supply</w:t>
      </w:r>
      <w:r>
        <w:tab/>
      </w:r>
      <w:r>
        <w:fldChar w:fldCharType="begin"/>
      </w:r>
      <w:r>
        <w:instrText xml:space="preserve"> PAGEREF _Toc425338103 \h </w:instrText>
      </w:r>
      <w:r>
        <w:fldChar w:fldCharType="separate"/>
      </w:r>
      <w:r>
        <w:t>90</w:t>
      </w:r>
      <w:r>
        <w:fldChar w:fldCharType="end"/>
      </w:r>
    </w:p>
    <w:p>
      <w:pPr>
        <w:pStyle w:val="TOC8"/>
        <w:rPr>
          <w:rFonts w:asciiTheme="minorHAnsi" w:eastAsiaTheme="minorEastAsia" w:hAnsiTheme="minorHAnsi" w:cstheme="minorBidi"/>
          <w:szCs w:val="22"/>
        </w:rPr>
      </w:pPr>
      <w:r>
        <w:t>29.</w:t>
      </w:r>
      <w:r>
        <w:tab/>
        <w:t>Rubbish removal (r. 53A)</w:t>
      </w:r>
      <w:r>
        <w:tab/>
      </w:r>
      <w:r>
        <w:fldChar w:fldCharType="begin"/>
      </w:r>
      <w:r>
        <w:instrText xml:space="preserve"> PAGEREF _Toc425338104 \h </w:instrText>
      </w:r>
      <w:r>
        <w:fldChar w:fldCharType="separate"/>
      </w:r>
      <w:r>
        <w:t>91</w:t>
      </w:r>
      <w:r>
        <w:fldChar w:fldCharType="end"/>
      </w:r>
    </w:p>
    <w:p>
      <w:pPr>
        <w:pStyle w:val="TOC8"/>
        <w:rPr>
          <w:rFonts w:asciiTheme="minorHAnsi" w:eastAsiaTheme="minorEastAsia" w:hAnsiTheme="minorHAnsi" w:cstheme="minorBidi"/>
          <w:szCs w:val="22"/>
        </w:rPr>
      </w:pPr>
      <w:r>
        <w:t>30.</w:t>
      </w:r>
      <w:r>
        <w:tab/>
        <w:t>Passengers and cargo</w:t>
      </w:r>
      <w:r>
        <w:tab/>
      </w:r>
      <w:r>
        <w:fldChar w:fldCharType="begin"/>
      </w:r>
      <w:r>
        <w:instrText xml:space="preserve"> PAGEREF _Toc425338105 \h </w:instrText>
      </w:r>
      <w:r>
        <w:fldChar w:fldCharType="separate"/>
      </w:r>
      <w:r>
        <w:t>91</w:t>
      </w:r>
      <w:r>
        <w:fldChar w:fldCharType="end"/>
      </w:r>
    </w:p>
    <w:p>
      <w:pPr>
        <w:pStyle w:val="TOC8"/>
        <w:rPr>
          <w:rFonts w:asciiTheme="minorHAnsi" w:eastAsiaTheme="minorEastAsia" w:hAnsiTheme="minorHAnsi" w:cstheme="minorBidi"/>
          <w:szCs w:val="22"/>
        </w:rPr>
      </w:pPr>
      <w:r>
        <w:t>31.</w:t>
      </w:r>
      <w:r>
        <w:tab/>
        <w:t>Slip services (r. 96)</w:t>
      </w:r>
      <w:r>
        <w:tab/>
      </w:r>
      <w:r>
        <w:fldChar w:fldCharType="begin"/>
      </w:r>
      <w:r>
        <w:instrText xml:space="preserve"> PAGEREF _Toc425338106 \h </w:instrText>
      </w:r>
      <w:r>
        <w:fldChar w:fldCharType="separate"/>
      </w:r>
      <w:r>
        <w:t>92</w:t>
      </w:r>
      <w:r>
        <w:fldChar w:fldCharType="end"/>
      </w:r>
    </w:p>
    <w:p>
      <w:pPr>
        <w:pStyle w:val="TOC8"/>
        <w:rPr>
          <w:rFonts w:asciiTheme="minorHAnsi" w:eastAsiaTheme="minorEastAsia" w:hAnsiTheme="minorHAnsi" w:cstheme="minorBidi"/>
          <w:szCs w:val="22"/>
        </w:rPr>
      </w:pPr>
      <w:r>
        <w:t>32.</w:t>
      </w:r>
      <w:r>
        <w:tab/>
        <w:t>Floating dinghy pens</w:t>
      </w:r>
      <w:r>
        <w:tab/>
      </w:r>
      <w:r>
        <w:fldChar w:fldCharType="begin"/>
      </w:r>
      <w:r>
        <w:instrText xml:space="preserve"> PAGEREF _Toc425338107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Schedule 1A — Fuel oil wharfage</w:t>
      </w:r>
    </w:p>
    <w:p>
      <w:pPr>
        <w:pStyle w:val="TOC8"/>
        <w:rPr>
          <w:rFonts w:asciiTheme="minorHAnsi" w:eastAsiaTheme="minorEastAsia" w:hAnsiTheme="minorHAnsi" w:cstheme="minorBidi"/>
          <w:szCs w:val="22"/>
        </w:rPr>
      </w:pPr>
      <w:r>
        <w:t>1.</w:t>
      </w:r>
      <w:r>
        <w:tab/>
        <w:t>Wharfage for fuel (r. 11B(2))</w:t>
      </w:r>
      <w:r>
        <w:tab/>
      </w:r>
      <w:r>
        <w:fldChar w:fldCharType="begin"/>
      </w:r>
      <w:r>
        <w:instrText xml:space="preserve"> PAGEREF _Toc425338109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Schedule 2 — Port of Perth charges</w:t>
      </w:r>
    </w:p>
    <w:p>
      <w:pPr>
        <w:pStyle w:val="TOC4"/>
        <w:tabs>
          <w:tab w:val="right" w:leader="dot" w:pos="7077"/>
        </w:tabs>
        <w:rPr>
          <w:rFonts w:asciiTheme="minorHAnsi" w:eastAsiaTheme="minorEastAsia" w:hAnsiTheme="minorHAnsi" w:cstheme="minorBidi"/>
          <w:b w:val="0"/>
          <w:szCs w:val="22"/>
        </w:rPr>
      </w:pPr>
      <w:r>
        <w:t>Division 1A</w:t>
      </w:r>
      <w:r>
        <w:rPr>
          <w:b w:val="0"/>
        </w:rPr>
        <w:t> — </w:t>
      </w:r>
      <w:r>
        <w:t>Application and Standard rates</w:t>
      </w:r>
    </w:p>
    <w:p>
      <w:pPr>
        <w:pStyle w:val="TOC8"/>
        <w:rPr>
          <w:rFonts w:asciiTheme="minorHAnsi" w:eastAsiaTheme="minorEastAsia" w:hAnsiTheme="minorHAnsi" w:cstheme="minorBidi"/>
          <w:szCs w:val="22"/>
        </w:rPr>
      </w:pPr>
      <w:r>
        <w:t>1A.</w:t>
      </w:r>
      <w:r>
        <w:tab/>
        <w:t>Application of this Schedule</w:t>
      </w:r>
      <w:r>
        <w:tab/>
      </w:r>
      <w:r>
        <w:fldChar w:fldCharType="begin"/>
      </w:r>
      <w:r>
        <w:instrText xml:space="preserve"> PAGEREF _Toc425338112 \h </w:instrText>
      </w:r>
      <w:r>
        <w:fldChar w:fldCharType="separate"/>
      </w:r>
      <w:r>
        <w:t>96</w:t>
      </w:r>
      <w:r>
        <w:fldChar w:fldCharType="end"/>
      </w:r>
    </w:p>
    <w:p>
      <w:pPr>
        <w:pStyle w:val="TOC8"/>
        <w:rPr>
          <w:rFonts w:asciiTheme="minorHAnsi" w:eastAsiaTheme="minorEastAsia" w:hAnsiTheme="minorHAnsi" w:cstheme="minorBidi"/>
          <w:szCs w:val="22"/>
        </w:rPr>
      </w:pPr>
      <w:r>
        <w:t>1B.</w:t>
      </w:r>
      <w:r>
        <w:tab/>
        <w:t>Standard rates for this Schedule</w:t>
      </w:r>
      <w:r>
        <w:tab/>
      </w:r>
      <w:r>
        <w:fldChar w:fldCharType="begin"/>
      </w:r>
      <w:r>
        <w:instrText xml:space="preserve"> PAGEREF _Toc425338113 \h </w:instrText>
      </w:r>
      <w:r>
        <w:fldChar w:fldCharType="separate"/>
      </w:r>
      <w:r>
        <w:t>96</w:t>
      </w:r>
      <w:r>
        <w:fldChar w:fldCharType="end"/>
      </w:r>
    </w:p>
    <w:p>
      <w:pPr>
        <w:pStyle w:val="TOC8"/>
        <w:rPr>
          <w:rFonts w:asciiTheme="minorHAnsi" w:eastAsiaTheme="minorEastAsia" w:hAnsiTheme="minorHAnsi" w:cstheme="minorBidi"/>
          <w:szCs w:val="22"/>
        </w:rPr>
      </w:pPr>
      <w:r>
        <w:t>1C.</w:t>
      </w:r>
      <w:r>
        <w:tab/>
        <w:t>Transferability of annual payments</w:t>
      </w:r>
      <w:r>
        <w:tab/>
      </w:r>
      <w:r>
        <w:fldChar w:fldCharType="begin"/>
      </w:r>
      <w:r>
        <w:instrText xml:space="preserve"> PAGEREF _Toc425338114 \h </w:instrText>
      </w:r>
      <w:r>
        <w:fldChar w:fldCharType="separate"/>
      </w:r>
      <w:r>
        <w:t>96</w:t>
      </w:r>
      <w:r>
        <w:fldChar w:fldCharType="end"/>
      </w:r>
    </w:p>
    <w:p>
      <w:pPr>
        <w:pStyle w:val="TOC8"/>
        <w:rPr>
          <w:rFonts w:asciiTheme="minorHAnsi" w:eastAsiaTheme="minorEastAsia" w:hAnsiTheme="minorHAnsi" w:cstheme="minorBidi"/>
          <w:szCs w:val="22"/>
        </w:rPr>
      </w:pPr>
      <w:r>
        <w:t>1D.</w:t>
      </w:r>
      <w:r>
        <w:tab/>
        <w:t>Service wharf or jetty entitlements</w:t>
      </w:r>
      <w:r>
        <w:tab/>
      </w:r>
      <w:r>
        <w:fldChar w:fldCharType="begin"/>
      </w:r>
      <w:r>
        <w:instrText xml:space="preserve"> PAGEREF _Toc425338115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1</w:t>
      </w:r>
      <w:r>
        <w:rPr>
          <w:b w:val="0"/>
        </w:rPr>
        <w:t> — </w:t>
      </w:r>
      <w:r>
        <w:t>Specific charges for Port of Perth jetties</w:t>
      </w:r>
    </w:p>
    <w:p>
      <w:pPr>
        <w:pStyle w:val="TOC8"/>
        <w:rPr>
          <w:rFonts w:asciiTheme="minorHAnsi" w:eastAsiaTheme="minorEastAsia" w:hAnsiTheme="minorHAnsi" w:cstheme="minorBidi"/>
          <w:szCs w:val="22"/>
        </w:rPr>
      </w:pPr>
      <w:r>
        <w:t>1.</w:t>
      </w:r>
      <w:r>
        <w:tab/>
        <w:t>Barrack Street and Mends Street jetties</w:t>
      </w:r>
      <w:r>
        <w:tab/>
      </w:r>
      <w:r>
        <w:fldChar w:fldCharType="begin"/>
      </w:r>
      <w:r>
        <w:instrText xml:space="preserve"> PAGEREF _Toc425338117 \h </w:instrText>
      </w:r>
      <w:r>
        <w:fldChar w:fldCharType="separate"/>
      </w:r>
      <w:r>
        <w:t>97</w:t>
      </w:r>
      <w:r>
        <w:fldChar w:fldCharType="end"/>
      </w:r>
    </w:p>
    <w:p>
      <w:pPr>
        <w:pStyle w:val="TOC8"/>
        <w:rPr>
          <w:rFonts w:asciiTheme="minorHAnsi" w:eastAsiaTheme="minorEastAsia" w:hAnsiTheme="minorHAnsi" w:cstheme="minorBidi"/>
          <w:szCs w:val="22"/>
        </w:rPr>
      </w:pPr>
      <w:r>
        <w:t>2.</w:t>
      </w:r>
      <w:r>
        <w:tab/>
        <w:t>Other jetties in Swan and Canning Rivers</w:t>
      </w:r>
      <w:r>
        <w:tab/>
      </w:r>
      <w:r>
        <w:fldChar w:fldCharType="begin"/>
      </w:r>
      <w:r>
        <w:instrText xml:space="preserve"> PAGEREF _Toc425338118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Charges for boat pens</w:t>
      </w:r>
    </w:p>
    <w:p>
      <w:pPr>
        <w:pStyle w:val="TOC8"/>
        <w:rPr>
          <w:rFonts w:asciiTheme="minorHAnsi" w:eastAsiaTheme="minorEastAsia" w:hAnsiTheme="minorHAnsi" w:cstheme="minorBidi"/>
          <w:szCs w:val="22"/>
        </w:rPr>
      </w:pPr>
      <w:r>
        <w:t>3.</w:t>
      </w:r>
      <w:r>
        <w:tab/>
        <w:t>Fremantle, Challenger Boat Harbour</w:t>
      </w:r>
      <w:r>
        <w:tab/>
      </w:r>
      <w:r>
        <w:fldChar w:fldCharType="begin"/>
      </w:r>
      <w:r>
        <w:instrText xml:space="preserve"> PAGEREF _Toc425338120 \h </w:instrText>
      </w:r>
      <w:r>
        <w:fldChar w:fldCharType="separate"/>
      </w:r>
      <w:r>
        <w:t>98</w:t>
      </w:r>
      <w:r>
        <w:fldChar w:fldCharType="end"/>
      </w:r>
    </w:p>
    <w:p>
      <w:pPr>
        <w:pStyle w:val="TOC8"/>
        <w:rPr>
          <w:rFonts w:asciiTheme="minorHAnsi" w:eastAsiaTheme="minorEastAsia" w:hAnsiTheme="minorHAnsi" w:cstheme="minorBidi"/>
          <w:szCs w:val="22"/>
        </w:rPr>
      </w:pPr>
      <w:r>
        <w:t>4.</w:t>
      </w:r>
      <w:r>
        <w:tab/>
        <w:t>Hillarys Boat Harbour</w:t>
      </w:r>
      <w:r>
        <w:tab/>
      </w:r>
      <w:r>
        <w:fldChar w:fldCharType="begin"/>
      </w:r>
      <w:r>
        <w:instrText xml:space="preserve"> PAGEREF _Toc425338121 \h </w:instrText>
      </w:r>
      <w:r>
        <w:fldChar w:fldCharType="separate"/>
      </w:r>
      <w:r>
        <w:t>99</w:t>
      </w:r>
      <w:r>
        <w:fldChar w:fldCharType="end"/>
      </w:r>
    </w:p>
    <w:p>
      <w:pPr>
        <w:pStyle w:val="TOC8"/>
        <w:rPr>
          <w:rFonts w:asciiTheme="minorHAnsi" w:eastAsiaTheme="minorEastAsia" w:hAnsiTheme="minorHAnsi" w:cstheme="minorBidi"/>
          <w:szCs w:val="22"/>
        </w:rPr>
      </w:pPr>
      <w:r>
        <w:t>5.</w:t>
      </w:r>
      <w:r>
        <w:tab/>
        <w:t>Jervoise Bay</w:t>
      </w:r>
      <w:r>
        <w:tab/>
      </w:r>
      <w:r>
        <w:fldChar w:fldCharType="begin"/>
      </w:r>
      <w:r>
        <w:instrText xml:space="preserve"> PAGEREF _Toc425338122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_Toc425338125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after="600"/>
        <w:rPr>
          <w:snapToGrid w:val="0"/>
        </w:rPr>
      </w:pPr>
      <w:r>
        <w:rPr>
          <w:snapToGrid w:val="0"/>
        </w:rPr>
        <w:t>Jetties Act 1926</w:t>
      </w:r>
    </w:p>
    <w:p>
      <w:pPr>
        <w:pStyle w:val="NameofActReg"/>
        <w:spacing w:before="600" w:after="720"/>
      </w:pPr>
      <w:r>
        <w:t>Jetties Regulations 1940</w:t>
      </w:r>
    </w:p>
    <w:p>
      <w:pPr>
        <w:pStyle w:val="Heading5"/>
        <w:rPr>
          <w:snapToGrid w:val="0"/>
        </w:rPr>
      </w:pPr>
      <w:bookmarkStart w:id="3" w:name="_Toc425337928"/>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4" w:name="_Toc425337929"/>
      <w:r>
        <w:rPr>
          <w:rStyle w:val="CharSectno"/>
        </w:rPr>
        <w:t>2</w:t>
      </w:r>
      <w:r>
        <w:t>.</w:t>
      </w:r>
      <w:r>
        <w:tab/>
        <w:t>Liability for dues and charges</w:t>
      </w:r>
      <w:bookmarkEnd w:id="4"/>
    </w:p>
    <w:p>
      <w:pPr>
        <w:pStyle w:val="Subsection"/>
      </w:pPr>
      <w:r>
        <w:tab/>
      </w:r>
      <w:r>
        <w:tab/>
        <w:t>Unless otherwise stated in a specific regulation, the owner and the master of a vessel are jointly and severally liable for the dues and charges incurred by, or in relation to, the vessel or its cargo under these regulations.</w:t>
      </w:r>
    </w:p>
    <w:p>
      <w:pPr>
        <w:pStyle w:val="Footnotesection"/>
      </w:pPr>
      <w:r>
        <w:tab/>
        <w:t>[Regulation 2 inserted in Gazette 14 Jun 2002 p. 2799; amended in Gazette 25 Jul 2014 p. 2607.]</w:t>
      </w:r>
    </w:p>
    <w:p>
      <w:pPr>
        <w:pStyle w:val="Heading5"/>
        <w:rPr>
          <w:snapToGrid w:val="0"/>
        </w:rPr>
      </w:pPr>
      <w:bookmarkStart w:id="5" w:name="_Toc425337930"/>
      <w:r>
        <w:rPr>
          <w:rStyle w:val="CharSectno"/>
        </w:rPr>
        <w:t>3</w:t>
      </w:r>
      <w:r>
        <w:rPr>
          <w:snapToGrid w:val="0"/>
        </w:rPr>
        <w:t>.</w:t>
      </w:r>
      <w:r>
        <w:rPr>
          <w:snapToGrid w:val="0"/>
        </w:rPr>
        <w:tab/>
        <w:t>Terms used</w:t>
      </w:r>
      <w:bookmarkEnd w:id="5"/>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t>
      </w:r>
      <w:smartTag w:uri="urn:schemas-microsoft-com:office:smarttags" w:element="place">
        <w:smartTag w:uri="urn:schemas-microsoft-com:office:smarttags" w:element="State">
          <w:r>
            <w:rPr>
              <w:i/>
            </w:rPr>
            <w:t>Western Australia</w:t>
          </w:r>
        </w:smartTag>
      </w:smartTag>
      <w:r>
        <w:rPr>
          <w:i/>
        </w:rPr>
        <w:t>) Code</w:t>
      </w:r>
      <w:r>
        <w:rPr>
          <w:vertAlign w:val="superscript"/>
        </w:rPr>
        <w:t> 2</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swing mooring fee</w:t>
      </w:r>
      <w:r>
        <w:t xml:space="preserve"> means an annual fee for a swing mooring under the </w:t>
      </w:r>
      <w:r>
        <w:rPr>
          <w:i/>
        </w:rPr>
        <w:t>Shipping and Pilotage (Mooring Control Areas) Regulations 1983</w:t>
      </w:r>
      <w:r>
        <w:t xml:space="preserve"> regulation 7;</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a due or charge under these regulations —</w:t>
      </w:r>
    </w:p>
    <w:p>
      <w:pPr>
        <w:pStyle w:val="Defstart"/>
      </w:pPr>
      <w:r>
        <w:tab/>
      </w:r>
      <w:r>
        <w:rPr>
          <w:rStyle w:val="CharDefText"/>
        </w:rPr>
        <w:t>day</w:t>
      </w:r>
      <w:r>
        <w:t xml:space="preserve"> means a period of 24 hours;</w:t>
      </w:r>
    </w:p>
    <w:p>
      <w:pPr>
        <w:pStyle w:val="Defstart"/>
      </w:pPr>
      <w:r>
        <w:tab/>
      </w:r>
      <w:r>
        <w:rPr>
          <w:rStyle w:val="CharDefText"/>
        </w:rPr>
        <w:t>short term</w:t>
      </w:r>
      <w:r>
        <w:t xml:space="preserve"> means up to one hour in any day;</w:t>
      </w:r>
    </w:p>
    <w:p>
      <w:pPr>
        <w:pStyle w:val="Defstart"/>
      </w:pPr>
      <w:r>
        <w:tab/>
      </w:r>
      <w:r>
        <w:rPr>
          <w:rStyle w:val="CharDefText"/>
        </w:rPr>
        <w:t>week</w:t>
      </w:r>
      <w:r>
        <w:t xml:space="preserve"> means 7 consecutive days.</w:t>
      </w:r>
    </w:p>
    <w:p>
      <w:pPr>
        <w:pStyle w:val="Subsection"/>
      </w:pPr>
      <w:r>
        <w:tab/>
        <w:t>(3)</w:t>
      </w:r>
      <w:r>
        <w:tab/>
        <w:t>For the purposes of calculating a due or charge prescribed in a Schedule —</w:t>
      </w:r>
    </w:p>
    <w:p>
      <w:pPr>
        <w:pStyle w:val="Indenta"/>
      </w:pPr>
      <w:r>
        <w:tab/>
        <w:t>(a)</w:t>
      </w:r>
      <w:r>
        <w:tab/>
        <w:t>an amount payable per day is payable for any part of a day;</w:t>
      </w:r>
    </w:p>
    <w:p>
      <w:pPr>
        <w:pStyle w:val="Indenta"/>
      </w:pPr>
      <w:r>
        <w:tab/>
        <w:t>(b)</w:t>
      </w:r>
      <w:r>
        <w:tab/>
        <w:t xml:space="preserve">the length of a vessel is its overall length or, if it has a valid certificate of survey under the </w:t>
      </w:r>
      <w:r>
        <w:rPr>
          <w:i/>
        </w:rPr>
        <w:t>Western Australian Marine Act 1982</w:t>
      </w:r>
      <w:r>
        <w:t>, its measured length, measured to 2 decimal places;</w:t>
      </w:r>
    </w:p>
    <w:p>
      <w:pPr>
        <w:pStyle w:val="Indenta"/>
      </w:pPr>
      <w:r>
        <w:tab/>
        <w:t>(c)</w:t>
      </w:r>
      <w:r>
        <w:tab/>
        <w:t xml:space="preserve">the chargeable length of a pen is — </w:t>
      </w:r>
    </w:p>
    <w:p>
      <w:pPr>
        <w:pStyle w:val="Indenti"/>
      </w:pPr>
      <w:r>
        <w:tab/>
        <w:t>(i)</w:t>
      </w:r>
      <w:r>
        <w:tab/>
        <w:t>unless subparagraph (ii) applies, its chargeable length as determined by the Department and set out on its website at the time the charge is calculated; or</w:t>
      </w:r>
    </w:p>
    <w:p>
      <w:pPr>
        <w:pStyle w:val="Indenti"/>
      </w:pPr>
      <w:r>
        <w:tab/>
        <w:t>(ii)</w:t>
      </w:r>
      <w:r>
        <w:tab/>
        <w:t>if a vessel allocated a pen that is longer than it needs to be due to the unavailability of a suitable</w:t>
      </w:r>
      <w:r>
        <w:noBreakHyphen/>
        <w:t>sized pen for the vessel at the place where the vessel is berthed — the chargeable length of a suitable</w:t>
      </w:r>
      <w:r>
        <w:noBreakHyphen/>
        <w:t>sized pen.</w:t>
      </w:r>
    </w:p>
    <w:p>
      <w:pPr>
        <w:pStyle w:val="Subsection"/>
      </w:pPr>
      <w:r>
        <w:tab/>
        <w:t>(4)</w:t>
      </w:r>
      <w:r>
        <w:tab/>
        <w:t>Subject to subregulation (5A), a reference in a Schedule to calculating a due or charge for a particular period using an annual rate is a reference to calculating the due or charge as follows —</w:t>
      </w:r>
    </w:p>
    <w:p>
      <w:pPr>
        <w:pStyle w:val="Indenta"/>
      </w:pPr>
      <w:r>
        <w:tab/>
        <w:t>(a)</w:t>
      </w:r>
      <w:r>
        <w:tab/>
        <w:t>if the period is 12 months or more, at the annual rate;</w:t>
      </w:r>
    </w:p>
    <w:p>
      <w:pPr>
        <w:pStyle w:val="Indenta"/>
      </w:pPr>
      <w:r>
        <w:tab/>
        <w:t>(b)</w:t>
      </w:r>
      <w:r>
        <w:tab/>
        <w:t>if the period is less than 12 months but is at least 3 months, at a monthly rate that is 10% of the annual rate;</w:t>
      </w:r>
    </w:p>
    <w:p>
      <w:pPr>
        <w:pStyle w:val="Indenta"/>
      </w:pPr>
      <w:r>
        <w:tab/>
        <w:t>(c)</w:t>
      </w:r>
      <w:r>
        <w:tab/>
        <w:t>if the period is less than 3 months but is at least one month, at a monthly rate that is 15% of the annual rate;</w:t>
      </w:r>
    </w:p>
    <w:p>
      <w:pPr>
        <w:pStyle w:val="Indenta"/>
      </w:pPr>
      <w:r>
        <w:tab/>
        <w:t>(d)</w:t>
      </w:r>
      <w:r>
        <w:tab/>
        <w:t>if the period is less than one month, at a weekly rate that is 4.5% of the annual rate.</w:t>
      </w:r>
    </w:p>
    <w:p>
      <w:pPr>
        <w:pStyle w:val="Subsection"/>
      </w:pPr>
      <w:r>
        <w:tab/>
        <w:t>(5A)</w:t>
      </w:r>
      <w:r>
        <w:tab/>
        <w:t>Subregulation (4) does not apply when Rate 3 is the rate charged in a Schedule.</w:t>
      </w:r>
    </w:p>
    <w:p>
      <w:pPr>
        <w:pStyle w:val="Subsection"/>
      </w:pPr>
      <w:r>
        <w:tab/>
        <w:t>(5)</w:t>
      </w:r>
      <w:r>
        <w:tab/>
        <w:t xml:space="preserve">A reference in subregulation (4) or a Schedule to calculating a due or charge payable for a particular period at a rate per year, month, week, day or hour (a </w:t>
      </w:r>
      <w:r>
        <w:rPr>
          <w:rStyle w:val="CharDefText"/>
        </w:rPr>
        <w:t>unit</w:t>
      </w:r>
      <w:r>
        <w:t>), is a reference to the due or charge payable for each unit, or part of a unit, in the period.</w:t>
      </w:r>
    </w:p>
    <w:p>
      <w:pPr>
        <w:pStyle w:val="Footnotesection"/>
        <w:ind w:left="890" w:hanging="890"/>
      </w:pPr>
      <w:r>
        <w:tab/>
        <w:t>[Regulation 3 amended in Gazette 17 Mar 1960 p. 777; 7 May 1993 p. 2361; 27 Jul 2001 p. 3814; 14 Jun 2002 p. 2799</w:t>
      </w:r>
      <w:r>
        <w:noBreakHyphen/>
        <w:t>800; 24 Jun 2005 p. 2815-16; 22 Jun 2007 p. 2908; 8 Feb 2008 p. 315; 13 Jul 2012 p. 3173</w:t>
      </w:r>
      <w:r>
        <w:noBreakHyphen/>
        <w:t>4; 25 Jul 2014 p. 2608</w:t>
      </w:r>
      <w:r>
        <w:noBreakHyphen/>
        <w:t>9; 22 Jul 2015 p. 2951</w:t>
      </w:r>
      <w:r>
        <w:noBreakHyphen/>
        <w:t xml:space="preserve">2.] </w:t>
      </w:r>
    </w:p>
    <w:p>
      <w:pPr>
        <w:pStyle w:val="Heading2"/>
      </w:pPr>
      <w:bookmarkStart w:id="6" w:name="_Toc425337469"/>
      <w:bookmarkStart w:id="7" w:name="_Toc425337732"/>
      <w:bookmarkStart w:id="8" w:name="_Toc425337931"/>
      <w:r>
        <w:rPr>
          <w:rStyle w:val="CharPartNo"/>
        </w:rPr>
        <w:t>Part 1</w:t>
      </w:r>
      <w:r>
        <w:t> — </w:t>
      </w:r>
      <w:r>
        <w:rPr>
          <w:rStyle w:val="CharPartText"/>
        </w:rPr>
        <w:t>Regulations applying to jetties controlled by the Department</w:t>
      </w:r>
      <w:bookmarkEnd w:id="6"/>
      <w:bookmarkEnd w:id="7"/>
      <w:bookmarkEnd w:id="8"/>
      <w:r>
        <w:rPr>
          <w:rStyle w:val="CharPartText"/>
        </w:rPr>
        <w:t xml:space="preserve"> </w:t>
      </w:r>
    </w:p>
    <w:p>
      <w:pPr>
        <w:pStyle w:val="Footnoteheading"/>
      </w:pPr>
      <w:r>
        <w:tab/>
        <w:t xml:space="preserve">[Heading inserted in Gazette 19 May 1989 p. 1494.] </w:t>
      </w:r>
    </w:p>
    <w:p>
      <w:pPr>
        <w:pStyle w:val="Heading3"/>
        <w:rPr>
          <w:snapToGrid w:val="0"/>
        </w:rPr>
      </w:pPr>
      <w:bookmarkStart w:id="9" w:name="_Toc425337470"/>
      <w:bookmarkStart w:id="10" w:name="_Toc425337733"/>
      <w:bookmarkStart w:id="11" w:name="_Toc425337932"/>
      <w:r>
        <w:rPr>
          <w:rStyle w:val="CharDivNo"/>
        </w:rPr>
        <w:t>Division 1</w:t>
      </w:r>
      <w:r>
        <w:rPr>
          <w:snapToGrid w:val="0"/>
        </w:rPr>
        <w:t> — </w:t>
      </w:r>
      <w:r>
        <w:rPr>
          <w:rStyle w:val="CharDivText"/>
        </w:rPr>
        <w:t>Application of this Part</w:t>
      </w:r>
      <w:bookmarkEnd w:id="9"/>
      <w:bookmarkEnd w:id="10"/>
      <w:bookmarkEnd w:id="11"/>
      <w:r>
        <w:rPr>
          <w:rStyle w:val="CharDivText"/>
        </w:rPr>
        <w:t xml:space="preserve"> </w:t>
      </w:r>
    </w:p>
    <w:p>
      <w:pPr>
        <w:pStyle w:val="Footnoteheading"/>
      </w:pPr>
      <w:r>
        <w:tab/>
        <w:t xml:space="preserve">[Heading inserted in Gazette 19 May 1989 p. 1494.] </w:t>
      </w:r>
    </w:p>
    <w:p>
      <w:pPr>
        <w:pStyle w:val="Heading5"/>
        <w:rPr>
          <w:snapToGrid w:val="0"/>
        </w:rPr>
      </w:pPr>
      <w:bookmarkStart w:id="12" w:name="_Toc425337933"/>
      <w:r>
        <w:rPr>
          <w:rStyle w:val="CharSectno"/>
        </w:rPr>
        <w:t>3A</w:t>
      </w:r>
      <w:r>
        <w:rPr>
          <w:snapToGrid w:val="0"/>
        </w:rPr>
        <w:t>.</w:t>
      </w:r>
      <w:r>
        <w:rPr>
          <w:snapToGrid w:val="0"/>
        </w:rPr>
        <w:tab/>
        <w:t>Application</w:t>
      </w:r>
      <w:bookmarkEnd w:id="12"/>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ind w:left="890" w:hanging="890"/>
      </w:pPr>
      <w:r>
        <w:tab/>
        <w:t xml:space="preserve">[Regulation 3A inserted in Gazette 19 May 1989 p. 1494.] </w:t>
      </w:r>
    </w:p>
    <w:p>
      <w:pPr>
        <w:pStyle w:val="Heading3"/>
        <w:rPr>
          <w:snapToGrid w:val="0"/>
        </w:rPr>
      </w:pPr>
      <w:bookmarkStart w:id="13" w:name="_Toc425337472"/>
      <w:bookmarkStart w:id="14" w:name="_Toc425337735"/>
      <w:bookmarkStart w:id="15" w:name="_Toc425337934"/>
      <w:r>
        <w:rPr>
          <w:rStyle w:val="CharDivNo"/>
        </w:rPr>
        <w:t>Division 2</w:t>
      </w:r>
      <w:r>
        <w:rPr>
          <w:snapToGrid w:val="0"/>
        </w:rPr>
        <w:t> — </w:t>
      </w:r>
      <w:r>
        <w:rPr>
          <w:rStyle w:val="CharDivText"/>
        </w:rPr>
        <w:t>Arrival and movement of vessels</w:t>
      </w:r>
      <w:bookmarkEnd w:id="13"/>
      <w:bookmarkEnd w:id="14"/>
      <w:bookmarkEnd w:id="15"/>
      <w:r>
        <w:rPr>
          <w:rStyle w:val="CharDivText"/>
        </w:rPr>
        <w:t xml:space="preserve"> </w:t>
      </w:r>
    </w:p>
    <w:p>
      <w:pPr>
        <w:pStyle w:val="Footnoteheading"/>
      </w:pPr>
      <w:r>
        <w:tab/>
        <w:t xml:space="preserve">[Heading inserted in Gazette 19 May 1989 p. 1494.] </w:t>
      </w:r>
    </w:p>
    <w:p>
      <w:pPr>
        <w:pStyle w:val="Heading5"/>
        <w:rPr>
          <w:snapToGrid w:val="0"/>
        </w:rPr>
      </w:pPr>
      <w:bookmarkStart w:id="16" w:name="_Toc425337935"/>
      <w:r>
        <w:rPr>
          <w:rStyle w:val="CharSectno"/>
        </w:rPr>
        <w:t>4</w:t>
      </w:r>
      <w:r>
        <w:rPr>
          <w:snapToGrid w:val="0"/>
        </w:rPr>
        <w:t>.</w:t>
      </w:r>
      <w:r>
        <w:rPr>
          <w:snapToGrid w:val="0"/>
        </w:rPr>
        <w:tab/>
        <w:t>Master or agent to report arrival</w:t>
      </w:r>
      <w:bookmarkEnd w:id="16"/>
      <w:r>
        <w:rPr>
          <w:snapToGrid w:val="0"/>
        </w:rPr>
        <w:t xml:space="preserve"> </w:t>
      </w:r>
    </w:p>
    <w:p>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r>
        <w:t xml:space="preserve">dues and </w:t>
      </w:r>
      <w:r>
        <w:rPr>
          <w:snapToGrid w:val="0"/>
        </w:rPr>
        <w:t>charges have been paid in accordance with these regulations.</w:t>
      </w:r>
    </w:p>
    <w:p>
      <w:pPr>
        <w:pStyle w:val="Footnotesection"/>
      </w:pPr>
      <w:r>
        <w:tab/>
        <w:t xml:space="preserve">[Regulation 4 amended in Gazette 19 May 1989 p. 1494; 25 Jul 2014 p. 2610.] </w:t>
      </w:r>
    </w:p>
    <w:p>
      <w:pPr>
        <w:pStyle w:val="Heading5"/>
        <w:rPr>
          <w:snapToGrid w:val="0"/>
        </w:rPr>
      </w:pPr>
      <w:bookmarkStart w:id="17" w:name="_Toc425337936"/>
      <w:r>
        <w:rPr>
          <w:rStyle w:val="CharSectno"/>
        </w:rPr>
        <w:t>5</w:t>
      </w:r>
      <w:r>
        <w:rPr>
          <w:snapToGrid w:val="0"/>
        </w:rPr>
        <w:t>.</w:t>
      </w:r>
      <w:r>
        <w:rPr>
          <w:snapToGrid w:val="0"/>
        </w:rPr>
        <w:tab/>
        <w:t>Vessels to change berths</w:t>
      </w:r>
      <w:bookmarkEnd w:id="17"/>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keepLines/>
        <w:rPr>
          <w:snapToGrid w:val="0"/>
        </w:rPr>
      </w:pPr>
      <w:bookmarkStart w:id="18" w:name="_Toc425337475"/>
      <w:bookmarkStart w:id="19" w:name="_Toc425337738"/>
      <w:bookmarkStart w:id="20" w:name="_Toc425337937"/>
      <w:r>
        <w:rPr>
          <w:rStyle w:val="CharDivNo"/>
        </w:rPr>
        <w:t>Division 3</w:t>
      </w:r>
      <w:r>
        <w:rPr>
          <w:snapToGrid w:val="0"/>
        </w:rPr>
        <w:t> — </w:t>
      </w:r>
      <w:r>
        <w:rPr>
          <w:rStyle w:val="CharDivText"/>
        </w:rPr>
        <w:t>Berthing dues</w:t>
      </w:r>
      <w:bookmarkEnd w:id="18"/>
      <w:bookmarkEnd w:id="19"/>
      <w:bookmarkEnd w:id="20"/>
      <w:r>
        <w:rPr>
          <w:rStyle w:val="CharDivText"/>
        </w:rPr>
        <w:t xml:space="preserve"> </w:t>
      </w:r>
    </w:p>
    <w:p>
      <w:pPr>
        <w:pStyle w:val="Footnoteheading"/>
        <w:keepNext/>
        <w:keepLines/>
      </w:pPr>
      <w:r>
        <w:tab/>
        <w:t xml:space="preserve">[Heading inserted in Gazette 19 May 1989 p. 1494.] </w:t>
      </w:r>
    </w:p>
    <w:p>
      <w:pPr>
        <w:pStyle w:val="Heading5"/>
      </w:pPr>
      <w:bookmarkStart w:id="21" w:name="_Toc425337938"/>
      <w:r>
        <w:rPr>
          <w:rStyle w:val="CharSectno"/>
        </w:rPr>
        <w:t>6</w:t>
      </w:r>
      <w:r>
        <w:t>.</w:t>
      </w:r>
      <w:r>
        <w:tab/>
        <w:t>Berthing dues</w:t>
      </w:r>
      <w:bookmarkEnd w:id="21"/>
    </w:p>
    <w:p>
      <w:pPr>
        <w:pStyle w:val="Subsection"/>
      </w:pPr>
      <w:r>
        <w:tab/>
        <w:t>(1)</w:t>
      </w:r>
      <w:r>
        <w:tab/>
        <w:t xml:space="preserve">In this regulation — </w:t>
      </w:r>
    </w:p>
    <w:p>
      <w:pPr>
        <w:pStyle w:val="Defstart"/>
      </w:pPr>
      <w:r>
        <w:tab/>
      </w:r>
      <w:r>
        <w:rPr>
          <w:rStyle w:val="CharDefText"/>
        </w:rPr>
        <w:t>berthing due</w:t>
      </w:r>
      <w:r>
        <w:t xml:space="preserve"> means a berthing due prescribed in a Schedule;</w:t>
      </w:r>
    </w:p>
    <w:p>
      <w:pPr>
        <w:pStyle w:val="Defstart"/>
      </w:pPr>
      <w:r>
        <w:tab/>
      </w:r>
      <w:r>
        <w:rPr>
          <w:rStyle w:val="CharDefText"/>
        </w:rPr>
        <w:t>catamaran pen</w:t>
      </w:r>
      <w:r>
        <w:t xml:space="preserve"> means a pen designed for a catamaran.</w:t>
      </w:r>
    </w:p>
    <w:p>
      <w:pPr>
        <w:pStyle w:val="Subsection"/>
      </w:pPr>
      <w:r>
        <w:tab/>
        <w:t>(2)</w:t>
      </w:r>
      <w:r>
        <w:tab/>
        <w:t>A berthing due prescribed in a Schedule is payable in respect of a vessel using a pen (except a catamaran pen), alongside berth or other jetty at a place specified in that Schedule.</w:t>
      </w:r>
    </w:p>
    <w:p>
      <w:pPr>
        <w:pStyle w:val="Subsection"/>
      </w:pPr>
      <w:r>
        <w:tab/>
        <w:t>(3)</w:t>
      </w:r>
      <w:r>
        <w:tab/>
        <w:t xml:space="preserve">The berthing due payable in respect of a catamaran pen at a place is calculated in accordance with the following formula — </w:t>
      </w:r>
    </w:p>
    <w:p>
      <w:pPr>
        <w:pStyle w:val="Subsection"/>
      </w:pPr>
      <w:r>
        <w:tab/>
      </w:r>
      <w:r>
        <w:tab/>
        <w:t>P × 1.5</w:t>
      </w:r>
    </w:p>
    <w:p>
      <w:pPr>
        <w:pStyle w:val="Subsection"/>
      </w:pPr>
      <w:r>
        <w:tab/>
      </w:r>
      <w:r>
        <w:tab/>
        <w:t xml:space="preserve">where — </w:t>
      </w:r>
    </w:p>
    <w:p>
      <w:pPr>
        <w:pStyle w:val="Subsection"/>
        <w:ind w:left="1440" w:hanging="1440"/>
      </w:pPr>
      <w:r>
        <w:tab/>
      </w:r>
      <w:r>
        <w:tab/>
        <w:t>P</w:t>
      </w:r>
      <w:r>
        <w:tab/>
        <w:t>is the berthing due for a pen (except a catamaran pen) at that place.</w:t>
      </w:r>
    </w:p>
    <w:p>
      <w:pPr>
        <w:pStyle w:val="Subsection"/>
      </w:pPr>
      <w:r>
        <w:tab/>
        <w:t>(4)</w:t>
      </w:r>
      <w:r>
        <w:tab/>
        <w:t>In respect of a vessel lying alongside a jetty for the purposes of transhipping cargo to or from a lighter or other vessel, a berthing due is payable as if the cargo had been landed on or taken off the jetty in place of being taken from or placed in the lighter or other vessel.</w:t>
      </w:r>
    </w:p>
    <w:p>
      <w:pPr>
        <w:pStyle w:val="Footnotesection"/>
      </w:pPr>
      <w:r>
        <w:tab/>
        <w:t>[Regulation 6 inserted in Gazette 25 Jul 2014 p. 2610-11; amended in Gazette 22 Jul 2015 p. 2952.]</w:t>
      </w:r>
    </w:p>
    <w:p>
      <w:pPr>
        <w:pStyle w:val="Heading5"/>
        <w:spacing w:before="240"/>
      </w:pPr>
      <w:bookmarkStart w:id="22" w:name="_Toc425337939"/>
      <w:r>
        <w:rPr>
          <w:rStyle w:val="CharSectno"/>
        </w:rPr>
        <w:t>6A</w:t>
      </w:r>
      <w:r>
        <w:t>.</w:t>
      </w:r>
      <w:r>
        <w:tab/>
        <w:t>Requirement to pay berthing dues</w:t>
      </w:r>
      <w:bookmarkEnd w:id="22"/>
    </w:p>
    <w:p>
      <w:pPr>
        <w:pStyle w:val="Subsection"/>
      </w:pPr>
      <w:r>
        <w:tab/>
        <w:t>(1)</w:t>
      </w:r>
      <w:r>
        <w:tab/>
        <w:t>If an alongside berth at a service jetty is used by a vessel and the berthing dues, as provided for in a Schedule,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alongside berth at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in Gazette 7 Dec 2007 p. 5984; amended in Gazette 25 Jul 2014 p. 2611; 22 Jul 2015 p. 2952.]</w:t>
      </w:r>
    </w:p>
    <w:p>
      <w:pPr>
        <w:pStyle w:val="Heading5"/>
        <w:rPr>
          <w:snapToGrid w:val="0"/>
        </w:rPr>
      </w:pPr>
      <w:bookmarkStart w:id="23" w:name="_Toc425337940"/>
      <w:r>
        <w:rPr>
          <w:rStyle w:val="CharSectno"/>
        </w:rPr>
        <w:t>7</w:t>
      </w:r>
      <w:r>
        <w:rPr>
          <w:snapToGrid w:val="0"/>
        </w:rPr>
        <w:t>.</w:t>
      </w:r>
      <w:r>
        <w:rPr>
          <w:snapToGrid w:val="0"/>
        </w:rPr>
        <w:tab/>
        <w:t>Computation of berthing dues</w:t>
      </w:r>
      <w:bookmarkEnd w:id="23"/>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 xml:space="preserve">[Regulation 7 inserted in Gazette 15 Jun 1973 p. 2237; amended in Gazette 19 May 1989 p. 1494.] </w:t>
      </w:r>
    </w:p>
    <w:p>
      <w:pPr>
        <w:pStyle w:val="Heading5"/>
        <w:spacing w:before="240"/>
        <w:rPr>
          <w:snapToGrid w:val="0"/>
        </w:rPr>
      </w:pPr>
      <w:bookmarkStart w:id="24" w:name="_Toc425337941"/>
      <w:r>
        <w:rPr>
          <w:rStyle w:val="CharSectno"/>
        </w:rPr>
        <w:t>8</w:t>
      </w:r>
      <w:r>
        <w:rPr>
          <w:snapToGrid w:val="0"/>
        </w:rPr>
        <w:t>.</w:t>
      </w:r>
      <w:r>
        <w:rPr>
          <w:snapToGrid w:val="0"/>
        </w:rPr>
        <w:tab/>
        <w:t>Inwards manifests</w:t>
      </w:r>
      <w:bookmarkEnd w:id="24"/>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spacing w:before="240"/>
        <w:rPr>
          <w:snapToGrid w:val="0"/>
        </w:rPr>
      </w:pPr>
      <w:bookmarkStart w:id="25" w:name="_Toc425337942"/>
      <w:r>
        <w:rPr>
          <w:rStyle w:val="CharSectno"/>
        </w:rPr>
        <w:t>9</w:t>
      </w:r>
      <w:r>
        <w:rPr>
          <w:snapToGrid w:val="0"/>
        </w:rPr>
        <w:t>.</w:t>
      </w:r>
      <w:r>
        <w:rPr>
          <w:snapToGrid w:val="0"/>
        </w:rPr>
        <w:tab/>
        <w:t>Outwards manifests</w:t>
      </w:r>
      <w:bookmarkEnd w:id="25"/>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keepLines/>
        <w:rPr>
          <w:snapToGrid w:val="0"/>
        </w:rPr>
      </w:pPr>
      <w:bookmarkStart w:id="26" w:name="_Toc425337481"/>
      <w:bookmarkStart w:id="27" w:name="_Toc425337744"/>
      <w:bookmarkStart w:id="28" w:name="_Toc425337943"/>
      <w:r>
        <w:rPr>
          <w:rStyle w:val="CharDivNo"/>
        </w:rPr>
        <w:t>Division 4</w:t>
      </w:r>
      <w:r>
        <w:rPr>
          <w:snapToGrid w:val="0"/>
        </w:rPr>
        <w:t> — </w:t>
      </w:r>
      <w:r>
        <w:rPr>
          <w:rStyle w:val="CharDivText"/>
        </w:rPr>
        <w:t>Wharfage dues, handling and haulage charges</w:t>
      </w:r>
      <w:bookmarkEnd w:id="26"/>
      <w:bookmarkEnd w:id="27"/>
      <w:bookmarkEnd w:id="28"/>
      <w:r>
        <w:rPr>
          <w:rStyle w:val="CharDivText"/>
        </w:rPr>
        <w:t xml:space="preserve"> </w:t>
      </w:r>
    </w:p>
    <w:p>
      <w:pPr>
        <w:pStyle w:val="Footnoteheading"/>
        <w:keepNext/>
        <w:keepLines/>
        <w:rPr>
          <w:snapToGrid w:val="0"/>
        </w:rPr>
      </w:pPr>
      <w:r>
        <w:rPr>
          <w:snapToGrid w:val="0"/>
        </w:rPr>
        <w:tab/>
        <w:t xml:space="preserve">[Heading inserted in Gazette 19 May 1989 p. 1494.] </w:t>
      </w:r>
    </w:p>
    <w:p>
      <w:pPr>
        <w:pStyle w:val="Ednotesection"/>
        <w:keepNext/>
        <w:keepLines/>
        <w:spacing w:before="180"/>
        <w:ind w:left="0" w:firstLine="0"/>
      </w:pPr>
      <w:r>
        <w:t>[</w:t>
      </w:r>
      <w:r>
        <w:rPr>
          <w:b/>
        </w:rPr>
        <w:t>10.</w:t>
      </w:r>
      <w:r>
        <w:tab/>
        <w:t>Disallowed (see Gazette 6 Sep 1940 p. 1622).]</w:t>
      </w:r>
    </w:p>
    <w:p>
      <w:pPr>
        <w:pStyle w:val="Heading5"/>
        <w:spacing w:before="180"/>
        <w:rPr>
          <w:snapToGrid w:val="0"/>
        </w:rPr>
      </w:pPr>
      <w:bookmarkStart w:id="29" w:name="_Toc425337944"/>
      <w:r>
        <w:rPr>
          <w:rStyle w:val="CharSectno"/>
        </w:rPr>
        <w:t>10A</w:t>
      </w:r>
      <w:r>
        <w:rPr>
          <w:snapToGrid w:val="0"/>
        </w:rPr>
        <w:t>.</w:t>
      </w:r>
      <w:r>
        <w:rPr>
          <w:snapToGrid w:val="0"/>
        </w:rPr>
        <w:tab/>
        <w:t>Payment of dues and charges</w:t>
      </w:r>
      <w:bookmarkEnd w:id="29"/>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a Schedule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22 Jul 2015 p. 2953.] </w:t>
      </w:r>
    </w:p>
    <w:p>
      <w:pPr>
        <w:pStyle w:val="Ednotesection"/>
        <w:spacing w:before="180"/>
      </w:pPr>
      <w:r>
        <w:t>[</w:t>
      </w:r>
      <w:r>
        <w:rPr>
          <w:b/>
        </w:rPr>
        <w:t>10B.</w:t>
      </w:r>
      <w:r>
        <w:tab/>
        <w:t xml:space="preserve">Deleted in Gazette 30 Jun 1995 p. 2699.] </w:t>
      </w:r>
    </w:p>
    <w:p>
      <w:pPr>
        <w:pStyle w:val="Ednotesection"/>
        <w:spacing w:before="180"/>
      </w:pPr>
      <w:r>
        <w:t>[</w:t>
      </w:r>
      <w:r>
        <w:rPr>
          <w:b/>
        </w:rPr>
        <w:t>10C.</w:t>
      </w:r>
      <w:r>
        <w:tab/>
        <w:t xml:space="preserve">Deleted in Gazette 24 Nov 1972 p. 4487.] </w:t>
      </w:r>
    </w:p>
    <w:p>
      <w:pPr>
        <w:pStyle w:val="Heading5"/>
        <w:spacing w:before="180"/>
        <w:rPr>
          <w:snapToGrid w:val="0"/>
        </w:rPr>
      </w:pPr>
      <w:bookmarkStart w:id="30" w:name="_Toc425337945"/>
      <w:r>
        <w:rPr>
          <w:rStyle w:val="CharSectno"/>
        </w:rPr>
        <w:t>11</w:t>
      </w:r>
      <w:r>
        <w:rPr>
          <w:snapToGrid w:val="0"/>
        </w:rPr>
        <w:t>.</w:t>
      </w:r>
      <w:r>
        <w:rPr>
          <w:snapToGrid w:val="0"/>
        </w:rPr>
        <w:tab/>
        <w:t>Charges for transhipment cargo</w:t>
      </w:r>
      <w:bookmarkEnd w:id="30"/>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a Schedule;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in Gazette 12 Jul 1957 p. 2270; 24 Nov 1972 p. 4487; 15 Jun 1973 p. 2237; 19 May 1989 p. 1495; 29 Jun 1993 p. 3191; 14 Jun 1994 p. 2476; 30 Jun 1995 p. 2699; 24 Jun 2005 p. 2816; 22 Jul 2015 p. 2953.] </w:t>
      </w:r>
    </w:p>
    <w:p>
      <w:pPr>
        <w:pStyle w:val="Ednotesection"/>
        <w:spacing w:before="160"/>
        <w:ind w:left="890" w:hanging="890"/>
      </w:pPr>
      <w:r>
        <w:t>[</w:t>
      </w:r>
      <w:r>
        <w:rPr>
          <w:b/>
        </w:rPr>
        <w:t>11A.</w:t>
      </w:r>
      <w:r>
        <w:rPr>
          <w:b/>
        </w:rPr>
        <w:tab/>
      </w:r>
      <w:r>
        <w:t xml:space="preserve">Deleted in Gazette 24 Nov 1972 p. 4487.] </w:t>
      </w:r>
    </w:p>
    <w:p>
      <w:pPr>
        <w:pStyle w:val="Heading5"/>
        <w:rPr>
          <w:snapToGrid w:val="0"/>
        </w:rPr>
      </w:pPr>
      <w:bookmarkStart w:id="31" w:name="_Toc425337946"/>
      <w:r>
        <w:rPr>
          <w:rStyle w:val="CharSectno"/>
        </w:rPr>
        <w:t>11B</w:t>
      </w:r>
      <w:r>
        <w:rPr>
          <w:snapToGrid w:val="0"/>
        </w:rPr>
        <w:t>.</w:t>
      </w:r>
      <w:r>
        <w:rPr>
          <w:snapToGrid w:val="0"/>
        </w:rPr>
        <w:tab/>
        <w:t>Charges on vessels’ stores, including fuel oil</w:t>
      </w:r>
      <w:bookmarkEnd w:id="31"/>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32" w:name="_Toc425337947"/>
      <w:r>
        <w:rPr>
          <w:rStyle w:val="CharSectno"/>
        </w:rPr>
        <w:t>12</w:t>
      </w:r>
      <w:r>
        <w:rPr>
          <w:snapToGrid w:val="0"/>
        </w:rPr>
        <w:t>.</w:t>
      </w:r>
      <w:r>
        <w:rPr>
          <w:snapToGrid w:val="0"/>
        </w:rPr>
        <w:tab/>
        <w:t>Charges to be paid before delivery of cargo</w:t>
      </w:r>
      <w:bookmarkEnd w:id="32"/>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33" w:name="_Toc425337948"/>
      <w:r>
        <w:rPr>
          <w:rStyle w:val="CharSectno"/>
        </w:rPr>
        <w:t>13</w:t>
      </w:r>
      <w:r>
        <w:rPr>
          <w:snapToGrid w:val="0"/>
        </w:rPr>
        <w:t>.</w:t>
      </w:r>
      <w:r>
        <w:rPr>
          <w:snapToGrid w:val="0"/>
        </w:rPr>
        <w:tab/>
        <w:t>Extra charges</w:t>
      </w:r>
      <w:bookmarkEnd w:id="33"/>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Deleted in Gazette 30 Jun 1995 p. 2699.] </w:t>
      </w:r>
    </w:p>
    <w:p>
      <w:pPr>
        <w:pStyle w:val="Heading3"/>
        <w:rPr>
          <w:snapToGrid w:val="0"/>
        </w:rPr>
      </w:pPr>
      <w:bookmarkStart w:id="34" w:name="_Toc425337487"/>
      <w:bookmarkStart w:id="35" w:name="_Toc425337750"/>
      <w:bookmarkStart w:id="36" w:name="_Toc425337949"/>
      <w:r>
        <w:rPr>
          <w:rStyle w:val="CharDivNo"/>
        </w:rPr>
        <w:t>Division 5</w:t>
      </w:r>
      <w:r>
        <w:rPr>
          <w:snapToGrid w:val="0"/>
        </w:rPr>
        <w:t> — </w:t>
      </w:r>
      <w:r>
        <w:rPr>
          <w:rStyle w:val="CharDivText"/>
        </w:rPr>
        <w:t>Handling of cargo</w:t>
      </w:r>
      <w:bookmarkEnd w:id="34"/>
      <w:bookmarkEnd w:id="35"/>
      <w:bookmarkEnd w:id="36"/>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37" w:name="_Toc425337950"/>
      <w:r>
        <w:rPr>
          <w:rStyle w:val="CharSectno"/>
        </w:rPr>
        <w:t>14</w:t>
      </w:r>
      <w:r>
        <w:rPr>
          <w:snapToGrid w:val="0"/>
        </w:rPr>
        <w:t>.</w:t>
      </w:r>
      <w:r>
        <w:rPr>
          <w:snapToGrid w:val="0"/>
        </w:rPr>
        <w:tab/>
        <w:t>Cargo not to be placed on jetties or premises without authority</w:t>
      </w:r>
      <w:bookmarkEnd w:id="37"/>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keepLines w:val="0"/>
        <w:ind w:left="890" w:hanging="890"/>
      </w:pPr>
      <w:r>
        <w:tab/>
        <w:t xml:space="preserve">[Regulation 14 amended in Gazette 3 Nov 1950 p. 2461; 19 May 1989 p. 1495.] </w:t>
      </w:r>
    </w:p>
    <w:p>
      <w:pPr>
        <w:pStyle w:val="Heading5"/>
        <w:spacing w:before="180"/>
        <w:rPr>
          <w:snapToGrid w:val="0"/>
        </w:rPr>
      </w:pPr>
      <w:bookmarkStart w:id="38" w:name="_Toc425337951"/>
      <w:r>
        <w:rPr>
          <w:rStyle w:val="CharSectno"/>
        </w:rPr>
        <w:t>15</w:t>
      </w:r>
      <w:r>
        <w:rPr>
          <w:snapToGrid w:val="0"/>
        </w:rPr>
        <w:t>.</w:t>
      </w:r>
      <w:r>
        <w:rPr>
          <w:snapToGrid w:val="0"/>
        </w:rPr>
        <w:tab/>
        <w:t>Discharging of cargo may be stopped</w:t>
      </w:r>
      <w:bookmarkEnd w:id="38"/>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ind w:left="890" w:hanging="890"/>
      </w:pPr>
      <w:r>
        <w:tab/>
        <w:t xml:space="preserve">[Regulation 15 amended in Gazette 19 May 1989 p. 1495.] </w:t>
      </w:r>
    </w:p>
    <w:p>
      <w:pPr>
        <w:pStyle w:val="Heading5"/>
        <w:keepNext w:val="0"/>
        <w:keepLines w:val="0"/>
        <w:rPr>
          <w:snapToGrid w:val="0"/>
        </w:rPr>
      </w:pPr>
      <w:bookmarkStart w:id="39" w:name="_Toc425337952"/>
      <w:r>
        <w:rPr>
          <w:rStyle w:val="CharSectno"/>
        </w:rPr>
        <w:t>16</w:t>
      </w:r>
      <w:r>
        <w:rPr>
          <w:snapToGrid w:val="0"/>
        </w:rPr>
        <w:t>.</w:t>
      </w:r>
      <w:r>
        <w:rPr>
          <w:snapToGrid w:val="0"/>
        </w:rPr>
        <w:tab/>
        <w:t>Goods not to be shifted without authority</w:t>
      </w:r>
      <w:bookmarkEnd w:id="39"/>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ind w:left="890" w:hanging="890"/>
      </w:pPr>
      <w:r>
        <w:tab/>
        <w:t xml:space="preserve">[Regulation 16 amended in Gazette 19 May 1989 p. 1495.] </w:t>
      </w:r>
    </w:p>
    <w:p>
      <w:pPr>
        <w:pStyle w:val="Heading5"/>
        <w:keepLines w:val="0"/>
        <w:rPr>
          <w:snapToGrid w:val="0"/>
        </w:rPr>
      </w:pPr>
      <w:bookmarkStart w:id="40" w:name="_Toc425337953"/>
      <w:r>
        <w:rPr>
          <w:rStyle w:val="CharSectno"/>
        </w:rPr>
        <w:t>17</w:t>
      </w:r>
      <w:r>
        <w:rPr>
          <w:snapToGrid w:val="0"/>
        </w:rPr>
        <w:t>.</w:t>
      </w:r>
      <w:r>
        <w:rPr>
          <w:snapToGrid w:val="0"/>
        </w:rPr>
        <w:tab/>
        <w:t>Bulk cargo not to be deposited without authority</w:t>
      </w:r>
      <w:bookmarkEnd w:id="40"/>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keepLines w:val="0"/>
        <w:spacing w:before="100"/>
        <w:ind w:left="890" w:hanging="890"/>
      </w:pPr>
      <w:r>
        <w:tab/>
        <w:t xml:space="preserve">[Regulation 17 amended in Gazette 19 May 1989 p. 1495.] </w:t>
      </w:r>
    </w:p>
    <w:p>
      <w:pPr>
        <w:pStyle w:val="Heading5"/>
        <w:rPr>
          <w:snapToGrid w:val="0"/>
        </w:rPr>
      </w:pPr>
      <w:bookmarkStart w:id="41" w:name="_Toc425337954"/>
      <w:r>
        <w:rPr>
          <w:rStyle w:val="CharSectno"/>
        </w:rPr>
        <w:t>18</w:t>
      </w:r>
      <w:r>
        <w:rPr>
          <w:snapToGrid w:val="0"/>
        </w:rPr>
        <w:t>.</w:t>
      </w:r>
      <w:r>
        <w:rPr>
          <w:snapToGrid w:val="0"/>
        </w:rPr>
        <w:tab/>
        <w:t>Outward cargo advice notes</w:t>
      </w:r>
      <w:bookmarkEnd w:id="41"/>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rPr>
          <w:snapToGrid w:val="0"/>
        </w:rPr>
      </w:pPr>
      <w:bookmarkStart w:id="42" w:name="_Toc425337955"/>
      <w:r>
        <w:rPr>
          <w:rStyle w:val="CharSectno"/>
        </w:rPr>
        <w:t>19</w:t>
      </w:r>
      <w:r>
        <w:rPr>
          <w:snapToGrid w:val="0"/>
        </w:rPr>
        <w:t>.</w:t>
      </w:r>
      <w:r>
        <w:rPr>
          <w:snapToGrid w:val="0"/>
        </w:rPr>
        <w:tab/>
        <w:t>Outward cargo</w:t>
      </w:r>
      <w:bookmarkEnd w:id="42"/>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rPr>
          <w:snapToGrid w:val="0"/>
        </w:rPr>
      </w:pPr>
      <w:bookmarkStart w:id="43" w:name="_Toc425337956"/>
      <w:r>
        <w:rPr>
          <w:rStyle w:val="CharSectno"/>
        </w:rPr>
        <w:t>20</w:t>
      </w:r>
      <w:r>
        <w:rPr>
          <w:snapToGrid w:val="0"/>
        </w:rPr>
        <w:t>.</w:t>
      </w:r>
      <w:r>
        <w:rPr>
          <w:snapToGrid w:val="0"/>
        </w:rPr>
        <w:tab/>
        <w:t>Dangerous cargo not to be shipped without permission</w:t>
      </w:r>
      <w:bookmarkEnd w:id="43"/>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rPr>
          <w:snapToGrid w:val="0"/>
        </w:rPr>
      </w:pPr>
      <w:bookmarkStart w:id="44" w:name="_Toc425337957"/>
      <w:r>
        <w:rPr>
          <w:rStyle w:val="CharSectno"/>
        </w:rPr>
        <w:t>21</w:t>
      </w:r>
      <w:r>
        <w:rPr>
          <w:snapToGrid w:val="0"/>
        </w:rPr>
        <w:t>.</w:t>
      </w:r>
      <w:r>
        <w:rPr>
          <w:snapToGrid w:val="0"/>
        </w:rPr>
        <w:tab/>
        <w:t>Dangerous cargo may be refused or examined</w:t>
      </w:r>
      <w:bookmarkEnd w:id="44"/>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ind w:left="890" w:hanging="890"/>
      </w:pPr>
      <w:r>
        <w:tab/>
        <w:t xml:space="preserve">[Regulation 21 amended in Gazette 19 May 1989 p. 1495.] </w:t>
      </w:r>
    </w:p>
    <w:p>
      <w:pPr>
        <w:pStyle w:val="Heading5"/>
        <w:rPr>
          <w:snapToGrid w:val="0"/>
        </w:rPr>
      </w:pPr>
      <w:bookmarkStart w:id="45" w:name="_Toc425337958"/>
      <w:r>
        <w:rPr>
          <w:rStyle w:val="CharSectno"/>
        </w:rPr>
        <w:t>22</w:t>
      </w:r>
      <w:r>
        <w:rPr>
          <w:snapToGrid w:val="0"/>
        </w:rPr>
        <w:t>.</w:t>
      </w:r>
      <w:r>
        <w:rPr>
          <w:snapToGrid w:val="0"/>
        </w:rPr>
        <w:tab/>
        <w:t>Marking of heavy packages</w:t>
      </w:r>
      <w:bookmarkEnd w:id="45"/>
      <w:r>
        <w:rPr>
          <w:snapToGrid w:val="0"/>
        </w:rPr>
        <w:t xml:space="preserve"> </w:t>
      </w:r>
    </w:p>
    <w:p>
      <w:pPr>
        <w:pStyle w:val="Subsection"/>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rPr>
          <w:snapToGrid w:val="0"/>
        </w:rPr>
      </w:pPr>
      <w:r>
        <w:rPr>
          <w:snapToGrid w:val="0"/>
        </w:rPr>
        <w:tab/>
        <w:t>(c)</w:t>
      </w:r>
      <w:r>
        <w:rPr>
          <w:snapToGrid w:val="0"/>
        </w:rPr>
        <w:tab/>
        <w:t>Provided that — </w:t>
      </w:r>
    </w:p>
    <w:p>
      <w:pPr>
        <w:pStyle w:val="Indenta"/>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pPr>
      <w:r>
        <w:tab/>
        <w:t xml:space="preserve">[Regulation 22 amended in Gazette 15 Jun 1973 p. 2237; 19 May 1989 p. 1495.] </w:t>
      </w:r>
    </w:p>
    <w:p>
      <w:pPr>
        <w:pStyle w:val="Heading5"/>
        <w:rPr>
          <w:snapToGrid w:val="0"/>
        </w:rPr>
      </w:pPr>
      <w:bookmarkStart w:id="46" w:name="_Toc425337959"/>
      <w:r>
        <w:rPr>
          <w:rStyle w:val="CharSectno"/>
        </w:rPr>
        <w:t>23</w:t>
      </w:r>
      <w:r>
        <w:rPr>
          <w:snapToGrid w:val="0"/>
        </w:rPr>
        <w:t>.</w:t>
      </w:r>
      <w:r>
        <w:rPr>
          <w:snapToGrid w:val="0"/>
        </w:rPr>
        <w:tab/>
        <w:t>False statements</w:t>
      </w:r>
      <w:bookmarkEnd w:id="46"/>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rPr>
          <w:snapToGrid w:val="0"/>
        </w:rPr>
      </w:pPr>
      <w:bookmarkStart w:id="47" w:name="_Toc425337498"/>
      <w:bookmarkStart w:id="48" w:name="_Toc425337761"/>
      <w:bookmarkStart w:id="49" w:name="_Toc425337960"/>
      <w:r>
        <w:rPr>
          <w:rStyle w:val="CharDivNo"/>
        </w:rPr>
        <w:t>Division 6</w:t>
      </w:r>
      <w:r>
        <w:rPr>
          <w:snapToGrid w:val="0"/>
        </w:rPr>
        <w:t> — </w:t>
      </w:r>
      <w:r>
        <w:rPr>
          <w:rStyle w:val="CharDivText"/>
        </w:rPr>
        <w:t>Receipt, delivery and storage of cargo</w:t>
      </w:r>
      <w:bookmarkEnd w:id="47"/>
      <w:bookmarkEnd w:id="48"/>
      <w:bookmarkEnd w:id="49"/>
      <w:r>
        <w:rPr>
          <w:rStyle w:val="CharDivText"/>
        </w:rPr>
        <w:t xml:space="preserve"> </w:t>
      </w:r>
    </w:p>
    <w:p>
      <w:pPr>
        <w:pStyle w:val="Footnoteheading"/>
      </w:pPr>
      <w:r>
        <w:tab/>
        <w:t xml:space="preserve">[Heading inserted in Gazette 19 May 1989 p. 1494.] </w:t>
      </w:r>
    </w:p>
    <w:p>
      <w:pPr>
        <w:pStyle w:val="Heading5"/>
        <w:spacing w:before="160"/>
        <w:rPr>
          <w:snapToGrid w:val="0"/>
        </w:rPr>
      </w:pPr>
      <w:bookmarkStart w:id="50" w:name="_Toc425337961"/>
      <w:r>
        <w:rPr>
          <w:rStyle w:val="CharSectno"/>
        </w:rPr>
        <w:t>24</w:t>
      </w:r>
      <w:r>
        <w:rPr>
          <w:snapToGrid w:val="0"/>
        </w:rPr>
        <w:t>.</w:t>
      </w:r>
      <w:r>
        <w:rPr>
          <w:snapToGrid w:val="0"/>
        </w:rPr>
        <w:tab/>
        <w:t>Removal of cargo</w:t>
      </w:r>
      <w:bookmarkEnd w:id="50"/>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 xml:space="preserve">Cargo consigned through the ports of </w:t>
      </w:r>
      <w:smartTag w:uri="urn:schemas-microsoft-com:office:smarttags" w:element="place">
        <w:smartTag w:uri="urn:schemas-microsoft-com:office:smarttags" w:element="City">
          <w:r>
            <w:rPr>
              <w:snapToGrid w:val="0"/>
            </w:rPr>
            <w:t>Derby</w:t>
          </w:r>
        </w:smartTag>
      </w:smartTag>
      <w:r>
        <w:rPr>
          <w:snapToGrid w:val="0"/>
        </w:rPr>
        <w:t xml:space="preserve">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spacing w:before="180"/>
        <w:rPr>
          <w:snapToGrid w:val="0"/>
        </w:rPr>
      </w:pPr>
      <w:bookmarkStart w:id="51" w:name="_Toc425337962"/>
      <w:r>
        <w:rPr>
          <w:rStyle w:val="CharSectno"/>
        </w:rPr>
        <w:t>25</w:t>
      </w:r>
      <w:r>
        <w:rPr>
          <w:snapToGrid w:val="0"/>
        </w:rPr>
        <w:t>.</w:t>
      </w:r>
      <w:r>
        <w:rPr>
          <w:snapToGrid w:val="0"/>
        </w:rPr>
        <w:tab/>
        <w:t>Storage charges</w:t>
      </w:r>
      <w:bookmarkEnd w:id="51"/>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a Schedule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a Schedule — </w:t>
      </w:r>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[Regulation 25 inserted in Gazette 19 Oct 1973 p. 3818; amended in Gazette 9 Nov 1973 p. 4192; 5 Aug 1983 p. 2834; 8 Aug 1986 p. 2828; 19 May 1989 p. 1495; 30 Jun 1989 p. 917; 1 Aug 1990 p. 3633; 29 Jun 1993 p. 3192; 14 Jun 1994 p. 2476; 30 Jun 1995 p. 2699; 27 Jun 1997 p. 3152; 24 Jun 2005 p. 2817; 22 Jul 2015 p. 2953.]</w:t>
      </w:r>
    </w:p>
    <w:p>
      <w:pPr>
        <w:pStyle w:val="Ednotesection"/>
      </w:pPr>
      <w:r>
        <w:t>[</w:t>
      </w:r>
      <w:r>
        <w:rPr>
          <w:b/>
        </w:rPr>
        <w:t>25A.</w:t>
      </w:r>
      <w:r>
        <w:tab/>
        <w:t xml:space="preserve">Deleted in Gazette 24 Nov 1972 p. 4487.] </w:t>
      </w:r>
    </w:p>
    <w:p>
      <w:pPr>
        <w:pStyle w:val="Heading5"/>
        <w:rPr>
          <w:snapToGrid w:val="0"/>
        </w:rPr>
      </w:pPr>
      <w:bookmarkStart w:id="52" w:name="_Toc425337963"/>
      <w:r>
        <w:rPr>
          <w:rStyle w:val="CharSectno"/>
        </w:rPr>
        <w:t>26</w:t>
      </w:r>
      <w:r>
        <w:rPr>
          <w:snapToGrid w:val="0"/>
        </w:rPr>
        <w:t>.</w:t>
      </w:r>
      <w:r>
        <w:rPr>
          <w:snapToGrid w:val="0"/>
        </w:rPr>
        <w:tab/>
        <w:t>Department not bound to find storage accommodation</w:t>
      </w:r>
      <w:bookmarkEnd w:id="52"/>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rPr>
          <w:snapToGrid w:val="0"/>
        </w:rPr>
      </w:pPr>
      <w:bookmarkStart w:id="53" w:name="_Toc425337964"/>
      <w:r>
        <w:rPr>
          <w:rStyle w:val="CharSectno"/>
        </w:rPr>
        <w:t>27</w:t>
      </w:r>
      <w:r>
        <w:rPr>
          <w:snapToGrid w:val="0"/>
        </w:rPr>
        <w:t>.</w:t>
      </w:r>
      <w:r>
        <w:rPr>
          <w:snapToGrid w:val="0"/>
        </w:rPr>
        <w:tab/>
        <w:t>Goods may be disposed of</w:t>
      </w:r>
      <w:bookmarkEnd w:id="53"/>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spacing w:before="180"/>
        <w:rPr>
          <w:snapToGrid w:val="0"/>
        </w:rPr>
      </w:pPr>
      <w:bookmarkStart w:id="54" w:name="_Toc425337965"/>
      <w:r>
        <w:rPr>
          <w:rStyle w:val="CharSectno"/>
        </w:rPr>
        <w:t>28</w:t>
      </w:r>
      <w:r>
        <w:rPr>
          <w:snapToGrid w:val="0"/>
        </w:rPr>
        <w:t>.</w:t>
      </w:r>
      <w:r>
        <w:rPr>
          <w:snapToGrid w:val="0"/>
        </w:rPr>
        <w:tab/>
        <w:t>Goods to be checked before delivery</w:t>
      </w:r>
      <w:bookmarkEnd w:id="54"/>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55" w:name="_Toc425337966"/>
      <w:r>
        <w:rPr>
          <w:rStyle w:val="CharSectno"/>
        </w:rPr>
        <w:t>29</w:t>
      </w:r>
      <w:r>
        <w:rPr>
          <w:snapToGrid w:val="0"/>
        </w:rPr>
        <w:t>.</w:t>
      </w:r>
      <w:r>
        <w:rPr>
          <w:snapToGrid w:val="0"/>
        </w:rPr>
        <w:tab/>
        <w:t>Delay in delivery</w:t>
      </w:r>
      <w:bookmarkEnd w:id="55"/>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56" w:name="_Toc425337967"/>
      <w:r>
        <w:rPr>
          <w:rStyle w:val="CharSectno"/>
        </w:rPr>
        <w:t>30</w:t>
      </w:r>
      <w:r>
        <w:rPr>
          <w:snapToGrid w:val="0"/>
        </w:rPr>
        <w:t>.</w:t>
      </w:r>
      <w:r>
        <w:rPr>
          <w:snapToGrid w:val="0"/>
        </w:rPr>
        <w:tab/>
        <w:t>Wrong delivery</w:t>
      </w:r>
      <w:bookmarkEnd w:id="56"/>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57" w:name="_Toc425337506"/>
      <w:bookmarkStart w:id="58" w:name="_Toc425337769"/>
      <w:bookmarkStart w:id="59" w:name="_Toc425337968"/>
      <w:r>
        <w:rPr>
          <w:rStyle w:val="CharDivNo"/>
        </w:rPr>
        <w:t>Division 7</w:t>
      </w:r>
      <w:r>
        <w:rPr>
          <w:snapToGrid w:val="0"/>
        </w:rPr>
        <w:t> — </w:t>
      </w:r>
      <w:r>
        <w:rPr>
          <w:rStyle w:val="CharDivText"/>
        </w:rPr>
        <w:t>Responsibility of Department</w:t>
      </w:r>
      <w:bookmarkEnd w:id="57"/>
      <w:bookmarkEnd w:id="58"/>
      <w:bookmarkEnd w:id="59"/>
      <w:r>
        <w:rPr>
          <w:rStyle w:val="CharDivText"/>
        </w:rPr>
        <w:t xml:space="preserve"> </w:t>
      </w:r>
    </w:p>
    <w:p>
      <w:pPr>
        <w:pStyle w:val="Footnoteheading"/>
      </w:pPr>
      <w:r>
        <w:tab/>
        <w:t xml:space="preserve">[Heading inserted in Gazette of 19 May 1989 p. 1494.] </w:t>
      </w:r>
    </w:p>
    <w:p>
      <w:pPr>
        <w:pStyle w:val="Heading5"/>
        <w:spacing w:before="180"/>
        <w:rPr>
          <w:snapToGrid w:val="0"/>
        </w:rPr>
      </w:pPr>
      <w:bookmarkStart w:id="60" w:name="_Toc425337969"/>
      <w:r>
        <w:rPr>
          <w:rStyle w:val="CharSectno"/>
        </w:rPr>
        <w:t>31</w:t>
      </w:r>
      <w:r>
        <w:rPr>
          <w:snapToGrid w:val="0"/>
        </w:rPr>
        <w:t>.</w:t>
      </w:r>
      <w:r>
        <w:rPr>
          <w:snapToGrid w:val="0"/>
        </w:rPr>
        <w:tab/>
        <w:t>Custody of cargo</w:t>
      </w:r>
      <w:bookmarkEnd w:id="60"/>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spacing w:before="180"/>
        <w:rPr>
          <w:snapToGrid w:val="0"/>
        </w:rPr>
      </w:pPr>
      <w:bookmarkStart w:id="61" w:name="_Toc425337970"/>
      <w:r>
        <w:rPr>
          <w:rStyle w:val="CharSectno"/>
        </w:rPr>
        <w:t>32</w:t>
      </w:r>
      <w:r>
        <w:rPr>
          <w:snapToGrid w:val="0"/>
        </w:rPr>
        <w:t>.</w:t>
      </w:r>
      <w:r>
        <w:rPr>
          <w:snapToGrid w:val="0"/>
        </w:rPr>
        <w:tab/>
        <w:t>Goods without receipts</w:t>
      </w:r>
      <w:bookmarkEnd w:id="61"/>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spacing w:before="180"/>
        <w:rPr>
          <w:snapToGrid w:val="0"/>
        </w:rPr>
      </w:pPr>
      <w:bookmarkStart w:id="62" w:name="_Toc425337971"/>
      <w:r>
        <w:rPr>
          <w:rStyle w:val="CharSectno"/>
        </w:rPr>
        <w:t>33</w:t>
      </w:r>
      <w:r>
        <w:rPr>
          <w:snapToGrid w:val="0"/>
        </w:rPr>
        <w:t>.</w:t>
      </w:r>
      <w:r>
        <w:rPr>
          <w:snapToGrid w:val="0"/>
        </w:rPr>
        <w:tab/>
        <w:t>Goods stacked on jetties</w:t>
      </w:r>
      <w:bookmarkEnd w:id="62"/>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63" w:name="_Toc425337972"/>
      <w:r>
        <w:rPr>
          <w:rStyle w:val="CharSectno"/>
        </w:rPr>
        <w:t>34</w:t>
      </w:r>
      <w:r>
        <w:rPr>
          <w:snapToGrid w:val="0"/>
        </w:rPr>
        <w:t>.</w:t>
      </w:r>
      <w:r>
        <w:rPr>
          <w:snapToGrid w:val="0"/>
        </w:rPr>
        <w:tab/>
        <w:t>Cargo damaged by fire etc.</w:t>
      </w:r>
      <w:bookmarkEnd w:id="63"/>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64" w:name="_Toc425337973"/>
      <w:r>
        <w:rPr>
          <w:rStyle w:val="CharSectno"/>
        </w:rPr>
        <w:t>35</w:t>
      </w:r>
      <w:r>
        <w:rPr>
          <w:snapToGrid w:val="0"/>
        </w:rPr>
        <w:t>.</w:t>
      </w:r>
      <w:r>
        <w:rPr>
          <w:snapToGrid w:val="0"/>
        </w:rPr>
        <w:tab/>
        <w:t>Goods insufficiently packed</w:t>
      </w:r>
      <w:bookmarkEnd w:id="64"/>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65" w:name="_Toc425337974"/>
      <w:r>
        <w:rPr>
          <w:rStyle w:val="CharSectno"/>
        </w:rPr>
        <w:t>36</w:t>
      </w:r>
      <w:r>
        <w:rPr>
          <w:snapToGrid w:val="0"/>
        </w:rPr>
        <w:t>.</w:t>
      </w:r>
      <w:r>
        <w:rPr>
          <w:snapToGrid w:val="0"/>
        </w:rPr>
        <w:tab/>
        <w:t>Claims in respect of cargo</w:t>
      </w:r>
      <w:bookmarkEnd w:id="65"/>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keepLines/>
        <w:rPr>
          <w:snapToGrid w:val="0"/>
        </w:rPr>
      </w:pPr>
      <w:bookmarkStart w:id="66" w:name="_Toc425337513"/>
      <w:bookmarkStart w:id="67" w:name="_Toc425337776"/>
      <w:bookmarkStart w:id="68" w:name="_Toc425337975"/>
      <w:r>
        <w:rPr>
          <w:rStyle w:val="CharDivNo"/>
        </w:rPr>
        <w:t>Division 8</w:t>
      </w:r>
      <w:r>
        <w:rPr>
          <w:snapToGrid w:val="0"/>
        </w:rPr>
        <w:t> — </w:t>
      </w:r>
      <w:r>
        <w:rPr>
          <w:rStyle w:val="CharDivText"/>
        </w:rPr>
        <w:t>Working hours</w:t>
      </w:r>
      <w:bookmarkEnd w:id="66"/>
      <w:bookmarkEnd w:id="67"/>
      <w:bookmarkEnd w:id="68"/>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69" w:name="_Toc425337976"/>
      <w:r>
        <w:rPr>
          <w:rStyle w:val="CharSectno"/>
        </w:rPr>
        <w:t>37</w:t>
      </w:r>
      <w:r>
        <w:rPr>
          <w:snapToGrid w:val="0"/>
        </w:rPr>
        <w:t>.</w:t>
      </w:r>
      <w:r>
        <w:rPr>
          <w:snapToGrid w:val="0"/>
        </w:rPr>
        <w:tab/>
        <w:t>Ordinary time</w:t>
      </w:r>
      <w:bookmarkEnd w:id="69"/>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rPr>
          <w:snapToGrid w:val="0"/>
        </w:rPr>
      </w:pPr>
      <w:bookmarkStart w:id="70" w:name="_Toc425337977"/>
      <w:r>
        <w:rPr>
          <w:rStyle w:val="CharSectno"/>
        </w:rPr>
        <w:t>38</w:t>
      </w:r>
      <w:r>
        <w:rPr>
          <w:snapToGrid w:val="0"/>
        </w:rPr>
        <w:t>.</w:t>
      </w:r>
      <w:r>
        <w:rPr>
          <w:snapToGrid w:val="0"/>
        </w:rPr>
        <w:tab/>
        <w:t>Overtime</w:t>
      </w:r>
      <w:bookmarkEnd w:id="70"/>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rPr>
          <w:snapToGrid w:val="0"/>
        </w:rPr>
      </w:pPr>
      <w:bookmarkStart w:id="71" w:name="_Toc425337978"/>
      <w:r>
        <w:rPr>
          <w:rStyle w:val="CharSectno"/>
        </w:rPr>
        <w:t>38A</w:t>
      </w:r>
      <w:r>
        <w:rPr>
          <w:snapToGrid w:val="0"/>
        </w:rPr>
        <w:t>.</w:t>
      </w:r>
      <w:r>
        <w:rPr>
          <w:snapToGrid w:val="0"/>
        </w:rPr>
        <w:tab/>
        <w:t>Wages incurred through ships’ delays to be paid for</w:t>
      </w:r>
      <w:bookmarkEnd w:id="71"/>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pPr>
      <w:r>
        <w:tab/>
        <w:t xml:space="preserve">[Regulation 38A inserted in Gazette 12 Jul 1957 p. 2271; amended in Gazette 19 May 1989 p. 1495.] </w:t>
      </w:r>
    </w:p>
    <w:p>
      <w:pPr>
        <w:pStyle w:val="Heading5"/>
        <w:rPr>
          <w:snapToGrid w:val="0"/>
        </w:rPr>
      </w:pPr>
      <w:bookmarkStart w:id="72" w:name="_Toc425337979"/>
      <w:r>
        <w:rPr>
          <w:rStyle w:val="CharSectno"/>
        </w:rPr>
        <w:t>39</w:t>
      </w:r>
      <w:r>
        <w:rPr>
          <w:snapToGrid w:val="0"/>
        </w:rPr>
        <w:t>.</w:t>
      </w:r>
      <w:r>
        <w:rPr>
          <w:snapToGrid w:val="0"/>
        </w:rPr>
        <w:tab/>
        <w:t>Master to give notice of desire to work</w:t>
      </w:r>
      <w:bookmarkEnd w:id="72"/>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73" w:name="_Toc425337518"/>
      <w:bookmarkStart w:id="74" w:name="_Toc425337781"/>
      <w:bookmarkStart w:id="75" w:name="_Toc425337980"/>
      <w:r>
        <w:rPr>
          <w:rStyle w:val="CharDivNo"/>
        </w:rPr>
        <w:t>Division 9</w:t>
      </w:r>
      <w:r>
        <w:rPr>
          <w:snapToGrid w:val="0"/>
        </w:rPr>
        <w:t> — </w:t>
      </w:r>
      <w:r>
        <w:rPr>
          <w:rStyle w:val="CharDivText"/>
        </w:rPr>
        <w:t>Livestock or vehicles on jetties or premises</w:t>
      </w:r>
      <w:bookmarkEnd w:id="73"/>
      <w:bookmarkEnd w:id="74"/>
      <w:bookmarkEnd w:id="75"/>
      <w:r>
        <w:rPr>
          <w:rStyle w:val="CharDivText"/>
        </w:rPr>
        <w:t xml:space="preserve"> </w:t>
      </w:r>
    </w:p>
    <w:p>
      <w:pPr>
        <w:pStyle w:val="Footnoteheading"/>
      </w:pPr>
      <w:r>
        <w:tab/>
        <w:t xml:space="preserve">[Heading inserted in Gazette 19 May 1989 p. 1494.] </w:t>
      </w:r>
    </w:p>
    <w:p>
      <w:pPr>
        <w:pStyle w:val="Heading5"/>
        <w:rPr>
          <w:snapToGrid w:val="0"/>
        </w:rPr>
      </w:pPr>
      <w:bookmarkStart w:id="76" w:name="_Toc425337981"/>
      <w:r>
        <w:rPr>
          <w:rStyle w:val="CharSectno"/>
        </w:rPr>
        <w:t>40</w:t>
      </w:r>
      <w:r>
        <w:rPr>
          <w:snapToGrid w:val="0"/>
        </w:rPr>
        <w:t>.</w:t>
      </w:r>
      <w:r>
        <w:rPr>
          <w:snapToGrid w:val="0"/>
        </w:rPr>
        <w:tab/>
        <w:t>Livestock on jetties or premises</w:t>
      </w:r>
      <w:bookmarkEnd w:id="76"/>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77" w:name="_Toc425337982"/>
      <w:r>
        <w:rPr>
          <w:rStyle w:val="CharSectno"/>
        </w:rPr>
        <w:t>41</w:t>
      </w:r>
      <w:r>
        <w:rPr>
          <w:snapToGrid w:val="0"/>
        </w:rPr>
        <w:t>.</w:t>
      </w:r>
      <w:r>
        <w:rPr>
          <w:snapToGrid w:val="0"/>
        </w:rPr>
        <w:tab/>
        <w:t>Riding vehicles etc. on jetties or premises</w:t>
      </w:r>
      <w:bookmarkEnd w:id="77"/>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78" w:name="_Toc425337983"/>
      <w:r>
        <w:rPr>
          <w:rStyle w:val="CharSectno"/>
        </w:rPr>
        <w:t>41A</w:t>
      </w:r>
      <w:r>
        <w:rPr>
          <w:snapToGrid w:val="0"/>
        </w:rPr>
        <w:t>.</w:t>
      </w:r>
      <w:r>
        <w:rPr>
          <w:snapToGrid w:val="0"/>
        </w:rPr>
        <w:tab/>
        <w:t>Vehicles not to be parked on jetties</w:t>
      </w:r>
      <w:bookmarkEnd w:id="78"/>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pPr>
      <w:r>
        <w:tab/>
        <w:t xml:space="preserve">[Regulation 41A inserted in Gazette 17 Mar 1960 p. 779; amended in Gazette 19 May 1989 p. 1495.] </w:t>
      </w:r>
    </w:p>
    <w:p>
      <w:pPr>
        <w:pStyle w:val="Heading5"/>
        <w:rPr>
          <w:snapToGrid w:val="0"/>
        </w:rPr>
      </w:pPr>
      <w:bookmarkStart w:id="79" w:name="_Toc425337984"/>
      <w:r>
        <w:rPr>
          <w:rStyle w:val="CharSectno"/>
        </w:rPr>
        <w:t>41B</w:t>
      </w:r>
      <w:r>
        <w:rPr>
          <w:snapToGrid w:val="0"/>
        </w:rPr>
        <w:t>.</w:t>
      </w:r>
      <w:r>
        <w:rPr>
          <w:snapToGrid w:val="0"/>
        </w:rPr>
        <w:tab/>
        <w:t>Department not responsible for vehicles on jetties</w:t>
      </w:r>
      <w:bookmarkEnd w:id="79"/>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80" w:name="_Toc425337985"/>
      <w:r>
        <w:rPr>
          <w:rStyle w:val="CharSectno"/>
        </w:rPr>
        <w:t>42</w:t>
      </w:r>
      <w:r>
        <w:rPr>
          <w:snapToGrid w:val="0"/>
        </w:rPr>
        <w:t>.</w:t>
      </w:r>
      <w:r>
        <w:rPr>
          <w:snapToGrid w:val="0"/>
        </w:rPr>
        <w:tab/>
        <w:t>Drivers of vehicles to obey instructions</w:t>
      </w:r>
      <w:bookmarkEnd w:id="80"/>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81" w:name="_Toc425337986"/>
      <w:r>
        <w:rPr>
          <w:rStyle w:val="CharSectno"/>
        </w:rPr>
        <w:t>42A</w:t>
      </w:r>
      <w:r>
        <w:t>.</w:t>
      </w:r>
      <w:r>
        <w:tab/>
        <w:t>Charges for vehicular use of jetty</w:t>
      </w:r>
      <w:bookmarkEnd w:id="81"/>
    </w:p>
    <w:p>
      <w:pPr>
        <w:pStyle w:val="Subsection"/>
      </w:pPr>
      <w:r>
        <w:tab/>
      </w:r>
      <w:r>
        <w:tab/>
        <w:t>The charges (if any) payable for vehicular use of a jetty and land adjacent to it are as set out in a Schedule.</w:t>
      </w:r>
    </w:p>
    <w:p>
      <w:pPr>
        <w:pStyle w:val="Footnotesection"/>
        <w:rPr>
          <w:rStyle w:val="CharSectno"/>
        </w:rPr>
      </w:pPr>
      <w:r>
        <w:tab/>
        <w:t>[Regulation 42A inserted in Gazette 22 Jun 2007 p. 2908</w:t>
      </w:r>
      <w:r>
        <w:noBreakHyphen/>
        <w:t>9; amended in Gazette 25 Jul 2014 p. 2611; 22 Jul 2015 p. 2953.]</w:t>
      </w:r>
    </w:p>
    <w:p>
      <w:pPr>
        <w:pStyle w:val="Heading5"/>
        <w:rPr>
          <w:snapToGrid w:val="0"/>
        </w:rPr>
      </w:pPr>
      <w:bookmarkStart w:id="82" w:name="_Toc425337987"/>
      <w:r>
        <w:rPr>
          <w:rStyle w:val="CharSectno"/>
        </w:rPr>
        <w:t>43</w:t>
      </w:r>
      <w:r>
        <w:rPr>
          <w:snapToGrid w:val="0"/>
        </w:rPr>
        <w:t>.</w:t>
      </w:r>
      <w:r>
        <w:rPr>
          <w:snapToGrid w:val="0"/>
        </w:rPr>
        <w:tab/>
        <w:t>Persons not to be on jetties when livestock is being handled</w:t>
      </w:r>
      <w:bookmarkEnd w:id="82"/>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keepLines/>
        <w:rPr>
          <w:snapToGrid w:val="0"/>
        </w:rPr>
      </w:pPr>
      <w:bookmarkStart w:id="83" w:name="_Toc425337526"/>
      <w:bookmarkStart w:id="84" w:name="_Toc425337789"/>
      <w:bookmarkStart w:id="85" w:name="_Toc425337988"/>
      <w:r>
        <w:rPr>
          <w:rStyle w:val="CharDivNo"/>
        </w:rPr>
        <w:t>Division 10</w:t>
      </w:r>
      <w:r>
        <w:rPr>
          <w:snapToGrid w:val="0"/>
        </w:rPr>
        <w:t> — </w:t>
      </w:r>
      <w:r>
        <w:rPr>
          <w:rStyle w:val="CharDivText"/>
        </w:rPr>
        <w:t>Miscellaneous</w:t>
      </w:r>
      <w:bookmarkEnd w:id="83"/>
      <w:bookmarkEnd w:id="84"/>
      <w:bookmarkEnd w:id="85"/>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86" w:name="_Toc425337989"/>
      <w:r>
        <w:rPr>
          <w:rStyle w:val="CharSectno"/>
        </w:rPr>
        <w:t>44</w:t>
      </w:r>
      <w:r>
        <w:rPr>
          <w:snapToGrid w:val="0"/>
        </w:rPr>
        <w:t>.</w:t>
      </w:r>
      <w:r>
        <w:rPr>
          <w:snapToGrid w:val="0"/>
        </w:rPr>
        <w:tab/>
        <w:t>Bill posting, defacement and obscenity</w:t>
      </w:r>
      <w:bookmarkEnd w:id="86"/>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87" w:name="_Toc425337990"/>
      <w:r>
        <w:rPr>
          <w:rStyle w:val="CharSectno"/>
        </w:rPr>
        <w:t>45</w:t>
      </w:r>
      <w:r>
        <w:rPr>
          <w:snapToGrid w:val="0"/>
        </w:rPr>
        <w:t>.</w:t>
      </w:r>
      <w:r>
        <w:rPr>
          <w:snapToGrid w:val="0"/>
        </w:rPr>
        <w:tab/>
        <w:t>Disorderly persons</w:t>
      </w:r>
      <w:bookmarkEnd w:id="87"/>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88" w:name="_Toc425337991"/>
      <w:r>
        <w:rPr>
          <w:rStyle w:val="CharSectno"/>
        </w:rPr>
        <w:t>46</w:t>
      </w:r>
      <w:r>
        <w:rPr>
          <w:snapToGrid w:val="0"/>
        </w:rPr>
        <w:t>.</w:t>
      </w:r>
      <w:r>
        <w:rPr>
          <w:snapToGrid w:val="0"/>
        </w:rPr>
        <w:tab/>
        <w:t>Fires not to be lit</w:t>
      </w:r>
      <w:bookmarkEnd w:id="88"/>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89" w:name="_Toc425337992"/>
      <w:r>
        <w:rPr>
          <w:rStyle w:val="CharSectno"/>
        </w:rPr>
        <w:t>47</w:t>
      </w:r>
      <w:r>
        <w:rPr>
          <w:snapToGrid w:val="0"/>
        </w:rPr>
        <w:t>.</w:t>
      </w:r>
      <w:r>
        <w:rPr>
          <w:snapToGrid w:val="0"/>
        </w:rPr>
        <w:tab/>
        <w:t>Gates to be shut</w:t>
      </w:r>
      <w:bookmarkEnd w:id="89"/>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90" w:name="_Toc425337993"/>
      <w:r>
        <w:rPr>
          <w:rStyle w:val="CharSectno"/>
        </w:rPr>
        <w:t>48</w:t>
      </w:r>
      <w:r>
        <w:rPr>
          <w:snapToGrid w:val="0"/>
        </w:rPr>
        <w:t>.</w:t>
      </w:r>
      <w:r>
        <w:rPr>
          <w:snapToGrid w:val="0"/>
        </w:rPr>
        <w:tab/>
        <w:t>Interference with lights</w:t>
      </w:r>
      <w:bookmarkEnd w:id="90"/>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91" w:name="_Toc425337994"/>
      <w:r>
        <w:rPr>
          <w:rStyle w:val="CharSectno"/>
        </w:rPr>
        <w:t>49</w:t>
      </w:r>
      <w:r>
        <w:rPr>
          <w:snapToGrid w:val="0"/>
        </w:rPr>
        <w:t>.</w:t>
      </w:r>
      <w:r>
        <w:rPr>
          <w:snapToGrid w:val="0"/>
        </w:rPr>
        <w:tab/>
        <w:t>Interference with or damaging property</w:t>
      </w:r>
      <w:bookmarkEnd w:id="91"/>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92" w:name="_Toc425337995"/>
      <w:r>
        <w:rPr>
          <w:rStyle w:val="CharSectno"/>
        </w:rPr>
        <w:t>50</w:t>
      </w:r>
      <w:r>
        <w:rPr>
          <w:snapToGrid w:val="0"/>
        </w:rPr>
        <w:t>.</w:t>
      </w:r>
      <w:r>
        <w:rPr>
          <w:snapToGrid w:val="0"/>
        </w:rPr>
        <w:tab/>
        <w:t>Lost property</w:t>
      </w:r>
      <w:bookmarkEnd w:id="92"/>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ind w:left="890" w:hanging="890"/>
      </w:pPr>
      <w:r>
        <w:tab/>
        <w:t xml:space="preserve">[Regulation 50 amended in Gazette 19 May 1985 p. 1495.] </w:t>
      </w:r>
    </w:p>
    <w:p>
      <w:pPr>
        <w:pStyle w:val="Heading5"/>
        <w:rPr>
          <w:snapToGrid w:val="0"/>
        </w:rPr>
      </w:pPr>
      <w:bookmarkStart w:id="93" w:name="_Toc425337996"/>
      <w:r>
        <w:rPr>
          <w:rStyle w:val="CharSectno"/>
        </w:rPr>
        <w:t>51</w:t>
      </w:r>
      <w:r>
        <w:rPr>
          <w:snapToGrid w:val="0"/>
        </w:rPr>
        <w:t>.</w:t>
      </w:r>
      <w:r>
        <w:rPr>
          <w:snapToGrid w:val="0"/>
        </w:rPr>
        <w:tab/>
        <w:t>Obstruction of officers, or premises</w:t>
      </w:r>
      <w:bookmarkEnd w:id="93"/>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94" w:name="_Toc425337997"/>
      <w:r>
        <w:rPr>
          <w:rStyle w:val="CharSectno"/>
        </w:rPr>
        <w:t>52</w:t>
      </w:r>
      <w:r>
        <w:rPr>
          <w:snapToGrid w:val="0"/>
        </w:rPr>
        <w:t>.</w:t>
      </w:r>
      <w:r>
        <w:rPr>
          <w:snapToGrid w:val="0"/>
        </w:rPr>
        <w:tab/>
        <w:t>Obstruction of or damage to jetties or premises</w:t>
      </w:r>
      <w:bookmarkEnd w:id="94"/>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keepLines w:val="0"/>
        <w:ind w:left="890" w:hanging="890"/>
      </w:pPr>
      <w:r>
        <w:tab/>
        <w:t xml:space="preserve">[Regulation 52 amended in Gazette 19 May 1989 p. 1495.] </w:t>
      </w:r>
    </w:p>
    <w:p>
      <w:pPr>
        <w:pStyle w:val="Heading5"/>
        <w:rPr>
          <w:snapToGrid w:val="0"/>
        </w:rPr>
      </w:pPr>
      <w:bookmarkStart w:id="95" w:name="_Toc425337998"/>
      <w:r>
        <w:rPr>
          <w:rStyle w:val="CharSectno"/>
        </w:rPr>
        <w:t>53</w:t>
      </w:r>
      <w:r>
        <w:rPr>
          <w:snapToGrid w:val="0"/>
        </w:rPr>
        <w:t>.</w:t>
      </w:r>
      <w:r>
        <w:rPr>
          <w:snapToGrid w:val="0"/>
        </w:rPr>
        <w:tab/>
        <w:t>Rubbish etc. not to be thrown</w:t>
      </w:r>
      <w:bookmarkEnd w:id="95"/>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96" w:name="_Toc425337999"/>
      <w:r>
        <w:rPr>
          <w:rStyle w:val="CharSectno"/>
        </w:rPr>
        <w:t>53A</w:t>
      </w:r>
      <w:r>
        <w:t>.</w:t>
      </w:r>
      <w:r>
        <w:tab/>
        <w:t>Charges for rubbish removal</w:t>
      </w:r>
      <w:bookmarkEnd w:id="96"/>
    </w:p>
    <w:p>
      <w:pPr>
        <w:pStyle w:val="Subsection"/>
      </w:pPr>
      <w:r>
        <w:tab/>
      </w:r>
      <w:r>
        <w:tab/>
        <w:t>The charges (if any) payable for removal of rubbish by the Department are as set out in a Schedule.</w:t>
      </w:r>
    </w:p>
    <w:p>
      <w:pPr>
        <w:pStyle w:val="Footnotesection"/>
      </w:pPr>
      <w:r>
        <w:tab/>
        <w:t>[Regulation 53A inserted in Gazette 22 Jun 2007 p. 2909; amended in Gazette 25 Jul 2014 p. 2611; 22 Jul 2015 p. 2954.]</w:t>
      </w:r>
    </w:p>
    <w:p>
      <w:pPr>
        <w:pStyle w:val="Heading5"/>
        <w:rPr>
          <w:snapToGrid w:val="0"/>
        </w:rPr>
      </w:pPr>
      <w:bookmarkStart w:id="97" w:name="_Toc425338000"/>
      <w:r>
        <w:rPr>
          <w:rStyle w:val="CharSectno"/>
        </w:rPr>
        <w:t>54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articles prohibited</w:t>
      </w:r>
      <w:bookmarkEnd w:id="97"/>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98" w:name="_Toc425338001"/>
      <w:r>
        <w:rPr>
          <w:rStyle w:val="CharSectno"/>
        </w:rPr>
        <w:t>55</w:t>
      </w:r>
      <w:r>
        <w:rPr>
          <w:snapToGrid w:val="0"/>
        </w:rPr>
        <w:t>.</w:t>
      </w:r>
      <w:r>
        <w:rPr>
          <w:snapToGrid w:val="0"/>
        </w:rPr>
        <w:tab/>
        <w:t>Smoking and loitering</w:t>
      </w:r>
      <w:bookmarkEnd w:id="98"/>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99" w:name="_Toc425338002"/>
      <w:r>
        <w:rPr>
          <w:rStyle w:val="CharSectno"/>
        </w:rPr>
        <w:t>56</w:t>
      </w:r>
      <w:r>
        <w:rPr>
          <w:snapToGrid w:val="0"/>
        </w:rPr>
        <w:t>.</w:t>
      </w:r>
      <w:r>
        <w:rPr>
          <w:snapToGrid w:val="0"/>
        </w:rPr>
        <w:tab/>
        <w:t>Trespassing</w:t>
      </w:r>
      <w:bookmarkEnd w:id="99"/>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Deleted in Gazette 24 Nov 1972 p. 4487.] </w:t>
      </w:r>
    </w:p>
    <w:p>
      <w:pPr>
        <w:pStyle w:val="Heading5"/>
        <w:rPr>
          <w:snapToGrid w:val="0"/>
        </w:rPr>
      </w:pPr>
      <w:bookmarkStart w:id="100" w:name="_Toc425338003"/>
      <w:r>
        <w:rPr>
          <w:rStyle w:val="CharSectno"/>
        </w:rPr>
        <w:t>67A</w:t>
      </w:r>
      <w:r>
        <w:rPr>
          <w:snapToGrid w:val="0"/>
        </w:rPr>
        <w:t>.</w:t>
      </w:r>
      <w:r>
        <w:rPr>
          <w:snapToGrid w:val="0"/>
        </w:rPr>
        <w:tab/>
        <w:t>Conditions for construction and installation of pipelines</w:t>
      </w:r>
      <w:bookmarkEnd w:id="100"/>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spacing w:before="240"/>
        <w:rPr>
          <w:snapToGrid w:val="0"/>
        </w:rPr>
      </w:pPr>
      <w:bookmarkStart w:id="101" w:name="_Toc425338004"/>
      <w:r>
        <w:rPr>
          <w:rStyle w:val="CharSectno"/>
        </w:rPr>
        <w:t>67B</w:t>
      </w:r>
      <w:r>
        <w:rPr>
          <w:snapToGrid w:val="0"/>
        </w:rPr>
        <w:t>.</w:t>
      </w:r>
      <w:r>
        <w:rPr>
          <w:snapToGrid w:val="0"/>
        </w:rPr>
        <w:tab/>
        <w:t>Maintenance and operation of pipelines</w:t>
      </w:r>
      <w:bookmarkEnd w:id="101"/>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61°C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Deleted in Gazette 14 Apr 1966 p. 918.] </w:t>
      </w:r>
    </w:p>
    <w:p>
      <w:pPr>
        <w:pStyle w:val="Heading5"/>
        <w:rPr>
          <w:snapToGrid w:val="0"/>
        </w:rPr>
      </w:pPr>
      <w:bookmarkStart w:id="102" w:name="_Toc425338005"/>
      <w:r>
        <w:rPr>
          <w:rStyle w:val="CharSectno"/>
        </w:rPr>
        <w:t>67D</w:t>
      </w:r>
      <w:r>
        <w:rPr>
          <w:snapToGrid w:val="0"/>
        </w:rPr>
        <w:t>.</w:t>
      </w:r>
      <w:r>
        <w:rPr>
          <w:snapToGrid w:val="0"/>
        </w:rPr>
        <w:tab/>
        <w:t>Penalty for failure to remove or amend pipeline</w:t>
      </w:r>
      <w:bookmarkEnd w:id="102"/>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5"/>
      </w:pPr>
      <w:bookmarkStart w:id="103" w:name="_Toc425338006"/>
      <w:r>
        <w:rPr>
          <w:rStyle w:val="CharSectno"/>
        </w:rPr>
        <w:t>67DA</w:t>
      </w:r>
      <w:r>
        <w:t>.</w:t>
      </w:r>
      <w:r>
        <w:tab/>
        <w:t>Fuelling vessels at service jetties limited</w:t>
      </w:r>
      <w:bookmarkEnd w:id="103"/>
    </w:p>
    <w:p>
      <w:pPr>
        <w:pStyle w:val="Subsection"/>
      </w:pPr>
      <w:r>
        <w:tab/>
      </w:r>
      <w:r>
        <w:tab/>
        <w:t xml:space="preserve">A person must not fuel a vessel from an alongside berth at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in Gazette 7 Dec 2007 p. 5984; amended in Gazette 25 Jul 2014 p. 2612.]</w:t>
      </w:r>
    </w:p>
    <w:p>
      <w:pPr>
        <w:pStyle w:val="Heading2"/>
      </w:pPr>
      <w:bookmarkStart w:id="104" w:name="_Toc425337545"/>
      <w:bookmarkStart w:id="105" w:name="_Toc425337808"/>
      <w:bookmarkStart w:id="106" w:name="_Toc425338007"/>
      <w:r>
        <w:rPr>
          <w:rStyle w:val="CharPartNo"/>
        </w:rPr>
        <w:t>Part 2</w:t>
      </w:r>
      <w:r>
        <w:t> — </w:t>
      </w:r>
      <w:r>
        <w:rPr>
          <w:rStyle w:val="CharPartText"/>
        </w:rPr>
        <w:t xml:space="preserve">Regulations applying to jetties within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104"/>
      <w:bookmarkEnd w:id="105"/>
      <w:bookmarkEnd w:id="106"/>
      <w:r>
        <w:rPr>
          <w:rStyle w:val="CharPartText"/>
        </w:rPr>
        <w:t xml:space="preserve"> </w:t>
      </w:r>
    </w:p>
    <w:p>
      <w:pPr>
        <w:pStyle w:val="Footnoteheading"/>
      </w:pPr>
      <w:r>
        <w:tab/>
        <w:t xml:space="preserve">[Heading inserted in Gazette 19 May 1989 p. 1494.] </w:t>
      </w:r>
    </w:p>
    <w:p>
      <w:pPr>
        <w:pStyle w:val="Heading3"/>
        <w:rPr>
          <w:snapToGrid w:val="0"/>
        </w:rPr>
      </w:pPr>
      <w:bookmarkStart w:id="107" w:name="_Toc425337546"/>
      <w:bookmarkStart w:id="108" w:name="_Toc425337809"/>
      <w:bookmarkStart w:id="109" w:name="_Toc425338008"/>
      <w:r>
        <w:rPr>
          <w:rStyle w:val="CharDivNo"/>
        </w:rPr>
        <w:t>Division 1</w:t>
      </w:r>
      <w:r>
        <w:rPr>
          <w:snapToGrid w:val="0"/>
        </w:rPr>
        <w:t> — </w:t>
      </w:r>
      <w:r>
        <w:rPr>
          <w:rStyle w:val="CharDivText"/>
        </w:rPr>
        <w:t>Application of this Part</w:t>
      </w:r>
      <w:bookmarkEnd w:id="107"/>
      <w:bookmarkEnd w:id="108"/>
      <w:bookmarkEnd w:id="109"/>
      <w:r>
        <w:rPr>
          <w:rStyle w:val="CharDivText"/>
        </w:rPr>
        <w:t xml:space="preserve"> </w:t>
      </w:r>
    </w:p>
    <w:p>
      <w:pPr>
        <w:pStyle w:val="Footnoteheading"/>
      </w:pPr>
      <w:r>
        <w:tab/>
        <w:t xml:space="preserve">[Heading inserted in Gazette 19 May 1989 p. 1494.] </w:t>
      </w:r>
    </w:p>
    <w:p>
      <w:pPr>
        <w:pStyle w:val="Heading5"/>
        <w:rPr>
          <w:snapToGrid w:val="0"/>
        </w:rPr>
      </w:pPr>
      <w:bookmarkStart w:id="110" w:name="_Toc425338009"/>
      <w:r>
        <w:rPr>
          <w:rStyle w:val="CharSectno"/>
        </w:rPr>
        <w:t>67E</w:t>
      </w:r>
      <w:r>
        <w:rPr>
          <w:snapToGrid w:val="0"/>
        </w:rPr>
        <w:t>.</w:t>
      </w:r>
      <w:r>
        <w:rPr>
          <w:snapToGrid w:val="0"/>
        </w:rPr>
        <w:tab/>
        <w:t>Application</w:t>
      </w:r>
      <w:bookmarkEnd w:id="110"/>
      <w:r>
        <w:rPr>
          <w:snapToGrid w:val="0"/>
        </w:rPr>
        <w:t xml:space="preserve"> </w:t>
      </w:r>
    </w:p>
    <w:p>
      <w:pPr>
        <w:pStyle w:val="Subsection"/>
        <w:rPr>
          <w:snapToGrid w:val="0"/>
        </w:rPr>
      </w:pPr>
      <w:r>
        <w:rPr>
          <w:snapToGrid w:val="0"/>
        </w:rPr>
        <w:tab/>
      </w:r>
      <w:r>
        <w:rPr>
          <w:snapToGrid w:val="0"/>
        </w:rPr>
        <w:tab/>
        <w:t xml:space="preserve">This Part applies to all jetties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w:t>
      </w:r>
    </w:p>
    <w:p>
      <w:pPr>
        <w:pStyle w:val="Footnoteheading"/>
      </w:pPr>
      <w:r>
        <w:tab/>
        <w:t xml:space="preserve">[Regulation 67E inserted in Gazette 19 May 1989 p. 1494.] </w:t>
      </w:r>
    </w:p>
    <w:p>
      <w:pPr>
        <w:pStyle w:val="Heading3"/>
        <w:rPr>
          <w:snapToGrid w:val="0"/>
        </w:rPr>
      </w:pPr>
      <w:bookmarkStart w:id="111" w:name="_Toc425337548"/>
      <w:bookmarkStart w:id="112" w:name="_Toc425337811"/>
      <w:bookmarkStart w:id="113" w:name="_Toc425338010"/>
      <w:r>
        <w:rPr>
          <w:rStyle w:val="CharDivNo"/>
        </w:rPr>
        <w:t>Division 2</w:t>
      </w:r>
      <w:r>
        <w:rPr>
          <w:snapToGrid w:val="0"/>
        </w:rPr>
        <w:t> — </w:t>
      </w:r>
      <w:r>
        <w:rPr>
          <w:rStyle w:val="CharDivText"/>
        </w:rPr>
        <w:t>Management and use of jetties</w:t>
      </w:r>
      <w:bookmarkEnd w:id="111"/>
      <w:bookmarkEnd w:id="112"/>
      <w:bookmarkEnd w:id="113"/>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114" w:name="_Toc425338011"/>
      <w:r>
        <w:rPr>
          <w:rStyle w:val="CharSectno"/>
        </w:rPr>
        <w:t>68</w:t>
      </w:r>
      <w:r>
        <w:rPr>
          <w:snapToGrid w:val="0"/>
        </w:rPr>
        <w:t>.</w:t>
      </w:r>
      <w:r>
        <w:rPr>
          <w:snapToGrid w:val="0"/>
        </w:rPr>
        <w:tab/>
        <w:t>Control of jetties</w:t>
      </w:r>
      <w:bookmarkEnd w:id="114"/>
      <w:r>
        <w:rPr>
          <w:snapToGrid w:val="0"/>
        </w:rPr>
        <w:t xml:space="preserve"> </w:t>
      </w:r>
    </w:p>
    <w:p>
      <w:pPr>
        <w:pStyle w:val="Subsection"/>
        <w:rPr>
          <w:snapToGrid w:val="0"/>
        </w:rPr>
      </w:pPr>
      <w:r>
        <w:rPr>
          <w:snapToGrid w:val="0"/>
        </w:rPr>
        <w:tab/>
      </w:r>
      <w:r>
        <w:rPr>
          <w:snapToGrid w:val="0"/>
        </w:rPr>
        <w:tab/>
        <w:t xml:space="preserve">All public jetties in the </w:t>
      </w:r>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r>
        <w:t xml:space="preserve">, except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w:t>
      </w:r>
      <w:r>
        <w:rPr>
          <w:snapToGrid w:val="0"/>
        </w:rPr>
        <w:t>shall henceforth be under the control of the Department.</w:t>
      </w:r>
    </w:p>
    <w:p>
      <w:pPr>
        <w:pStyle w:val="Footnotesection"/>
      </w:pPr>
      <w:r>
        <w:tab/>
        <w:t xml:space="preserve">[Regulation 68 amended in Gazette 19 May 1989 p. 1495; </w:t>
      </w:r>
      <w:r>
        <w:rPr>
          <w:color w:val="000000"/>
        </w:rPr>
        <w:t>27 Jun 2003 p. </w:t>
      </w:r>
      <w:r>
        <w:t xml:space="preserve">2502.] </w:t>
      </w:r>
    </w:p>
    <w:p>
      <w:pPr>
        <w:pStyle w:val="Heading5"/>
        <w:rPr>
          <w:snapToGrid w:val="0"/>
        </w:rPr>
      </w:pPr>
      <w:bookmarkStart w:id="115" w:name="_Toc425338012"/>
      <w:r>
        <w:rPr>
          <w:rStyle w:val="CharSectno"/>
        </w:rPr>
        <w:t>69</w:t>
      </w:r>
      <w:r>
        <w:rPr>
          <w:snapToGrid w:val="0"/>
        </w:rPr>
        <w:t>.</w:t>
      </w:r>
      <w:r>
        <w:rPr>
          <w:snapToGrid w:val="0"/>
        </w:rPr>
        <w:tab/>
        <w:t>Use of jetties</w:t>
      </w:r>
      <w:bookmarkEnd w:id="115"/>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keepLines w:val="0"/>
        <w:rPr>
          <w:snapToGrid w:val="0"/>
        </w:rPr>
      </w:pPr>
      <w:bookmarkStart w:id="116" w:name="_Toc425338013"/>
      <w:r>
        <w:rPr>
          <w:rStyle w:val="CharSectno"/>
        </w:rPr>
        <w:t>70</w:t>
      </w:r>
      <w:r>
        <w:rPr>
          <w:snapToGrid w:val="0"/>
        </w:rPr>
        <w:t>.</w:t>
      </w:r>
      <w:r>
        <w:rPr>
          <w:snapToGrid w:val="0"/>
        </w:rPr>
        <w:tab/>
        <w:t>Jetties may be closed</w:t>
      </w:r>
      <w:bookmarkEnd w:id="116"/>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r>
        <w:t>[</w:t>
      </w:r>
      <w:r>
        <w:rPr>
          <w:b/>
        </w:rPr>
        <w:t>70A.</w:t>
      </w:r>
      <w:r>
        <w:tab/>
        <w:t xml:space="preserve">Deleted in Gazette </w:t>
      </w:r>
      <w:r>
        <w:rPr>
          <w:color w:val="000000"/>
        </w:rPr>
        <w:t>27 Jun 2003 p. </w:t>
      </w:r>
      <w:r>
        <w:t>2502.]</w:t>
      </w:r>
    </w:p>
    <w:p>
      <w:pPr>
        <w:pStyle w:val="Ednotesection"/>
      </w:pPr>
      <w:r>
        <w:t>[</w:t>
      </w:r>
      <w:r>
        <w:rPr>
          <w:b/>
        </w:rPr>
        <w:t>70B.</w:t>
      </w:r>
      <w:r>
        <w:rPr>
          <w:b/>
        </w:rPr>
        <w:tab/>
      </w:r>
      <w:r>
        <w:t>Deleted in Gazette 25 Jun 2004 p. 2270.]</w:t>
      </w:r>
    </w:p>
    <w:p>
      <w:pPr>
        <w:pStyle w:val="Heading3"/>
        <w:rPr>
          <w:snapToGrid w:val="0"/>
        </w:rPr>
      </w:pPr>
      <w:bookmarkStart w:id="117" w:name="_Toc425337552"/>
      <w:bookmarkStart w:id="118" w:name="_Toc425337815"/>
      <w:bookmarkStart w:id="119" w:name="_Toc425338014"/>
      <w:r>
        <w:rPr>
          <w:rStyle w:val="CharDivNo"/>
        </w:rPr>
        <w:t>Division 3</w:t>
      </w:r>
      <w:r>
        <w:rPr>
          <w:snapToGrid w:val="0"/>
        </w:rPr>
        <w:t> — </w:t>
      </w:r>
      <w:r>
        <w:rPr>
          <w:rStyle w:val="CharDivText"/>
        </w:rPr>
        <w:t>Mooring and berthing of vessels</w:t>
      </w:r>
      <w:bookmarkEnd w:id="117"/>
      <w:bookmarkEnd w:id="118"/>
      <w:bookmarkEnd w:id="119"/>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120" w:name="_Toc425338015"/>
      <w:r>
        <w:rPr>
          <w:rStyle w:val="CharSectno"/>
        </w:rPr>
        <w:t>71</w:t>
      </w:r>
      <w:r>
        <w:rPr>
          <w:snapToGrid w:val="0"/>
        </w:rPr>
        <w:t>.</w:t>
      </w:r>
      <w:r>
        <w:rPr>
          <w:snapToGrid w:val="0"/>
        </w:rPr>
        <w:tab/>
        <w:t>Permit required to moor etc. alongside jetty or buoy</w:t>
      </w:r>
      <w:bookmarkEnd w:id="120"/>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121" w:name="_Toc425338016"/>
      <w:r>
        <w:rPr>
          <w:rStyle w:val="CharSectno"/>
        </w:rPr>
        <w:t>72</w:t>
      </w:r>
      <w:r>
        <w:rPr>
          <w:snapToGrid w:val="0"/>
        </w:rPr>
        <w:t>.</w:t>
      </w:r>
      <w:r>
        <w:rPr>
          <w:snapToGrid w:val="0"/>
        </w:rPr>
        <w:tab/>
        <w:t>Duration of, and charges for, permits</w:t>
      </w:r>
      <w:bookmarkEnd w:id="121"/>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w:t>
      </w:r>
      <w:r>
        <w:t xml:space="preserve">charge </w:t>
      </w:r>
      <w:r>
        <w:rPr>
          <w:snapToGrid w:val="0"/>
        </w:rPr>
        <w:t xml:space="preserve">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25 Jul 2014 p. 2612.] </w:t>
      </w:r>
    </w:p>
    <w:p>
      <w:pPr>
        <w:pStyle w:val="Heading5"/>
        <w:rPr>
          <w:snapToGrid w:val="0"/>
        </w:rPr>
      </w:pPr>
      <w:bookmarkStart w:id="122" w:name="_Toc425338017"/>
      <w:r>
        <w:rPr>
          <w:rStyle w:val="CharSectno"/>
        </w:rPr>
        <w:t>73</w:t>
      </w:r>
      <w:r>
        <w:rPr>
          <w:snapToGrid w:val="0"/>
        </w:rPr>
        <w:t>.</w:t>
      </w:r>
      <w:r>
        <w:rPr>
          <w:snapToGrid w:val="0"/>
        </w:rPr>
        <w:tab/>
        <w:t>Permit for exclusive use of berth</w:t>
      </w:r>
      <w:bookmarkEnd w:id="122"/>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w:t>
      </w:r>
    </w:p>
    <w:p>
      <w:pPr>
        <w:pStyle w:val="Heading5"/>
        <w:rPr>
          <w:snapToGrid w:val="0"/>
        </w:rPr>
      </w:pPr>
      <w:bookmarkStart w:id="123" w:name="_Toc425338018"/>
      <w:r>
        <w:rPr>
          <w:rStyle w:val="CharSectno"/>
        </w:rPr>
        <w:t>74</w:t>
      </w:r>
      <w:r>
        <w:rPr>
          <w:snapToGrid w:val="0"/>
        </w:rPr>
        <w:t>.</w:t>
      </w:r>
      <w:r>
        <w:rPr>
          <w:snapToGrid w:val="0"/>
        </w:rPr>
        <w:tab/>
        <w:t>Manner of mooring vessels</w:t>
      </w:r>
      <w:bookmarkEnd w:id="123"/>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124" w:name="_Toc425338019"/>
      <w:r>
        <w:rPr>
          <w:rStyle w:val="CharSectno"/>
        </w:rPr>
        <w:t>75</w:t>
      </w:r>
      <w:r>
        <w:rPr>
          <w:snapToGrid w:val="0"/>
        </w:rPr>
        <w:t>.</w:t>
      </w:r>
      <w:r>
        <w:rPr>
          <w:snapToGrid w:val="0"/>
        </w:rPr>
        <w:tab/>
        <w:t>Vessels not to remain at jetties longer than necessary</w:t>
      </w:r>
      <w:bookmarkEnd w:id="124"/>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125" w:name="_Toc425338020"/>
      <w:r>
        <w:rPr>
          <w:rStyle w:val="CharSectno"/>
        </w:rPr>
        <w:t>76</w:t>
      </w:r>
      <w:r>
        <w:rPr>
          <w:snapToGrid w:val="0"/>
        </w:rPr>
        <w:t>.</w:t>
      </w:r>
      <w:r>
        <w:rPr>
          <w:snapToGrid w:val="0"/>
        </w:rPr>
        <w:tab/>
        <w:t>Mooring of rafts and boathouses</w:t>
      </w:r>
      <w:bookmarkEnd w:id="125"/>
      <w:r>
        <w:rPr>
          <w:snapToGrid w:val="0"/>
        </w:rPr>
        <w:t xml:space="preserve"> </w:t>
      </w:r>
    </w:p>
    <w:p>
      <w:pPr>
        <w:pStyle w:val="Subsection"/>
        <w:rPr>
          <w:snapToGrid w:val="0"/>
        </w:rPr>
      </w:pPr>
      <w:r>
        <w:rPr>
          <w:snapToGrid w:val="0"/>
        </w:rPr>
        <w:tab/>
      </w:r>
      <w:r>
        <w:rPr>
          <w:snapToGrid w:val="0"/>
        </w:rPr>
        <w:tab/>
        <w:t>No raft or boathouse shall be moored within 91 m of any public jetty overnight; nor shall any raft or boathouse be moored in the fairway by day or by night, and any raft or boathouse moored overnight shall burn 2 bright lights from sunset to sunrise, one at each end, and fixed at least 2.4 m above water level.</w:t>
      </w:r>
    </w:p>
    <w:p>
      <w:pPr>
        <w:pStyle w:val="Footnotesection"/>
      </w:pPr>
      <w:r>
        <w:tab/>
        <w:t xml:space="preserve">[Regulation 76 amended in Gazette 15 Jun 1973 p. 2238; 19 May 1989 p. 1495; 24 Aug 2004 p. 3659.] </w:t>
      </w:r>
    </w:p>
    <w:p>
      <w:pPr>
        <w:pStyle w:val="Heading5"/>
        <w:rPr>
          <w:snapToGrid w:val="0"/>
        </w:rPr>
      </w:pPr>
      <w:bookmarkStart w:id="126" w:name="_Toc425338021"/>
      <w:r>
        <w:rPr>
          <w:rStyle w:val="CharSectno"/>
        </w:rPr>
        <w:t>77</w:t>
      </w:r>
      <w:r>
        <w:rPr>
          <w:snapToGrid w:val="0"/>
        </w:rPr>
        <w:t>.</w:t>
      </w:r>
      <w:r>
        <w:rPr>
          <w:snapToGrid w:val="0"/>
        </w:rPr>
        <w:tab/>
        <w:t>Vessels to be in charge of competent person</w:t>
      </w:r>
      <w:bookmarkEnd w:id="126"/>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127" w:name="_Toc425338022"/>
      <w:r>
        <w:rPr>
          <w:rStyle w:val="CharSectno"/>
        </w:rPr>
        <w:t>78</w:t>
      </w:r>
      <w:r>
        <w:rPr>
          <w:snapToGrid w:val="0"/>
        </w:rPr>
        <w:t>.</w:t>
      </w:r>
      <w:r>
        <w:rPr>
          <w:snapToGrid w:val="0"/>
        </w:rPr>
        <w:tab/>
        <w:t>Approaching jetties after sunset</w:t>
      </w:r>
      <w:bookmarkEnd w:id="127"/>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keepLines/>
        <w:rPr>
          <w:snapToGrid w:val="0"/>
        </w:rPr>
      </w:pPr>
      <w:bookmarkStart w:id="128" w:name="_Toc425337561"/>
      <w:bookmarkStart w:id="129" w:name="_Toc425337824"/>
      <w:bookmarkStart w:id="130" w:name="_Toc425338023"/>
      <w:r>
        <w:rPr>
          <w:rStyle w:val="CharDivNo"/>
        </w:rPr>
        <w:t>Division 4</w:t>
      </w:r>
      <w:r>
        <w:rPr>
          <w:snapToGrid w:val="0"/>
        </w:rPr>
        <w:t> — </w:t>
      </w:r>
      <w:r>
        <w:rPr>
          <w:rStyle w:val="CharDivText"/>
        </w:rPr>
        <w:t>Loading or discharging cargo</w:t>
      </w:r>
      <w:bookmarkEnd w:id="128"/>
      <w:bookmarkEnd w:id="129"/>
      <w:bookmarkEnd w:id="130"/>
      <w:r>
        <w:rPr>
          <w:rStyle w:val="CharDivText"/>
        </w:rPr>
        <w:t xml:space="preserve"> </w:t>
      </w:r>
    </w:p>
    <w:p>
      <w:pPr>
        <w:pStyle w:val="Footnoteheading"/>
        <w:keepNext/>
        <w:keepLines/>
      </w:pPr>
      <w:r>
        <w:tab/>
        <w:t xml:space="preserve">[Heading inserted in Gazette 19 May 1989 p. 1494.] </w:t>
      </w:r>
    </w:p>
    <w:p>
      <w:pPr>
        <w:pStyle w:val="Ednotesection"/>
        <w:keepNext/>
        <w:keepLines/>
      </w:pPr>
      <w:r>
        <w:t>[</w:t>
      </w:r>
      <w:r>
        <w:rPr>
          <w:b/>
        </w:rPr>
        <w:t>79.</w:t>
      </w:r>
      <w:r>
        <w:tab/>
        <w:t xml:space="preserve">Deleted in Gazette 30 Jun 1992 p. 2893.] </w:t>
      </w:r>
    </w:p>
    <w:p>
      <w:pPr>
        <w:pStyle w:val="Heading5"/>
        <w:rPr>
          <w:snapToGrid w:val="0"/>
        </w:rPr>
      </w:pPr>
      <w:bookmarkStart w:id="131" w:name="_Toc425338024"/>
      <w:r>
        <w:rPr>
          <w:rStyle w:val="CharSectno"/>
        </w:rPr>
        <w:t>80</w:t>
      </w:r>
      <w:r>
        <w:rPr>
          <w:snapToGrid w:val="0"/>
        </w:rPr>
        <w:t>.</w:t>
      </w:r>
      <w:r>
        <w:rPr>
          <w:snapToGrid w:val="0"/>
        </w:rPr>
        <w:tab/>
        <w:t>Vessels loading or discharging</w:t>
      </w:r>
      <w:bookmarkEnd w:id="131"/>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132" w:name="_Toc425338025"/>
      <w:r>
        <w:rPr>
          <w:rStyle w:val="CharSectno"/>
        </w:rPr>
        <w:t>81</w:t>
      </w:r>
      <w:r>
        <w:rPr>
          <w:snapToGrid w:val="0"/>
        </w:rPr>
        <w:t>.</w:t>
      </w:r>
      <w:r>
        <w:rPr>
          <w:snapToGrid w:val="0"/>
        </w:rPr>
        <w:tab/>
        <w:t>Cargo to be removed</w:t>
      </w:r>
      <w:bookmarkEnd w:id="132"/>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133" w:name="_Toc425338026"/>
      <w:r>
        <w:rPr>
          <w:rStyle w:val="CharSectno"/>
        </w:rPr>
        <w:t>82</w:t>
      </w:r>
      <w:r>
        <w:rPr>
          <w:snapToGrid w:val="0"/>
        </w:rPr>
        <w:t>.</w:t>
      </w:r>
      <w:r>
        <w:rPr>
          <w:snapToGrid w:val="0"/>
        </w:rPr>
        <w:tab/>
        <w:t>Cargo not to remain on jetties overnight</w:t>
      </w:r>
      <w:bookmarkEnd w:id="133"/>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134" w:name="_Toc425338027"/>
      <w:r>
        <w:rPr>
          <w:rStyle w:val="CharSectno"/>
        </w:rPr>
        <w:t>83</w:t>
      </w:r>
      <w:r>
        <w:rPr>
          <w:snapToGrid w:val="0"/>
        </w:rPr>
        <w:t>.</w:t>
      </w:r>
      <w:r>
        <w:rPr>
          <w:snapToGrid w:val="0"/>
        </w:rPr>
        <w:tab/>
        <w:t>Explosives not to be handled without permission</w:t>
      </w:r>
      <w:bookmarkEnd w:id="134"/>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135" w:name="_Toc425338028"/>
      <w:r>
        <w:rPr>
          <w:rStyle w:val="CharSectno"/>
        </w:rPr>
        <w:t>84</w:t>
      </w:r>
      <w:r>
        <w:rPr>
          <w:snapToGrid w:val="0"/>
        </w:rPr>
        <w:t>.</w:t>
      </w:r>
      <w:r>
        <w:rPr>
          <w:snapToGrid w:val="0"/>
        </w:rPr>
        <w:tab/>
        <w:t>Manner of handling cargo</w:t>
      </w:r>
      <w:bookmarkEnd w:id="135"/>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136" w:name="_Toc425337567"/>
      <w:bookmarkStart w:id="137" w:name="_Toc425337830"/>
      <w:bookmarkStart w:id="138" w:name="_Toc425338029"/>
      <w:r>
        <w:rPr>
          <w:rStyle w:val="CharDivNo"/>
        </w:rPr>
        <w:t>Division 5</w:t>
      </w:r>
      <w:r>
        <w:rPr>
          <w:snapToGrid w:val="0"/>
        </w:rPr>
        <w:t> — </w:t>
      </w:r>
      <w:r>
        <w:rPr>
          <w:rStyle w:val="CharDivText"/>
        </w:rPr>
        <w:t>Navigation of vessels</w:t>
      </w:r>
      <w:bookmarkEnd w:id="136"/>
      <w:bookmarkEnd w:id="137"/>
      <w:bookmarkEnd w:id="138"/>
      <w:r>
        <w:rPr>
          <w:rStyle w:val="CharDivText"/>
        </w:rPr>
        <w:t xml:space="preserve"> </w:t>
      </w:r>
    </w:p>
    <w:p>
      <w:pPr>
        <w:pStyle w:val="Footnoteheading"/>
      </w:pPr>
      <w:r>
        <w:tab/>
        <w:t xml:space="preserve">[Heading inserted in Gazette 19 May 1989 p. 1494.] </w:t>
      </w:r>
    </w:p>
    <w:p>
      <w:pPr>
        <w:pStyle w:val="Heading5"/>
        <w:rPr>
          <w:snapToGrid w:val="0"/>
        </w:rPr>
      </w:pPr>
      <w:bookmarkStart w:id="139" w:name="_Toc425338030"/>
      <w:r>
        <w:rPr>
          <w:rStyle w:val="CharSectno"/>
        </w:rPr>
        <w:t>85</w:t>
      </w:r>
      <w:r>
        <w:rPr>
          <w:snapToGrid w:val="0"/>
        </w:rPr>
        <w:t>.</w:t>
      </w:r>
      <w:r>
        <w:rPr>
          <w:snapToGrid w:val="0"/>
        </w:rPr>
        <w:tab/>
        <w:t>Power vessels approaching jetties</w:t>
      </w:r>
      <w:bookmarkEnd w:id="139"/>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140" w:name="_Toc425337569"/>
      <w:bookmarkStart w:id="141" w:name="_Toc425337832"/>
      <w:bookmarkStart w:id="142" w:name="_Toc425338031"/>
      <w:r>
        <w:rPr>
          <w:rStyle w:val="CharDivNo"/>
        </w:rPr>
        <w:t>Division 6</w:t>
      </w:r>
      <w:r>
        <w:rPr>
          <w:snapToGrid w:val="0"/>
        </w:rPr>
        <w:t> — </w:t>
      </w:r>
      <w:r>
        <w:rPr>
          <w:rStyle w:val="CharDivText"/>
        </w:rPr>
        <w:t>Miscellaneous</w:t>
      </w:r>
      <w:bookmarkEnd w:id="140"/>
      <w:bookmarkEnd w:id="141"/>
      <w:bookmarkEnd w:id="142"/>
      <w:r>
        <w:rPr>
          <w:rStyle w:val="CharDivText"/>
        </w:rPr>
        <w:t xml:space="preserve"> </w:t>
      </w:r>
    </w:p>
    <w:p>
      <w:pPr>
        <w:pStyle w:val="Footnoteheading"/>
      </w:pPr>
      <w:r>
        <w:tab/>
        <w:t xml:space="preserve">[Heading inserted in Gazette 19 May 1989 p. 1494.] </w:t>
      </w:r>
    </w:p>
    <w:p>
      <w:pPr>
        <w:pStyle w:val="Heading5"/>
        <w:rPr>
          <w:snapToGrid w:val="0"/>
        </w:rPr>
      </w:pPr>
      <w:bookmarkStart w:id="143" w:name="_Toc425338032"/>
      <w:r>
        <w:rPr>
          <w:rStyle w:val="CharSectno"/>
        </w:rPr>
        <w:t>86</w:t>
      </w:r>
      <w:r>
        <w:rPr>
          <w:snapToGrid w:val="0"/>
        </w:rPr>
        <w:t>.</w:t>
      </w:r>
      <w:r>
        <w:rPr>
          <w:snapToGrid w:val="0"/>
        </w:rPr>
        <w:tab/>
        <w:t>Bathing from jetties</w:t>
      </w:r>
      <w:bookmarkEnd w:id="143"/>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144" w:name="_Toc425338033"/>
      <w:r>
        <w:rPr>
          <w:rStyle w:val="CharSectno"/>
        </w:rPr>
        <w:t>87</w:t>
      </w:r>
      <w:r>
        <w:rPr>
          <w:snapToGrid w:val="0"/>
        </w:rPr>
        <w:t>.</w:t>
      </w:r>
      <w:r>
        <w:rPr>
          <w:snapToGrid w:val="0"/>
        </w:rPr>
        <w:tab/>
        <w:t>Damage to jetties</w:t>
      </w:r>
      <w:bookmarkEnd w:id="144"/>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145" w:name="_Toc425338034"/>
      <w:r>
        <w:rPr>
          <w:rStyle w:val="CharSectno"/>
        </w:rPr>
        <w:t>88</w:t>
      </w:r>
      <w:r>
        <w:rPr>
          <w:snapToGrid w:val="0"/>
        </w:rPr>
        <w:t>.</w:t>
      </w:r>
      <w:r>
        <w:rPr>
          <w:snapToGrid w:val="0"/>
        </w:rPr>
        <w:tab/>
        <w:t>Fishing from certain places prohibited</w:t>
      </w:r>
      <w:bookmarkEnd w:id="145"/>
      <w:r>
        <w:rPr>
          <w:snapToGrid w:val="0"/>
        </w:rPr>
        <w:t xml:space="preserve"> </w:t>
      </w:r>
    </w:p>
    <w:p>
      <w:pPr>
        <w:pStyle w:val="Subsection"/>
        <w:rPr>
          <w:snapToGrid w:val="0"/>
        </w:rPr>
      </w:pPr>
      <w:r>
        <w:rPr>
          <w:snapToGrid w:val="0"/>
        </w:rPr>
        <w:tab/>
      </w:r>
      <w:r>
        <w:rPr>
          <w:snapToGrid w:val="0"/>
        </w:rPr>
        <w:tab/>
        <w:t xml:space="preserve">No person shall fish from any portion of the road bridge over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Fremantle, or from the Canning bridge, or from the bridge or embankment across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w:t>
      </w:r>
      <w:smartTag w:uri="urn:schemas-microsoft-com:office:smarttags" w:element="City">
        <w:r>
          <w:rPr>
            <w:snapToGrid w:val="0"/>
          </w:rPr>
          <w:t>Perth</w:t>
        </w:r>
      </w:smartTag>
      <w:r>
        <w:rPr>
          <w:snapToGrid w:val="0"/>
        </w:rPr>
        <w:t xml:space="preserve">, known as the </w:t>
      </w:r>
      <w:smartTag w:uri="urn:schemas-microsoft-com:office:smarttags" w:element="place">
        <w:smartTag w:uri="urn:schemas-microsoft-com:office:smarttags" w:element="City">
          <w:r>
            <w:rPr>
              <w:snapToGrid w:val="0"/>
            </w:rPr>
            <w:t>Perth</w:t>
          </w:r>
        </w:smartTag>
      </w:smartTag>
      <w:r>
        <w:rPr>
          <w:snapToGrid w:val="0"/>
        </w:rPr>
        <w:t xml:space="preserve"> causeway.</w:t>
      </w:r>
    </w:p>
    <w:p>
      <w:pPr>
        <w:pStyle w:val="Footnotesection"/>
      </w:pPr>
      <w:r>
        <w:tab/>
        <w:t xml:space="preserve">[Regulation 88 amended in Gazette 19 May 1989 p. 1495.] </w:t>
      </w:r>
    </w:p>
    <w:p>
      <w:pPr>
        <w:pStyle w:val="Heading5"/>
        <w:rPr>
          <w:snapToGrid w:val="0"/>
        </w:rPr>
      </w:pPr>
      <w:bookmarkStart w:id="146" w:name="_Toc425338035"/>
      <w:r>
        <w:rPr>
          <w:rStyle w:val="CharSectno"/>
        </w:rPr>
        <w:t>89</w:t>
      </w:r>
      <w:r>
        <w:rPr>
          <w:snapToGrid w:val="0"/>
        </w:rPr>
        <w:t>.</w:t>
      </w:r>
      <w:r>
        <w:rPr>
          <w:snapToGrid w:val="0"/>
        </w:rPr>
        <w:tab/>
        <w:t>Fishing nets on jetties</w:t>
      </w:r>
      <w:bookmarkEnd w:id="146"/>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147" w:name="_Toc425338036"/>
      <w:r>
        <w:rPr>
          <w:rStyle w:val="CharSectno"/>
        </w:rPr>
        <w:t>90</w:t>
      </w:r>
      <w:r>
        <w:rPr>
          <w:snapToGrid w:val="0"/>
        </w:rPr>
        <w:t>.</w:t>
      </w:r>
      <w:r>
        <w:rPr>
          <w:snapToGrid w:val="0"/>
        </w:rPr>
        <w:tab/>
        <w:t>Gangways to be provided</w:t>
      </w:r>
      <w:bookmarkEnd w:id="147"/>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148" w:name="_Toc425338037"/>
      <w:r>
        <w:rPr>
          <w:rStyle w:val="CharSectno"/>
        </w:rPr>
        <w:t>91</w:t>
      </w:r>
      <w:r>
        <w:rPr>
          <w:snapToGrid w:val="0"/>
        </w:rPr>
        <w:t>.</w:t>
      </w:r>
      <w:r>
        <w:rPr>
          <w:snapToGrid w:val="0"/>
        </w:rPr>
        <w:tab/>
        <w:t>Interference with jetties or approaches</w:t>
      </w:r>
      <w:bookmarkEnd w:id="148"/>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149" w:name="_Toc425338038"/>
      <w:r>
        <w:rPr>
          <w:rStyle w:val="CharSectno"/>
        </w:rPr>
        <w:t>92</w:t>
      </w:r>
      <w:r>
        <w:rPr>
          <w:snapToGrid w:val="0"/>
        </w:rPr>
        <w:t>.</w:t>
      </w:r>
      <w:r>
        <w:rPr>
          <w:snapToGrid w:val="0"/>
        </w:rPr>
        <w:tab/>
        <w:t>Lifebuoys on jetties</w:t>
      </w:r>
      <w:bookmarkEnd w:id="149"/>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150" w:name="_Toc425338039"/>
      <w:r>
        <w:rPr>
          <w:rStyle w:val="CharSectno"/>
        </w:rPr>
        <w:t>93</w:t>
      </w:r>
      <w:r>
        <w:rPr>
          <w:snapToGrid w:val="0"/>
        </w:rPr>
        <w:t>.</w:t>
      </w:r>
      <w:r>
        <w:rPr>
          <w:snapToGrid w:val="0"/>
        </w:rPr>
        <w:tab/>
        <w:t>Obstruction of jetties or officers</w:t>
      </w:r>
      <w:bookmarkEnd w:id="150"/>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151" w:name="_Toc425338040"/>
      <w:r>
        <w:rPr>
          <w:rStyle w:val="CharSectno"/>
        </w:rPr>
        <w:t>94</w:t>
      </w:r>
      <w:r>
        <w:rPr>
          <w:snapToGrid w:val="0"/>
        </w:rPr>
        <w:t>.</w:t>
      </w:r>
      <w:r>
        <w:rPr>
          <w:snapToGrid w:val="0"/>
        </w:rPr>
        <w:tab/>
        <w:t>Rubbish not to be thrown in river etc.</w:t>
      </w:r>
      <w:bookmarkEnd w:id="151"/>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152" w:name="_Toc425337579"/>
      <w:bookmarkStart w:id="153" w:name="_Toc425337842"/>
      <w:bookmarkStart w:id="154" w:name="_Toc425338041"/>
      <w:r>
        <w:rPr>
          <w:rStyle w:val="CharPartNo"/>
        </w:rPr>
        <w:t>Part 2A</w:t>
      </w:r>
      <w:r>
        <w:rPr>
          <w:rStyle w:val="CharDivNo"/>
        </w:rPr>
        <w:t> </w:t>
      </w:r>
      <w:r>
        <w:t>—</w:t>
      </w:r>
      <w:r>
        <w:rPr>
          <w:rStyle w:val="CharDivText"/>
        </w:rPr>
        <w:t> </w:t>
      </w:r>
      <w:r>
        <w:rPr>
          <w:rStyle w:val="CharPartText"/>
        </w:rPr>
        <w:t xml:space="preserve">Mooring and berthing other than 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152"/>
      <w:bookmarkEnd w:id="153"/>
      <w:bookmarkEnd w:id="154"/>
      <w:r>
        <w:rPr>
          <w:rStyle w:val="CharPartText"/>
        </w:rPr>
        <w:t xml:space="preserve"> </w:t>
      </w:r>
    </w:p>
    <w:p>
      <w:pPr>
        <w:pStyle w:val="Footnoteheading"/>
      </w:pPr>
      <w:r>
        <w:tab/>
        <w:t>[Heading inserted in Gazette 1 Aug 1990 p. 3633</w:t>
      </w:r>
      <w:r>
        <w:noBreakHyphen/>
        <w:t xml:space="preserve">4.] </w:t>
      </w:r>
    </w:p>
    <w:p>
      <w:pPr>
        <w:pStyle w:val="Heading5"/>
      </w:pPr>
      <w:bookmarkStart w:id="155" w:name="_Toc425338042"/>
      <w:r>
        <w:rPr>
          <w:rStyle w:val="CharSectno"/>
        </w:rPr>
        <w:t>94A</w:t>
      </w:r>
      <w:r>
        <w:t>.</w:t>
      </w:r>
      <w:r>
        <w:tab/>
        <w:t>Charges for pen rentals and services</w:t>
      </w:r>
      <w:bookmarkEnd w:id="155"/>
    </w:p>
    <w:p>
      <w:pPr>
        <w:pStyle w:val="Subsection"/>
      </w:pPr>
      <w:r>
        <w:tab/>
      </w:r>
      <w:r>
        <w:tab/>
        <w:t xml:space="preserve">The charges payable for pen rentals and services in particular ports and harbours (other than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are as set out in Schedule 1.</w:t>
      </w:r>
    </w:p>
    <w:p>
      <w:pPr>
        <w:pStyle w:val="Footnotesection"/>
      </w:pPr>
      <w:r>
        <w:tab/>
        <w:t>[Regulation 94A inserted in Gazette 14 Jun 2002 p. 2800; amended in Gazette 24 Jun 2005 p. 2817; 22 Jun 2007 p. 2909; 25 Jul 2014 p. 2612.]</w:t>
      </w:r>
    </w:p>
    <w:p>
      <w:pPr>
        <w:pStyle w:val="Heading5"/>
        <w:rPr>
          <w:snapToGrid w:val="0"/>
        </w:rPr>
      </w:pPr>
      <w:bookmarkStart w:id="156" w:name="_Toc425338043"/>
      <w:r>
        <w:rPr>
          <w:rStyle w:val="CharSectno"/>
        </w:rPr>
        <w:t>94B</w:t>
      </w:r>
      <w:r>
        <w:rPr>
          <w:snapToGrid w:val="0"/>
        </w:rPr>
        <w:t>.</w:t>
      </w:r>
      <w:r>
        <w:rPr>
          <w:snapToGrid w:val="0"/>
        </w:rPr>
        <w:tab/>
        <w:t>Charges for pile mooring</w:t>
      </w:r>
      <w:bookmarkEnd w:id="156"/>
    </w:p>
    <w:p>
      <w:pPr>
        <w:pStyle w:val="Subsection"/>
        <w:rPr>
          <w:snapToGrid w:val="0"/>
        </w:rPr>
      </w:pPr>
      <w:r>
        <w:rPr>
          <w:snapToGrid w:val="0"/>
        </w:rPr>
        <w:tab/>
      </w:r>
      <w:r>
        <w:rPr>
          <w:snapToGrid w:val="0"/>
        </w:rPr>
        <w:tab/>
        <w:t xml:space="preserve">The </w:t>
      </w:r>
      <w:r>
        <w:t xml:space="preserve">charges </w:t>
      </w:r>
      <w:r>
        <w:rPr>
          <w:snapToGrid w:val="0"/>
        </w:rPr>
        <w:t xml:space="preserve">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 xml:space="preserve">4; amended in Gazette 25 Jun 1996 p. 2981; 24 Jun 2005 p. 2817; 22 Jun 2007 p. 2909; 25 Jul 2014 p. 2612.] </w:t>
      </w:r>
    </w:p>
    <w:p>
      <w:pPr>
        <w:pStyle w:val="Heading5"/>
        <w:rPr>
          <w:snapToGrid w:val="0"/>
        </w:rPr>
      </w:pPr>
      <w:bookmarkStart w:id="157" w:name="_Toc425338044"/>
      <w:r>
        <w:rPr>
          <w:rStyle w:val="CharSectno"/>
        </w:rPr>
        <w:t>94C</w:t>
      </w:r>
      <w:r>
        <w:rPr>
          <w:snapToGrid w:val="0"/>
        </w:rPr>
        <w:t>.</w:t>
      </w:r>
      <w:r>
        <w:rPr>
          <w:snapToGrid w:val="0"/>
        </w:rPr>
        <w:tab/>
        <w:t>Dues or charges for berthing or mooring on a casual basis</w:t>
      </w:r>
      <w:bookmarkEnd w:id="157"/>
    </w:p>
    <w:p>
      <w:pPr>
        <w:pStyle w:val="Subsection"/>
        <w:rPr>
          <w:snapToGrid w:val="0"/>
        </w:rPr>
      </w:pPr>
      <w:r>
        <w:rPr>
          <w:snapToGrid w:val="0"/>
        </w:rPr>
        <w:tab/>
      </w:r>
      <w:r>
        <w:rPr>
          <w:snapToGrid w:val="0"/>
        </w:rPr>
        <w:tab/>
        <w:t xml:space="preserve">Where no other </w:t>
      </w:r>
      <w:r>
        <w:t xml:space="preserve">due or charge </w:t>
      </w:r>
      <w:r>
        <w:rPr>
          <w:snapToGrid w:val="0"/>
        </w:rPr>
        <w:t xml:space="preserve">is prescribed for berthing or mooring at a wharf or public jetty, the </w:t>
      </w:r>
      <w:r>
        <w:t xml:space="preserve">due or charge </w:t>
      </w:r>
      <w:r>
        <w:rPr>
          <w:snapToGrid w:val="0"/>
        </w:rPr>
        <w:t xml:space="preserve">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25 Jul 2014 p. 2613.] </w:t>
      </w:r>
    </w:p>
    <w:p>
      <w:pPr>
        <w:pStyle w:val="Heading5"/>
      </w:pPr>
      <w:bookmarkStart w:id="158" w:name="_Toc425338045"/>
      <w:r>
        <w:rPr>
          <w:rStyle w:val="CharSectno"/>
        </w:rPr>
        <w:t>94D</w:t>
      </w:r>
      <w:r>
        <w:t>.</w:t>
      </w:r>
      <w:r>
        <w:tab/>
        <w:t>Waiving charges in emergencies</w:t>
      </w:r>
      <w:bookmarkEnd w:id="158"/>
    </w:p>
    <w:p>
      <w:pPr>
        <w:pStyle w:val="Subsection"/>
      </w:pPr>
      <w:r>
        <w:tab/>
      </w:r>
      <w:r>
        <w:tab/>
        <w:t>The chief executive officer of the Department may waive a charge payable under this Division for the use of an alongside berth at a service jetty by a vessel in need of emergency repair.</w:t>
      </w:r>
    </w:p>
    <w:p>
      <w:pPr>
        <w:pStyle w:val="Footnotesection"/>
      </w:pPr>
      <w:r>
        <w:tab/>
        <w:t>[Regulation 94D inserted in Gazette 22 Jun 2007 p. 2910; amended in Gazette 25 Jul 2014 p. 2613.]</w:t>
      </w:r>
    </w:p>
    <w:p>
      <w:pPr>
        <w:pStyle w:val="Heading5"/>
      </w:pPr>
      <w:bookmarkStart w:id="159" w:name="_Toc425338046"/>
      <w:r>
        <w:rPr>
          <w:rStyle w:val="CharSectno"/>
        </w:rPr>
        <w:t>94E</w:t>
      </w:r>
      <w:r>
        <w:t>.</w:t>
      </w:r>
      <w:r>
        <w:tab/>
        <w:t>Controlling short term use</w:t>
      </w:r>
      <w:bookmarkEnd w:id="159"/>
    </w:p>
    <w:p>
      <w:pPr>
        <w:pStyle w:val="Subsection"/>
      </w:pPr>
      <w:r>
        <w:tab/>
      </w:r>
      <w:r>
        <w:tab/>
        <w:t>Where several vessels have applied for short term access to a service wharf or jetty, an officer of the Department may direct that, in particular circumstances, a particular type of vessel, or a specified type of short term use, has precedence.</w:t>
      </w:r>
    </w:p>
    <w:p>
      <w:pPr>
        <w:pStyle w:val="Footnotesection"/>
      </w:pPr>
      <w:r>
        <w:tab/>
        <w:t>[Regulation 94E inserted in Gazette 22 Jul 2015 p. 2954.]</w:t>
      </w:r>
    </w:p>
    <w:p>
      <w:pPr>
        <w:pStyle w:val="Heading2"/>
      </w:pPr>
      <w:bookmarkStart w:id="160" w:name="_Toc425337585"/>
      <w:bookmarkStart w:id="161" w:name="_Toc425337848"/>
      <w:bookmarkStart w:id="162" w:name="_Toc425338047"/>
      <w:r>
        <w:rPr>
          <w:rStyle w:val="CharPartNo"/>
        </w:rPr>
        <w:t>Part 3</w:t>
      </w:r>
      <w:r>
        <w:t> — </w:t>
      </w:r>
      <w:r>
        <w:rPr>
          <w:rStyle w:val="CharPartText"/>
        </w:rPr>
        <w:t>Special provisions applying at particular ports</w:t>
      </w:r>
      <w:bookmarkEnd w:id="160"/>
      <w:bookmarkEnd w:id="161"/>
      <w:bookmarkEnd w:id="162"/>
      <w:r>
        <w:rPr>
          <w:rStyle w:val="CharPartText"/>
        </w:rPr>
        <w:t xml:space="preserve"> </w:t>
      </w:r>
    </w:p>
    <w:p>
      <w:pPr>
        <w:pStyle w:val="Footnoteheading"/>
      </w:pPr>
      <w:r>
        <w:tab/>
        <w:t xml:space="preserve">[Heading inserted in Gazette 19 May 1989 p. 1494.] </w:t>
      </w:r>
    </w:p>
    <w:p>
      <w:pPr>
        <w:pStyle w:val="Heading3"/>
        <w:rPr>
          <w:snapToGrid w:val="0"/>
        </w:rPr>
      </w:pPr>
      <w:bookmarkStart w:id="163" w:name="_Toc425337586"/>
      <w:bookmarkStart w:id="164" w:name="_Toc425337849"/>
      <w:bookmarkStart w:id="165" w:name="_Toc425338048"/>
      <w:r>
        <w:rPr>
          <w:rStyle w:val="CharDivNo"/>
        </w:rPr>
        <w:t>Division 1</w:t>
      </w:r>
      <w:r>
        <w:rPr>
          <w:snapToGrid w:val="0"/>
        </w:rPr>
        <w:t> — </w:t>
      </w:r>
      <w:r>
        <w:rPr>
          <w:rStyle w:val="CharDivText"/>
        </w:rPr>
        <w:t>Use of slipways</w:t>
      </w:r>
      <w:bookmarkEnd w:id="163"/>
      <w:bookmarkEnd w:id="164"/>
      <w:bookmarkEnd w:id="165"/>
      <w:r>
        <w:rPr>
          <w:rStyle w:val="CharDivText"/>
        </w:rPr>
        <w:t xml:space="preserve"> </w:t>
      </w:r>
    </w:p>
    <w:p>
      <w:pPr>
        <w:pStyle w:val="Footnoteheading"/>
      </w:pPr>
      <w:r>
        <w:tab/>
        <w:t xml:space="preserve">[Heading inserted in Gazette 19 May 1989 p. 1494.] </w:t>
      </w:r>
    </w:p>
    <w:p>
      <w:pPr>
        <w:pStyle w:val="Heading5"/>
      </w:pPr>
      <w:bookmarkStart w:id="166" w:name="_Toc425338049"/>
      <w:r>
        <w:rPr>
          <w:rStyle w:val="CharSectno"/>
        </w:rPr>
        <w:t>95</w:t>
      </w:r>
      <w:r>
        <w:t>.</w:t>
      </w:r>
      <w:r>
        <w:tab/>
        <w:t>Management and control of departmental slipways</w:t>
      </w:r>
      <w:bookmarkEnd w:id="166"/>
    </w:p>
    <w:p>
      <w:pPr>
        <w:pStyle w:val="Subsection"/>
      </w:pPr>
      <w:r>
        <w:tab/>
        <w:t>(1)</w:t>
      </w:r>
      <w:r>
        <w:tab/>
        <w:t>Part 3 Division 1 applies to slipways under the direct control of the Department.</w:t>
      </w:r>
    </w:p>
    <w:p>
      <w:pPr>
        <w:pStyle w:val="Subsection"/>
        <w:ind w:left="851" w:hanging="851"/>
      </w:pPr>
      <w:r>
        <w:tab/>
        <w:t>(2)</w:t>
      </w:r>
      <w:r>
        <w:tab/>
        <w:t>The officer appointed by the Director General as being in charge of a region in which any slipways under the control of the Department are situated shall have the management and control of those slipways.</w:t>
      </w:r>
    </w:p>
    <w:p>
      <w:pPr>
        <w:pStyle w:val="Footnotesection"/>
      </w:pPr>
      <w:r>
        <w:tab/>
        <w:t>[Regulation 95 inserted in Gazette 20 Jun 2000 p. 3044; amended in Gazette 4 Nov 2014 p. 4204.]</w:t>
      </w:r>
    </w:p>
    <w:p>
      <w:pPr>
        <w:pStyle w:val="Heading5"/>
      </w:pPr>
      <w:bookmarkStart w:id="167" w:name="_Toc425338050"/>
      <w:r>
        <w:rPr>
          <w:rStyle w:val="CharSectno"/>
        </w:rPr>
        <w:t>95A</w:t>
      </w:r>
      <w:r>
        <w:t>.</w:t>
      </w:r>
      <w:r>
        <w:tab/>
        <w:t>Use of slipway</w:t>
      </w:r>
      <w:bookmarkEnd w:id="167"/>
    </w:p>
    <w:p>
      <w:pPr>
        <w:pStyle w:val="Subsection"/>
      </w:pPr>
      <w:r>
        <w:tab/>
        <w:t>(1)</w:t>
      </w:r>
      <w:r>
        <w:tab/>
        <w:t>An owner or master of a vessel wanting to use a slipway may apply to the officer in charge of the region in which the slipway is situated to permit that use.</w:t>
      </w:r>
    </w:p>
    <w:p>
      <w:pPr>
        <w:pStyle w:val="Subsection"/>
      </w:pPr>
      <w:r>
        <w:tab/>
        <w:t>(2)</w:t>
      </w:r>
      <w:r>
        <w:tab/>
        <w:t>The application must be in the form of Schedule 3 Form 3.</w:t>
      </w:r>
    </w:p>
    <w:p>
      <w:pPr>
        <w:pStyle w:val="Footnotesection"/>
      </w:pPr>
      <w:r>
        <w:tab/>
        <w:t>[Regulation 95A inserted in Gazette 4 Nov 2014 p. 4204.]</w:t>
      </w:r>
    </w:p>
    <w:p>
      <w:pPr>
        <w:pStyle w:val="Heading5"/>
        <w:rPr>
          <w:snapToGrid w:val="0"/>
        </w:rPr>
      </w:pPr>
      <w:bookmarkStart w:id="168" w:name="_Toc425338051"/>
      <w:r>
        <w:rPr>
          <w:rStyle w:val="CharSectno"/>
        </w:rPr>
        <w:t>96</w:t>
      </w:r>
      <w:r>
        <w:rPr>
          <w:snapToGrid w:val="0"/>
        </w:rPr>
        <w:t>.</w:t>
      </w:r>
      <w:r>
        <w:rPr>
          <w:snapToGrid w:val="0"/>
        </w:rPr>
        <w:tab/>
        <w:t>Charges for use of slipway</w:t>
      </w:r>
      <w:bookmarkEnd w:id="168"/>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w:t>
      </w:r>
      <w:r>
        <w:t xml:space="preserve">charges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r>
        <w:t xml:space="preserve">officer in charge of the region in which the slipway is situated.  </w:t>
      </w:r>
      <w:r>
        <w:rPr>
          <w:snapToGrid w:val="0"/>
        </w:rPr>
        <w:t>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25 Jul 2014 p. 2613; 4 Nov 2014 p. 4204.] </w:t>
      </w:r>
    </w:p>
    <w:p>
      <w:pPr>
        <w:pStyle w:val="Heading5"/>
        <w:rPr>
          <w:snapToGrid w:val="0"/>
        </w:rPr>
      </w:pPr>
      <w:bookmarkStart w:id="169" w:name="_Toc425338052"/>
      <w:r>
        <w:rPr>
          <w:rStyle w:val="CharSectno"/>
        </w:rPr>
        <w:t>97</w:t>
      </w:r>
      <w:r>
        <w:rPr>
          <w:snapToGrid w:val="0"/>
        </w:rPr>
        <w:t>.</w:t>
      </w:r>
      <w:r>
        <w:rPr>
          <w:snapToGrid w:val="0"/>
        </w:rPr>
        <w:tab/>
        <w:t>Government vessels may take precedence</w:t>
      </w:r>
      <w:bookmarkEnd w:id="169"/>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170" w:name="_Toc425338053"/>
      <w:r>
        <w:rPr>
          <w:rStyle w:val="CharSectno"/>
        </w:rPr>
        <w:t>98</w:t>
      </w:r>
      <w:r>
        <w:rPr>
          <w:snapToGrid w:val="0"/>
        </w:rPr>
        <w:t>.</w:t>
      </w:r>
      <w:r>
        <w:rPr>
          <w:snapToGrid w:val="0"/>
        </w:rPr>
        <w:tab/>
        <w:t>Vessels may forfeit their turn</w:t>
      </w:r>
      <w:bookmarkEnd w:id="170"/>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171" w:name="_Toc425338054"/>
      <w:r>
        <w:rPr>
          <w:rStyle w:val="CharSectno"/>
        </w:rPr>
        <w:t>99</w:t>
      </w:r>
      <w:r>
        <w:rPr>
          <w:snapToGrid w:val="0"/>
        </w:rPr>
        <w:t>.</w:t>
      </w:r>
      <w:r>
        <w:rPr>
          <w:snapToGrid w:val="0"/>
        </w:rPr>
        <w:tab/>
        <w:t>Department will not undertake repairs etc.</w:t>
      </w:r>
      <w:bookmarkEnd w:id="171"/>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172" w:name="_Toc425338055"/>
      <w:r>
        <w:rPr>
          <w:rStyle w:val="CharSectno"/>
        </w:rPr>
        <w:t>100</w:t>
      </w:r>
      <w:r>
        <w:rPr>
          <w:snapToGrid w:val="0"/>
        </w:rPr>
        <w:t>.</w:t>
      </w:r>
      <w:r>
        <w:rPr>
          <w:snapToGrid w:val="0"/>
        </w:rPr>
        <w:tab/>
        <w:t>Department not responsible for damage to vessel when in use of slip</w:t>
      </w:r>
      <w:bookmarkEnd w:id="172"/>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rPr>
          <w:snapToGrid w:val="0"/>
        </w:rPr>
      </w:pPr>
      <w:bookmarkStart w:id="173" w:name="_Toc425338056"/>
      <w:r>
        <w:rPr>
          <w:rStyle w:val="CharSectno"/>
        </w:rPr>
        <w:t>101</w:t>
      </w:r>
      <w:r>
        <w:rPr>
          <w:snapToGrid w:val="0"/>
        </w:rPr>
        <w:t>.</w:t>
      </w:r>
      <w:r>
        <w:rPr>
          <w:snapToGrid w:val="0"/>
        </w:rPr>
        <w:tab/>
        <w:t>Duties of owner or master using slipway</w:t>
      </w:r>
      <w:bookmarkEnd w:id="173"/>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keep it in a clean and tidy condition to the satisfaction of the</w:t>
      </w:r>
      <w:r>
        <w:t xml:space="preserve"> officer in charge of the region in which the slipway is situated;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4 Nov 2014 p. 4205.] </w:t>
      </w:r>
    </w:p>
    <w:p>
      <w:pPr>
        <w:pStyle w:val="Heading5"/>
        <w:rPr>
          <w:snapToGrid w:val="0"/>
        </w:rPr>
      </w:pPr>
      <w:bookmarkStart w:id="174" w:name="_Toc425338057"/>
      <w:r>
        <w:rPr>
          <w:rStyle w:val="CharSectno"/>
        </w:rPr>
        <w:t>101A</w:t>
      </w:r>
      <w:r>
        <w:rPr>
          <w:snapToGrid w:val="0"/>
        </w:rPr>
        <w:t>.</w:t>
      </w:r>
      <w:r>
        <w:rPr>
          <w:snapToGrid w:val="0"/>
        </w:rPr>
        <w:tab/>
        <w:t>Slipping of more than one vessel at a time</w:t>
      </w:r>
      <w:bookmarkEnd w:id="174"/>
      <w:r>
        <w:rPr>
          <w:snapToGrid w:val="0"/>
        </w:rPr>
        <w:t xml:space="preserve"> </w:t>
      </w:r>
    </w:p>
    <w:p>
      <w:pPr>
        <w:pStyle w:val="Subsection"/>
        <w:rPr>
          <w:snapToGrid w:val="0"/>
        </w:rPr>
      </w:pPr>
      <w:r>
        <w:rPr>
          <w:snapToGrid w:val="0"/>
        </w:rPr>
        <w:tab/>
      </w:r>
      <w:r>
        <w:rPr>
          <w:snapToGrid w:val="0"/>
        </w:rPr>
        <w:tab/>
        <w:t xml:space="preserve">The </w:t>
      </w:r>
      <w:r>
        <w:t>officer in charge of a region</w:t>
      </w:r>
      <w:r>
        <w:rPr>
          <w:spacing w:val="-2"/>
        </w:rPr>
        <w:t xml:space="preserve"> </w:t>
      </w:r>
      <w:r>
        <w:rPr>
          <w:snapToGrid w:val="0"/>
        </w:rPr>
        <w:t>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4 Nov 2014 p. 4205.] </w:t>
      </w:r>
    </w:p>
    <w:p>
      <w:pPr>
        <w:pStyle w:val="Heading5"/>
        <w:spacing w:before="180"/>
        <w:rPr>
          <w:snapToGrid w:val="0"/>
        </w:rPr>
      </w:pPr>
      <w:bookmarkStart w:id="175" w:name="_Toc425338058"/>
      <w:r>
        <w:rPr>
          <w:rStyle w:val="CharSectno"/>
        </w:rPr>
        <w:t>101B</w:t>
      </w:r>
      <w:r>
        <w:rPr>
          <w:snapToGrid w:val="0"/>
        </w:rPr>
        <w:t>.</w:t>
      </w:r>
      <w:r>
        <w:rPr>
          <w:snapToGrid w:val="0"/>
        </w:rPr>
        <w:tab/>
        <w:t>Dispute procedure</w:t>
      </w:r>
      <w:bookmarkEnd w:id="175"/>
      <w:r>
        <w:rPr>
          <w:snapToGrid w:val="0"/>
        </w:rPr>
        <w:t xml:space="preserve"> </w:t>
      </w:r>
    </w:p>
    <w:p>
      <w:pPr>
        <w:pStyle w:val="Subsection"/>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spacing w:before="180"/>
        <w:ind w:left="890" w:hanging="890"/>
      </w:pPr>
      <w:r>
        <w:t>[</w:t>
      </w:r>
      <w:r>
        <w:rPr>
          <w:b/>
        </w:rPr>
        <w:t>102-105.</w:t>
      </w:r>
      <w:r>
        <w:tab/>
        <w:t>Deleted in Gazette 24 Nov 1972 p. 4488.]</w:t>
      </w:r>
    </w:p>
    <w:p>
      <w:pPr>
        <w:pStyle w:val="Heading3"/>
        <w:rPr>
          <w:snapToGrid w:val="0"/>
        </w:rPr>
      </w:pPr>
      <w:bookmarkStart w:id="176" w:name="_Toc425337597"/>
      <w:bookmarkStart w:id="177" w:name="_Toc425337860"/>
      <w:bookmarkStart w:id="178" w:name="_Toc425338059"/>
      <w:r>
        <w:rPr>
          <w:rStyle w:val="CharDivNo"/>
        </w:rPr>
        <w:t>Division 2</w:t>
      </w:r>
      <w:r>
        <w:rPr>
          <w:snapToGrid w:val="0"/>
        </w:rPr>
        <w:t> — </w:t>
      </w:r>
      <w:r>
        <w:rPr>
          <w:rStyle w:val="CharDivText"/>
        </w:rPr>
        <w:t>Use of mooring springs</w:t>
      </w:r>
      <w:bookmarkEnd w:id="176"/>
      <w:bookmarkEnd w:id="177"/>
      <w:bookmarkEnd w:id="178"/>
      <w:r>
        <w:rPr>
          <w:snapToGrid w:val="0"/>
        </w:rPr>
        <w:t xml:space="preserve"> </w:t>
      </w:r>
    </w:p>
    <w:p>
      <w:pPr>
        <w:pStyle w:val="Footnoteheading"/>
      </w:pPr>
      <w:r>
        <w:tab/>
        <w:t xml:space="preserve">[Heading inserted in Gazette 19 May 1989 p. 1494.] </w:t>
      </w:r>
    </w:p>
    <w:p>
      <w:pPr>
        <w:pStyle w:val="Ednotesection"/>
        <w:spacing w:before="180"/>
      </w:pPr>
      <w:r>
        <w:t>[</w:t>
      </w:r>
      <w:r>
        <w:rPr>
          <w:b/>
        </w:rPr>
        <w:t>105A</w:t>
      </w:r>
      <w:r>
        <w:rPr>
          <w:b/>
        </w:rPr>
        <w:noBreakHyphen/>
        <w:t>105E.</w:t>
      </w:r>
      <w:r>
        <w:tab/>
        <w:t>Deleted in Gazette 30 Jun 1995 p. 2700.]</w:t>
      </w:r>
    </w:p>
    <w:p>
      <w:pPr>
        <w:pStyle w:val="Heading5"/>
        <w:spacing w:before="180"/>
        <w:rPr>
          <w:snapToGrid w:val="0"/>
        </w:rPr>
      </w:pPr>
      <w:bookmarkStart w:id="179" w:name="_Toc425338060"/>
      <w:r>
        <w:rPr>
          <w:rStyle w:val="CharSectno"/>
        </w:rPr>
        <w:t>105F</w:t>
      </w:r>
      <w:r>
        <w:rPr>
          <w:snapToGrid w:val="0"/>
        </w:rPr>
        <w:t>.</w:t>
      </w:r>
      <w:r>
        <w:rPr>
          <w:snapToGrid w:val="0"/>
        </w:rPr>
        <w:tab/>
        <w:t>Approaching bollard or jetty to which mooring spring or rope fastened</w:t>
      </w:r>
      <w:bookmarkEnd w:id="179"/>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spacing w:before="180"/>
        <w:ind w:left="890" w:hanging="890"/>
      </w:pPr>
      <w:r>
        <w:t>[</w:t>
      </w:r>
      <w:r>
        <w:rPr>
          <w:b/>
        </w:rPr>
        <w:t>105G, 105H, 105HA, 105HB.</w:t>
      </w:r>
      <w:r>
        <w:tab/>
        <w:t>Deleted in Gazette 30 Jun 1995 p. 2700.]</w:t>
      </w:r>
    </w:p>
    <w:p>
      <w:pPr>
        <w:pStyle w:val="Ednotedivision"/>
        <w:spacing w:before="180"/>
      </w:pPr>
      <w:r>
        <w:t>[Division 3 (r. 105HC) deleted in Gazette 30 Jun 1995 p. 2700.]</w:t>
      </w:r>
    </w:p>
    <w:p>
      <w:pPr>
        <w:pStyle w:val="Heading3"/>
        <w:rPr>
          <w:snapToGrid w:val="0"/>
        </w:rPr>
      </w:pPr>
      <w:bookmarkStart w:id="180" w:name="_Toc425337599"/>
      <w:bookmarkStart w:id="181" w:name="_Toc425337862"/>
      <w:bookmarkStart w:id="182" w:name="_Toc425338061"/>
      <w:r>
        <w:rPr>
          <w:rStyle w:val="CharDivNo"/>
        </w:rPr>
        <w:t>Division 4</w:t>
      </w:r>
      <w:r>
        <w:rPr>
          <w:snapToGrid w:val="0"/>
        </w:rPr>
        <w:t> — </w:t>
      </w:r>
      <w:r>
        <w:rPr>
          <w:rStyle w:val="CharDivText"/>
        </w:rPr>
        <w:t>Use of weighbridges at Wyndham</w:t>
      </w:r>
      <w:bookmarkEnd w:id="180"/>
      <w:bookmarkEnd w:id="181"/>
      <w:bookmarkEnd w:id="182"/>
    </w:p>
    <w:p>
      <w:pPr>
        <w:pStyle w:val="Footnoteheading"/>
      </w:pPr>
      <w:r>
        <w:tab/>
        <w:t xml:space="preserve">[Heading inserted in Gazette 19 May 1989 p. 1494; amended in Gazette 20 Jun 2000 p. 3044.] </w:t>
      </w:r>
    </w:p>
    <w:p>
      <w:pPr>
        <w:pStyle w:val="Heading5"/>
        <w:rPr>
          <w:snapToGrid w:val="0"/>
        </w:rPr>
      </w:pPr>
      <w:bookmarkStart w:id="183" w:name="_Toc425338062"/>
      <w:r>
        <w:rPr>
          <w:rStyle w:val="CharSectno"/>
        </w:rPr>
        <w:t>105I</w:t>
      </w:r>
      <w:r>
        <w:rPr>
          <w:snapToGrid w:val="0"/>
        </w:rPr>
        <w:t>.</w:t>
      </w:r>
      <w:r>
        <w:rPr>
          <w:snapToGrid w:val="0"/>
        </w:rPr>
        <w:tab/>
        <w:t>Weighbridge charges</w:t>
      </w:r>
      <w:bookmarkEnd w:id="183"/>
    </w:p>
    <w:p>
      <w:pPr>
        <w:pStyle w:val="Subsection"/>
        <w:rPr>
          <w:snapToGrid w:val="0"/>
        </w:rPr>
      </w:pPr>
      <w:r>
        <w:rPr>
          <w:snapToGrid w:val="0"/>
        </w:rPr>
        <w:tab/>
        <w:t>(1)</w:t>
      </w:r>
      <w:r>
        <w:rPr>
          <w:snapToGrid w:val="0"/>
        </w:rPr>
        <w:tab/>
        <w:t xml:space="preserve">A person making use of the 50 t weighbridges at Wyndham shall pay the </w:t>
      </w:r>
      <w:r>
        <w:t xml:space="preserve">charge </w:t>
      </w:r>
      <w:r>
        <w:rPr>
          <w:snapToGrid w:val="0"/>
        </w:rPr>
        <w:t xml:space="preserve">set out in </w:t>
      </w:r>
      <w:r>
        <w:t>Schedule 1.</w:t>
      </w:r>
    </w:p>
    <w:p>
      <w:pPr>
        <w:pStyle w:val="Subsection"/>
        <w:rPr>
          <w:snapToGrid w:val="0"/>
        </w:rPr>
      </w:pPr>
      <w:r>
        <w:rPr>
          <w:snapToGrid w:val="0"/>
        </w:rPr>
        <w:tab/>
        <w:t>(2)</w:t>
      </w:r>
      <w:r>
        <w:rPr>
          <w:snapToGrid w:val="0"/>
        </w:rPr>
        <w:tab/>
        <w:t xml:space="preserve">A person making use of the weighbridge outside of normal working hours shall pay the wages of the operator, in addition to the </w:t>
      </w:r>
      <w:r>
        <w:t xml:space="preserve">charges </w:t>
      </w:r>
      <w:r>
        <w:rPr>
          <w:snapToGrid w:val="0"/>
        </w:rPr>
        <w:t>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25 Jul 2014 p. 2614.] </w:t>
      </w:r>
    </w:p>
    <w:p>
      <w:pPr>
        <w:pStyle w:val="Ednotedivision"/>
      </w:pPr>
      <w:r>
        <w:t>[Division 5 (r. 105J) deleted in Gazette 30 Jun 1992 p. 2893.]</w:t>
      </w:r>
    </w:p>
    <w:p>
      <w:pPr>
        <w:pStyle w:val="Heading2"/>
      </w:pPr>
      <w:bookmarkStart w:id="184" w:name="_Toc425337601"/>
      <w:bookmarkStart w:id="185" w:name="_Toc425337864"/>
      <w:bookmarkStart w:id="186" w:name="_Toc425338063"/>
      <w:r>
        <w:rPr>
          <w:rStyle w:val="CharPartNo"/>
        </w:rPr>
        <w:t>Part 4</w:t>
      </w:r>
      <w:r>
        <w:rPr>
          <w:rStyle w:val="CharDivNo"/>
        </w:rPr>
        <w:t> </w:t>
      </w:r>
      <w:r>
        <w:t>—</w:t>
      </w:r>
      <w:r>
        <w:rPr>
          <w:rStyle w:val="CharDivText"/>
        </w:rPr>
        <w:t> </w:t>
      </w:r>
      <w:r>
        <w:rPr>
          <w:rStyle w:val="CharPartText"/>
        </w:rPr>
        <w:t>Breach of regulations and penalties</w:t>
      </w:r>
      <w:bookmarkEnd w:id="184"/>
      <w:bookmarkEnd w:id="185"/>
      <w:bookmarkEnd w:id="186"/>
    </w:p>
    <w:p>
      <w:pPr>
        <w:pStyle w:val="Footnoteheading"/>
      </w:pPr>
      <w:r>
        <w:tab/>
        <w:t xml:space="preserve">[Heading inserted in Gazette 19 May 1989 p. 1494.] </w:t>
      </w:r>
    </w:p>
    <w:p>
      <w:pPr>
        <w:pStyle w:val="Heading5"/>
        <w:rPr>
          <w:snapToGrid w:val="0"/>
        </w:rPr>
      </w:pPr>
      <w:bookmarkStart w:id="187" w:name="_Toc425338064"/>
      <w:r>
        <w:rPr>
          <w:rStyle w:val="CharSectno"/>
        </w:rPr>
        <w:t>106</w:t>
      </w:r>
      <w:r>
        <w:rPr>
          <w:snapToGrid w:val="0"/>
        </w:rPr>
        <w:t>.</w:t>
      </w:r>
      <w:r>
        <w:rPr>
          <w:snapToGrid w:val="0"/>
        </w:rPr>
        <w:tab/>
        <w:t>Powers of officer of Department</w:t>
      </w:r>
      <w:bookmarkEnd w:id="187"/>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188" w:name="_Toc425338065"/>
      <w:r>
        <w:rPr>
          <w:rStyle w:val="CharSectno"/>
        </w:rPr>
        <w:t>107</w:t>
      </w:r>
      <w:r>
        <w:rPr>
          <w:snapToGrid w:val="0"/>
        </w:rPr>
        <w:t>.</w:t>
      </w:r>
      <w:r>
        <w:rPr>
          <w:snapToGrid w:val="0"/>
        </w:rPr>
        <w:tab/>
        <w:t>Recovery of expenses incurred by breaches of regulations</w:t>
      </w:r>
      <w:bookmarkEnd w:id="188"/>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189" w:name="_Toc425338066"/>
      <w:r>
        <w:rPr>
          <w:rStyle w:val="CharSectno"/>
        </w:rPr>
        <w:t>107A</w:t>
      </w:r>
      <w:r>
        <w:rPr>
          <w:snapToGrid w:val="0"/>
        </w:rPr>
        <w:t>.</w:t>
      </w:r>
      <w:r>
        <w:rPr>
          <w:snapToGrid w:val="0"/>
        </w:rPr>
        <w:tab/>
        <w:t>Police have authority to enforce regulations</w:t>
      </w:r>
      <w:bookmarkEnd w:id="189"/>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190" w:name="_Toc425338067"/>
      <w:r>
        <w:rPr>
          <w:rStyle w:val="CharSectno"/>
        </w:rPr>
        <w:t>108</w:t>
      </w:r>
      <w:r>
        <w:rPr>
          <w:snapToGrid w:val="0"/>
        </w:rPr>
        <w:t>.</w:t>
      </w:r>
      <w:r>
        <w:rPr>
          <w:snapToGrid w:val="0"/>
        </w:rPr>
        <w:tab/>
        <w:t>Penalty for offences</w:t>
      </w:r>
      <w:bookmarkEnd w:id="190"/>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by Act No. 113 of 1965 s. 8(1); amended in Gazette 17 Sep 1976 p. 3463; 19 May 1989 p. 1496.] </w:t>
      </w:r>
    </w:p>
    <w:p>
      <w:pPr>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191" w:name="_Toc425337606"/>
      <w:bookmarkStart w:id="192" w:name="_Toc425337869"/>
      <w:bookmarkStart w:id="193" w:name="_Toc425338068"/>
      <w:r>
        <w:rPr>
          <w:rStyle w:val="CharSchNo"/>
        </w:rPr>
        <w:t>Schedule 1</w:t>
      </w:r>
      <w:r>
        <w:t> — </w:t>
      </w:r>
      <w:r>
        <w:rPr>
          <w:rStyle w:val="CharSchText"/>
        </w:rPr>
        <w:t>Dues and charges generally</w:t>
      </w:r>
      <w:bookmarkEnd w:id="191"/>
      <w:bookmarkEnd w:id="192"/>
      <w:bookmarkEnd w:id="193"/>
    </w:p>
    <w:p>
      <w:pPr>
        <w:pStyle w:val="yShoulderClause"/>
      </w:pPr>
      <w:r>
        <w:t>[r. 6, 10A, 11, 25, 42A, 53A, 94A, 94B, 94C, 96 and 105I]</w:t>
      </w:r>
    </w:p>
    <w:p>
      <w:pPr>
        <w:pStyle w:val="yFootnoteheading"/>
        <w:rPr>
          <w:rStyle w:val="CharSDivNo"/>
          <w:b/>
        </w:rPr>
      </w:pPr>
      <w:r>
        <w:tab/>
        <w:t>[Heading inserted in Gazette 22 Jul 2015 p. 2954.]</w:t>
      </w:r>
    </w:p>
    <w:p>
      <w:pPr>
        <w:pStyle w:val="yHeading3"/>
        <w:rPr>
          <w:b w:val="0"/>
        </w:rPr>
      </w:pPr>
      <w:bookmarkStart w:id="194" w:name="_Toc425337607"/>
      <w:bookmarkStart w:id="195" w:name="_Toc425337870"/>
      <w:bookmarkStart w:id="196" w:name="_Toc425338069"/>
      <w:r>
        <w:rPr>
          <w:rStyle w:val="CharSDivNo"/>
        </w:rPr>
        <w:t>Division 1A</w:t>
      </w:r>
      <w:r>
        <w:rPr>
          <w:b w:val="0"/>
        </w:rPr>
        <w:t> — </w:t>
      </w:r>
      <w:r>
        <w:rPr>
          <w:rStyle w:val="CharSDivText"/>
        </w:rPr>
        <w:t>Standard rates</w:t>
      </w:r>
      <w:bookmarkEnd w:id="194"/>
      <w:bookmarkEnd w:id="195"/>
      <w:bookmarkEnd w:id="196"/>
    </w:p>
    <w:p>
      <w:pPr>
        <w:pStyle w:val="yFootnoteheading"/>
        <w:rPr>
          <w:rStyle w:val="CharSDivNo"/>
        </w:rPr>
      </w:pPr>
      <w:r>
        <w:tab/>
        <w:t>[Heading inserted in Gazette 22 Jul 2015 p. 2954.]</w:t>
      </w:r>
    </w:p>
    <w:p>
      <w:pPr>
        <w:pStyle w:val="yHeading5"/>
      </w:pPr>
      <w:bookmarkStart w:id="197" w:name="_Toc425338070"/>
      <w:r>
        <w:rPr>
          <w:rStyle w:val="CharSClsNo"/>
        </w:rPr>
        <w:t>1A</w:t>
      </w:r>
      <w:r>
        <w:t>.</w:t>
      </w:r>
      <w:r>
        <w:tab/>
        <w:t>Standard rates for this Schedule</w:t>
      </w:r>
      <w:bookmarkEnd w:id="197"/>
    </w:p>
    <w:p>
      <w:pPr>
        <w:pStyle w:val="ySubsection"/>
      </w:pPr>
      <w:r>
        <w:tab/>
      </w:r>
      <w:r>
        <w:tab/>
        <w:t xml:space="preserve">In this Schedule, the following rates are standard rates — </w:t>
      </w:r>
    </w:p>
    <w:p>
      <w:pPr>
        <w:pStyle w:val="ySubsection"/>
        <w:rPr>
          <w:b/>
        </w:rPr>
      </w:pPr>
      <w:bookmarkStart w:id="198" w:name="_Toc402879107"/>
      <w:r>
        <w:rPr>
          <w:b/>
        </w:rPr>
        <w:tab/>
      </w:r>
      <w:r>
        <w:rPr>
          <w:b/>
        </w:rPr>
        <w:tab/>
        <w:t>Rate 1: a casual daily rate of $7.15 per metre of the vessel’s length</w:t>
      </w:r>
    </w:p>
    <w:p>
      <w:pPr>
        <w:pStyle w:val="ySubsection"/>
      </w:pPr>
      <w:r>
        <w:tab/>
      </w:r>
      <w:r>
        <w:tab/>
        <w:t>Typically used to calculate the standard daily rate for casual use of a pen or alongside berth (whether or not the alongside berth is on a service wharf or jetty) for a commercial vessel.</w:t>
      </w:r>
    </w:p>
    <w:p>
      <w:pPr>
        <w:pStyle w:val="ySubsection"/>
        <w:rPr>
          <w:b/>
        </w:rPr>
      </w:pPr>
      <w:r>
        <w:rPr>
          <w:b/>
        </w:rPr>
        <w:tab/>
      </w:r>
      <w:r>
        <w:rPr>
          <w:b/>
        </w:rPr>
        <w:tab/>
        <w:t>Rate 2: a casual daily rate of $50.00</w:t>
      </w:r>
    </w:p>
    <w:p>
      <w:pPr>
        <w:pStyle w:val="ySubsection"/>
      </w:pPr>
      <w:r>
        <w:tab/>
      </w:r>
      <w:r>
        <w:tab/>
        <w:t>Typically used to calculate the standard daily rate for casual use of a pen or alongside berth for a recreational vessel.</w:t>
      </w:r>
    </w:p>
    <w:p>
      <w:pPr>
        <w:pStyle w:val="ySubsection"/>
        <w:rPr>
          <w:b/>
        </w:rPr>
      </w:pPr>
      <w:r>
        <w:rPr>
          <w:b/>
        </w:rPr>
        <w:tab/>
      </w:r>
      <w:r>
        <w:rPr>
          <w:b/>
        </w:rPr>
        <w:tab/>
        <w:t>Rate 3: an annual rate of $80.00 per metre of the vessel’s length</w:t>
      </w:r>
    </w:p>
    <w:p>
      <w:pPr>
        <w:pStyle w:val="ySubsection"/>
      </w:pPr>
      <w:r>
        <w:tab/>
      </w:r>
      <w:r>
        <w:tab/>
        <w:t>Typically used to calculate the standard annual rate for short term use of a service wharf or jetty for a vessel (other than service vessels at certain places).</w:t>
      </w:r>
    </w:p>
    <w:p>
      <w:pPr>
        <w:pStyle w:val="yFootnotesection"/>
      </w:pPr>
      <w:r>
        <w:tab/>
        <w:t>[Clause 1A inserted in Gazette 22 Jul 2015 p. 2954</w:t>
      </w:r>
      <w:r>
        <w:noBreakHyphen/>
        <w:t>5.]</w:t>
      </w:r>
    </w:p>
    <w:p>
      <w:pPr>
        <w:pStyle w:val="yHeading5"/>
      </w:pPr>
      <w:bookmarkStart w:id="199" w:name="_Toc425338071"/>
      <w:r>
        <w:rPr>
          <w:rStyle w:val="CharSClsNo"/>
        </w:rPr>
        <w:t>1B</w:t>
      </w:r>
      <w:r>
        <w:t>.</w:t>
      </w:r>
      <w:r>
        <w:tab/>
        <w:t>Transferability of annual payments</w:t>
      </w:r>
      <w:bookmarkEnd w:id="199"/>
    </w:p>
    <w:p>
      <w:pPr>
        <w:pStyle w:val="ySubsection"/>
      </w:pPr>
      <w:r>
        <w:tab/>
        <w:t>(1)</w:t>
      </w:r>
      <w:r>
        <w:tab/>
        <w:t>A vessel for which there has been paid an annual amount for short term use of a service wharf or jetty at one of the specified places in a Schedule, may use the service wharf or jetty for up to an hour in a day at any of the other specified places.</w:t>
      </w:r>
    </w:p>
    <w:p>
      <w:pPr>
        <w:pStyle w:val="ySubsection"/>
      </w:pPr>
      <w:r>
        <w:tab/>
        <w:t>(2)</w:t>
      </w:r>
      <w:r>
        <w:tab/>
        <w:t>A vessel for which there has been paid an amount to the Department for annual use of a pen, alongside berth or mooring at a specified place in a Schedule, may use the service wharf or jetty for up to an hour in a day at any of the other specified places.</w:t>
      </w:r>
    </w:p>
    <w:p>
      <w:pPr>
        <w:pStyle w:val="yFootnotesection"/>
      </w:pPr>
      <w:r>
        <w:tab/>
        <w:t>[Clause 1B inserted in Gazette 22 Jul 2015 p. 2955.]</w:t>
      </w:r>
    </w:p>
    <w:p>
      <w:pPr>
        <w:pStyle w:val="yHeading5"/>
      </w:pPr>
      <w:bookmarkStart w:id="200" w:name="_Toc425338072"/>
      <w:r>
        <w:rPr>
          <w:rStyle w:val="CharSClsNo"/>
        </w:rPr>
        <w:t>1C</w:t>
      </w:r>
      <w:r>
        <w:t>.</w:t>
      </w:r>
      <w:r>
        <w:tab/>
        <w:t>Service wharf or jetty entitlements</w:t>
      </w:r>
      <w:bookmarkEnd w:id="200"/>
    </w:p>
    <w:p>
      <w:pPr>
        <w:pStyle w:val="ySubsection"/>
      </w:pPr>
      <w:r>
        <w:tab/>
      </w:r>
      <w:r>
        <w:tab/>
        <w:t>A vessel for which there has been paid an amount to the Department for use of a pen, alongside berth or mooring at a specified place in a Schedule may have access to the service wharf or jetty for up to an hour in a day for the duration of that stay at that specified place.</w:t>
      </w:r>
    </w:p>
    <w:p>
      <w:pPr>
        <w:pStyle w:val="yFootnotesection"/>
      </w:pPr>
      <w:r>
        <w:tab/>
        <w:t>[Clause 1C inserted in Gazette 22 Jul 2015 p. 2955.]</w:t>
      </w:r>
    </w:p>
    <w:p>
      <w:pPr>
        <w:pStyle w:val="yHeading3"/>
      </w:pPr>
      <w:bookmarkStart w:id="201" w:name="_Toc425337611"/>
      <w:bookmarkStart w:id="202" w:name="_Toc425337874"/>
      <w:bookmarkStart w:id="203" w:name="_Toc425338073"/>
      <w:r>
        <w:rPr>
          <w:rStyle w:val="CharSDivNo"/>
        </w:rPr>
        <w:t>Division 1</w:t>
      </w:r>
      <w:r>
        <w:rPr>
          <w:b w:val="0"/>
        </w:rPr>
        <w:t> — </w:t>
      </w:r>
      <w:r>
        <w:rPr>
          <w:rStyle w:val="CharSDivText"/>
        </w:rPr>
        <w:t>Specified places</w:t>
      </w:r>
      <w:bookmarkEnd w:id="201"/>
      <w:bookmarkEnd w:id="202"/>
      <w:bookmarkEnd w:id="203"/>
    </w:p>
    <w:p>
      <w:pPr>
        <w:pStyle w:val="yFootnoteheading"/>
      </w:pPr>
      <w:r>
        <w:tab/>
        <w:t>[Heading inserted in Gazette 22 Jul 2015 p. 2955.]</w:t>
      </w:r>
    </w:p>
    <w:p>
      <w:pPr>
        <w:pStyle w:val="yHeading5"/>
      </w:pPr>
      <w:bookmarkStart w:id="204" w:name="_Toc425338074"/>
      <w:r>
        <w:rPr>
          <w:rStyle w:val="CharSClsNo"/>
        </w:rPr>
        <w:t>1</w:t>
      </w:r>
      <w:r>
        <w:t>.</w:t>
      </w:r>
      <w:r>
        <w:tab/>
      </w:r>
      <w:smartTag w:uri="urn:schemas-microsoft-com:office:smarttags" w:element="City">
        <w:r>
          <w:t>Albany</w:t>
        </w:r>
      </w:smartTag>
      <w:r>
        <w:t xml:space="preserve">, </w:t>
      </w:r>
      <w:smartTag w:uri="urn:schemas-microsoft-com:office:smarttags" w:element="City">
        <w:r>
          <w:t>Albany</w:t>
        </w:r>
      </w:smartTag>
      <w:r>
        <w:t xml:space="preserve"> Waterfront </w:t>
      </w:r>
      <w:smartTag w:uri="urn:schemas-microsoft-com:office:smarttags" w:element="place">
        <w:smartTag w:uri="urn:schemas-microsoft-com:office:smarttags" w:element="City">
          <w:r>
            <w:t>Marina</w:t>
          </w:r>
        </w:smartTag>
      </w:smartTag>
      <w:bookmarkEnd w:id="198"/>
      <w:bookmarkEnd w:id="204"/>
    </w:p>
    <w:p>
      <w:pPr>
        <w:pStyle w:val="ySubsection"/>
      </w:pPr>
      <w:r>
        <w:tab/>
        <w:t>(1)</w:t>
      </w:r>
      <w:r>
        <w:tab/>
        <w:t xml:space="preserve">This clause applies to the Albany Waterfront Marina at </w:t>
      </w:r>
      <w:smartTag w:uri="urn:schemas-microsoft-com:office:smarttags" w:element="place">
        <w:smartTag w:uri="urn:schemas-microsoft-com:office:smarttags" w:element="City">
          <w:r>
            <w:t>Albany</w:t>
          </w:r>
        </w:smartTag>
      </w:smartTag>
      <w:r>
        <w:t>.</w:t>
      </w:r>
    </w:p>
    <w:p>
      <w:pPr>
        <w:pStyle w:val="ySubsection"/>
      </w:pPr>
      <w:r>
        <w:tab/>
        <w:t>(2)</w:t>
      </w:r>
      <w:r>
        <w:tab/>
        <w:t>The dues and charges to be paid under these regulations are set out in Table 1.1.</w:t>
      </w:r>
    </w:p>
    <w:p>
      <w:pPr>
        <w:pStyle w:val="yTHeadingNAm"/>
      </w:pPr>
      <w:r>
        <w:t>Table 1.1 (Pen use and alongside berthing)</w:t>
      </w:r>
    </w:p>
    <w:tbl>
      <w:tblPr>
        <w:tblW w:w="5711" w:type="dxa"/>
        <w:tblInd w:w="1009" w:type="dxa"/>
        <w:tblLayout w:type="fixed"/>
        <w:tblCellMar>
          <w:top w:w="57" w:type="dxa"/>
          <w:left w:w="57" w:type="dxa"/>
          <w:right w:w="57" w:type="dxa"/>
        </w:tblCellMar>
        <w:tblLook w:val="0000" w:firstRow="0" w:lastRow="0" w:firstColumn="0" w:lastColumn="0" w:noHBand="0" w:noVBand="0"/>
      </w:tblPr>
      <w:tblGrid>
        <w:gridCol w:w="714"/>
        <w:gridCol w:w="3710"/>
        <w:gridCol w:w="1287"/>
      </w:tblGrid>
      <w:tr>
        <w:trPr>
          <w:cantSplit/>
          <w:tblHeader/>
        </w:trPr>
        <w:tc>
          <w:tcPr>
            <w:tcW w:w="714" w:type="dxa"/>
            <w:tcBorders>
              <w:top w:val="single" w:sz="4" w:space="0" w:color="auto"/>
              <w:bottom w:val="single" w:sz="4" w:space="0" w:color="auto"/>
            </w:tcBorders>
          </w:tcPr>
          <w:p>
            <w:pPr>
              <w:pStyle w:val="yTableNAm"/>
            </w:pPr>
            <w:r>
              <w:rPr>
                <w:b/>
              </w:rPr>
              <w:t>Item</w:t>
            </w:r>
          </w:p>
        </w:tc>
        <w:tc>
          <w:tcPr>
            <w:tcW w:w="3710" w:type="dxa"/>
            <w:tcBorders>
              <w:top w:val="single" w:sz="4" w:space="0" w:color="auto"/>
              <w:bottom w:val="single" w:sz="4" w:space="0" w:color="auto"/>
            </w:tcBorders>
          </w:tcPr>
          <w:p>
            <w:pPr>
              <w:pStyle w:val="yTableNAm"/>
            </w:pPr>
            <w:r>
              <w:rPr>
                <w:b/>
              </w:rPr>
              <w:t>Service</w:t>
            </w:r>
          </w:p>
        </w:tc>
        <w:tc>
          <w:tcPr>
            <w:tcW w:w="1287" w:type="dxa"/>
            <w:tcBorders>
              <w:top w:val="single" w:sz="4" w:space="0" w:color="auto"/>
              <w:bottom w:val="single" w:sz="4" w:space="0" w:color="auto"/>
            </w:tcBorders>
          </w:tcPr>
          <w:p>
            <w:pPr>
              <w:pStyle w:val="yTableNAm"/>
              <w:jc w:val="center"/>
            </w:pPr>
            <w:r>
              <w:rPr>
                <w:b/>
              </w:rPr>
              <w:t>$</w:t>
            </w:r>
          </w:p>
        </w:tc>
      </w:tr>
      <w:tr>
        <w:trPr>
          <w:cantSplit/>
        </w:trPr>
        <w:tc>
          <w:tcPr>
            <w:tcW w:w="714" w:type="dxa"/>
            <w:tcBorders>
              <w:top w:val="single" w:sz="4" w:space="0" w:color="auto"/>
            </w:tcBorders>
          </w:tcPr>
          <w:p>
            <w:pPr>
              <w:pStyle w:val="yTableNAm"/>
            </w:pPr>
            <w:r>
              <w:t>1.</w:t>
            </w:r>
          </w:p>
        </w:tc>
        <w:tc>
          <w:tcPr>
            <w:tcW w:w="3710" w:type="dxa"/>
            <w:tcBorders>
              <w:top w:val="single" w:sz="4" w:space="0" w:color="auto"/>
            </w:tcBorders>
          </w:tcPr>
          <w:p>
            <w:pPr>
              <w:pStyle w:val="yTableNAm"/>
            </w:pPr>
            <w:r>
              <w:t>For the use, other than casual daily use, of a pen, an amount calculated per metre of the pen’s length using the annual rate of</w:t>
            </w:r>
          </w:p>
        </w:tc>
        <w:tc>
          <w:tcPr>
            <w:tcW w:w="1287" w:type="dxa"/>
            <w:tcBorders>
              <w:top w:val="single" w:sz="4" w:space="0" w:color="auto"/>
            </w:tcBorders>
          </w:tcPr>
          <w:p>
            <w:pPr>
              <w:pStyle w:val="yTableNAm"/>
              <w:jc w:val="center"/>
            </w:pPr>
            <w:r>
              <w:br/>
            </w:r>
            <w:r>
              <w:br/>
              <w:t>409.26</w:t>
            </w:r>
          </w:p>
        </w:tc>
      </w:tr>
      <w:tr>
        <w:trPr>
          <w:cantSplit/>
        </w:trPr>
        <w:tc>
          <w:tcPr>
            <w:tcW w:w="714" w:type="dxa"/>
          </w:tcPr>
          <w:p>
            <w:pPr>
              <w:pStyle w:val="yTableNAm"/>
            </w:pPr>
            <w:r>
              <w:t>2.</w:t>
            </w:r>
          </w:p>
        </w:tc>
        <w:tc>
          <w:tcPr>
            <w:tcW w:w="3710" w:type="dxa"/>
          </w:tcPr>
          <w:p>
            <w:pPr>
              <w:pStyle w:val="yTableNAm"/>
            </w:pPr>
            <w:r>
              <w:t>For the use, other than casual daily use, of an alongside berth, an amount calculated per metre of the vessel’s length using the annual rate of</w:t>
            </w:r>
          </w:p>
        </w:tc>
        <w:tc>
          <w:tcPr>
            <w:tcW w:w="1287" w:type="dxa"/>
          </w:tcPr>
          <w:p>
            <w:pPr>
              <w:pStyle w:val="yTableNAm"/>
              <w:jc w:val="center"/>
            </w:pPr>
            <w:r>
              <w:br/>
            </w:r>
            <w:r>
              <w:br/>
            </w:r>
            <w:r>
              <w:br/>
              <w:t>409.26</w:t>
            </w:r>
          </w:p>
        </w:tc>
      </w:tr>
      <w:tr>
        <w:trPr>
          <w:cantSplit/>
        </w:trPr>
        <w:tc>
          <w:tcPr>
            <w:tcW w:w="714" w:type="dxa"/>
          </w:tcPr>
          <w:p>
            <w:pPr>
              <w:pStyle w:val="yTableNAm"/>
            </w:pPr>
            <w:r>
              <w:t>3.</w:t>
            </w:r>
          </w:p>
        </w:tc>
        <w:tc>
          <w:tcPr>
            <w:tcW w:w="3710" w:type="dxa"/>
          </w:tcPr>
          <w:p>
            <w:pPr>
              <w:pStyle w:val="yTableNAm"/>
            </w:pPr>
            <w:r>
              <w:t xml:space="preserve">For the casual daily use of a pen or alongside berth — </w:t>
            </w:r>
          </w:p>
        </w:tc>
        <w:tc>
          <w:tcPr>
            <w:tcW w:w="1287" w:type="dxa"/>
          </w:tcPr>
          <w:p>
            <w:pPr>
              <w:pStyle w:val="yTableNAm"/>
              <w:jc w:val="center"/>
            </w:pPr>
          </w:p>
        </w:tc>
      </w:tr>
      <w:tr>
        <w:trPr>
          <w:cantSplit/>
        </w:trPr>
        <w:tc>
          <w:tcPr>
            <w:tcW w:w="714" w:type="dxa"/>
          </w:tcPr>
          <w:p>
            <w:pPr>
              <w:pStyle w:val="zyTableNAm"/>
            </w:pPr>
          </w:p>
        </w:tc>
        <w:tc>
          <w:tcPr>
            <w:tcW w:w="3710" w:type="dxa"/>
          </w:tcPr>
          <w:p>
            <w:pPr>
              <w:pStyle w:val="yTableNAm"/>
              <w:tabs>
                <w:tab w:val="clear" w:pos="567"/>
              </w:tabs>
              <w:ind w:left="226" w:hanging="226"/>
            </w:pPr>
            <w:r>
              <w:t>•</w:t>
            </w:r>
            <w:r>
              <w:tab/>
              <w:t>by a commercial vessel, an amount calculated using standard Rate 1</w:t>
            </w:r>
          </w:p>
        </w:tc>
        <w:tc>
          <w:tcPr>
            <w:tcW w:w="1287" w:type="dxa"/>
          </w:tcPr>
          <w:p>
            <w:pPr>
              <w:pStyle w:val="yTableNAm"/>
              <w:jc w:val="center"/>
            </w:pPr>
            <w:r>
              <w:br/>
            </w:r>
          </w:p>
        </w:tc>
      </w:tr>
      <w:tr>
        <w:trPr>
          <w:cantSplit/>
        </w:trPr>
        <w:tc>
          <w:tcPr>
            <w:tcW w:w="714" w:type="dxa"/>
          </w:tcPr>
          <w:p>
            <w:pPr>
              <w:pStyle w:val="zyTableNAm"/>
            </w:pPr>
          </w:p>
        </w:tc>
        <w:tc>
          <w:tcPr>
            <w:tcW w:w="3710" w:type="dxa"/>
          </w:tcPr>
          <w:p>
            <w:pPr>
              <w:pStyle w:val="yTableNAm"/>
              <w:tabs>
                <w:tab w:val="clear" w:pos="567"/>
              </w:tabs>
              <w:ind w:left="226" w:hanging="226"/>
            </w:pPr>
            <w:r>
              <w:t>•</w:t>
            </w:r>
            <w:r>
              <w:tab/>
              <w:t>by a recreational vessel, an amount calculated using standard Rate 2</w:t>
            </w:r>
          </w:p>
        </w:tc>
        <w:tc>
          <w:tcPr>
            <w:tcW w:w="1287" w:type="dxa"/>
          </w:tcPr>
          <w:p>
            <w:pPr>
              <w:pStyle w:val="yTableNAm"/>
              <w:jc w:val="center"/>
            </w:pPr>
          </w:p>
        </w:tc>
      </w:tr>
      <w:tr>
        <w:trPr>
          <w:cantSplit/>
        </w:trPr>
        <w:tc>
          <w:tcPr>
            <w:tcW w:w="714" w:type="dxa"/>
            <w:tcBorders>
              <w:bottom w:val="single" w:sz="4" w:space="0" w:color="auto"/>
            </w:tcBorders>
          </w:tcPr>
          <w:p>
            <w:pPr>
              <w:pStyle w:val="yTableNAm"/>
            </w:pPr>
            <w:r>
              <w:t>4.</w:t>
            </w:r>
          </w:p>
        </w:tc>
        <w:tc>
          <w:tcPr>
            <w:tcW w:w="3710" w:type="dxa"/>
            <w:tcBorders>
              <w:bottom w:val="single" w:sz="4" w:space="0" w:color="auto"/>
            </w:tcBorders>
          </w:tcPr>
          <w:p>
            <w:pPr>
              <w:pStyle w:val="yTableNAm"/>
            </w:pPr>
            <w:r>
              <w:t>For the short term use of a service jetty by a vessel, an amount calculated using standard Rate 3</w:t>
            </w:r>
          </w:p>
        </w:tc>
        <w:tc>
          <w:tcPr>
            <w:tcW w:w="1287" w:type="dxa"/>
            <w:tcBorders>
              <w:bottom w:val="single" w:sz="4" w:space="0" w:color="auto"/>
            </w:tcBorders>
          </w:tcPr>
          <w:p>
            <w:pPr>
              <w:pStyle w:val="yTableNAm"/>
              <w:jc w:val="center"/>
            </w:pPr>
          </w:p>
        </w:tc>
      </w:tr>
    </w:tbl>
    <w:p>
      <w:pPr>
        <w:pStyle w:val="yFootnotesection"/>
      </w:pPr>
      <w:bookmarkStart w:id="205" w:name="_Toc402879108"/>
      <w:r>
        <w:tab/>
        <w:t>[Clause 1 inserted in Gazette 22 Jul 2015 p. 2955</w:t>
      </w:r>
      <w:r>
        <w:noBreakHyphen/>
        <w:t>6.]</w:t>
      </w:r>
    </w:p>
    <w:p>
      <w:pPr>
        <w:pStyle w:val="yHeading5"/>
      </w:pPr>
      <w:bookmarkStart w:id="206" w:name="_Toc425338075"/>
      <w:r>
        <w:rPr>
          <w:rStyle w:val="CharSClsNo"/>
        </w:rPr>
        <w:t>2</w:t>
      </w:r>
      <w:r>
        <w:t>.</w:t>
      </w:r>
      <w:r>
        <w:tab/>
        <w:t xml:space="preserve">Albany, </w:t>
      </w:r>
      <w:smartTag w:uri="urn:schemas-microsoft-com:office:smarttags" w:element="place">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205"/>
      <w:bookmarkEnd w:id="206"/>
    </w:p>
    <w:p>
      <w:pPr>
        <w:pStyle w:val="ySubsection"/>
      </w:pPr>
      <w:r>
        <w:tab/>
        <w:t>(1)</w:t>
      </w:r>
      <w:r>
        <w:tab/>
        <w:t xml:space="preserve">This clause applies to the </w:t>
      </w:r>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r>
        <w:t xml:space="preserve"> at </w:t>
      </w:r>
      <w:smartTag w:uri="urn:schemas-microsoft-com:office:smarttags" w:element="place">
        <w:smartTag w:uri="urn:schemas-microsoft-com:office:smarttags" w:element="City">
          <w:r>
            <w:t>Albany</w:t>
          </w:r>
        </w:smartTag>
      </w:smartTag>
      <w:r>
        <w:t>.</w:t>
      </w:r>
    </w:p>
    <w:p>
      <w:pPr>
        <w:pStyle w:val="ySubsection"/>
      </w:pPr>
      <w:r>
        <w:tab/>
        <w:t>(2)</w:t>
      </w:r>
      <w:r>
        <w:tab/>
        <w:t>The dues and charges to be paid under these regulations are set out in Table 2.1.</w:t>
      </w:r>
    </w:p>
    <w:p>
      <w:pPr>
        <w:pStyle w:val="yTHeadingNAm"/>
      </w:pPr>
      <w:r>
        <w:t>Table 2.1 (Pen use and alongside berthing)</w:t>
      </w:r>
    </w:p>
    <w:tbl>
      <w:tblPr>
        <w:tblW w:w="5725" w:type="dxa"/>
        <w:tblInd w:w="995" w:type="dxa"/>
        <w:tblLayout w:type="fixed"/>
        <w:tblCellMar>
          <w:top w:w="57" w:type="dxa"/>
          <w:left w:w="57" w:type="dxa"/>
          <w:right w:w="57" w:type="dxa"/>
        </w:tblCellMar>
        <w:tblLook w:val="0000" w:firstRow="0" w:lastRow="0" w:firstColumn="0" w:lastColumn="0" w:noHBand="0" w:noVBand="0"/>
      </w:tblPr>
      <w:tblGrid>
        <w:gridCol w:w="728"/>
        <w:gridCol w:w="3696"/>
        <w:gridCol w:w="1301"/>
      </w:tblGrid>
      <w:tr>
        <w:trPr>
          <w:cantSplit/>
          <w:tblHeader/>
        </w:trPr>
        <w:tc>
          <w:tcPr>
            <w:tcW w:w="728" w:type="dxa"/>
            <w:tcBorders>
              <w:top w:val="single" w:sz="4" w:space="0" w:color="auto"/>
              <w:bottom w:val="single" w:sz="4" w:space="0" w:color="auto"/>
            </w:tcBorders>
          </w:tcPr>
          <w:p>
            <w:pPr>
              <w:pStyle w:val="yTableNAm"/>
            </w:pPr>
            <w:r>
              <w:rPr>
                <w:b/>
              </w:rPr>
              <w:t>Item</w:t>
            </w:r>
          </w:p>
        </w:tc>
        <w:tc>
          <w:tcPr>
            <w:tcW w:w="3696" w:type="dxa"/>
            <w:tcBorders>
              <w:top w:val="single" w:sz="4" w:space="0" w:color="auto"/>
              <w:bottom w:val="single" w:sz="4" w:space="0" w:color="auto"/>
            </w:tcBorders>
          </w:tcPr>
          <w:p>
            <w:pPr>
              <w:pStyle w:val="yTableNAm"/>
            </w:pPr>
            <w:r>
              <w:rPr>
                <w:b/>
              </w:rPr>
              <w:t>Service</w:t>
            </w:r>
          </w:p>
        </w:tc>
        <w:tc>
          <w:tcPr>
            <w:tcW w:w="1301"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3696" w:type="dxa"/>
          </w:tcPr>
          <w:p>
            <w:pPr>
              <w:pStyle w:val="yTableNAm"/>
            </w:pPr>
            <w:r>
              <w:t>For the use, other than casual daily use, of a pen, an amount calculated per metre of the pen’s length using the annual rate of</w:t>
            </w:r>
          </w:p>
        </w:tc>
        <w:tc>
          <w:tcPr>
            <w:tcW w:w="1301" w:type="dxa"/>
          </w:tcPr>
          <w:p>
            <w:pPr>
              <w:pStyle w:val="yTableNAm"/>
              <w:jc w:val="center"/>
            </w:pPr>
            <w:r>
              <w:br/>
            </w:r>
            <w:r>
              <w:br/>
              <w:t>208.02</w:t>
            </w:r>
          </w:p>
        </w:tc>
      </w:tr>
      <w:tr>
        <w:trPr>
          <w:cantSplit/>
        </w:trPr>
        <w:tc>
          <w:tcPr>
            <w:tcW w:w="728" w:type="dxa"/>
          </w:tcPr>
          <w:p>
            <w:pPr>
              <w:pStyle w:val="yTableNAm"/>
            </w:pPr>
            <w:r>
              <w:t>2.</w:t>
            </w:r>
          </w:p>
        </w:tc>
        <w:tc>
          <w:tcPr>
            <w:tcW w:w="3696" w:type="dxa"/>
          </w:tcPr>
          <w:p>
            <w:pPr>
              <w:pStyle w:val="yTableNAm"/>
            </w:pPr>
            <w:r>
              <w:t>For the use, other than casual daily use, of an alongside berth, an amount calculated per metre of the vessel’s length using the annual rate of</w:t>
            </w:r>
          </w:p>
        </w:tc>
        <w:tc>
          <w:tcPr>
            <w:tcW w:w="1301" w:type="dxa"/>
          </w:tcPr>
          <w:p>
            <w:pPr>
              <w:pStyle w:val="yTableNAm"/>
              <w:jc w:val="center"/>
            </w:pPr>
            <w:r>
              <w:br/>
            </w:r>
            <w:r>
              <w:br/>
            </w:r>
            <w:r>
              <w:br/>
              <w:t>259.33</w:t>
            </w:r>
          </w:p>
        </w:tc>
      </w:tr>
      <w:tr>
        <w:trPr>
          <w:cantSplit/>
        </w:trPr>
        <w:tc>
          <w:tcPr>
            <w:tcW w:w="728" w:type="dxa"/>
          </w:tcPr>
          <w:p>
            <w:pPr>
              <w:pStyle w:val="yTableNAm"/>
            </w:pPr>
            <w:r>
              <w:t>3.</w:t>
            </w:r>
          </w:p>
        </w:tc>
        <w:tc>
          <w:tcPr>
            <w:tcW w:w="3696" w:type="dxa"/>
          </w:tcPr>
          <w:p>
            <w:pPr>
              <w:pStyle w:val="yTableNAm"/>
            </w:pPr>
            <w:r>
              <w:t xml:space="preserve">For the casual daily use of a pen or alongside berth — </w:t>
            </w:r>
          </w:p>
        </w:tc>
        <w:tc>
          <w:tcPr>
            <w:tcW w:w="1301" w:type="dxa"/>
          </w:tcPr>
          <w:p>
            <w:pPr>
              <w:pStyle w:val="yTableNAm"/>
              <w:jc w:val="center"/>
            </w:pPr>
          </w:p>
        </w:tc>
      </w:tr>
      <w:tr>
        <w:trPr>
          <w:cantSplit/>
        </w:trPr>
        <w:tc>
          <w:tcPr>
            <w:tcW w:w="728" w:type="dxa"/>
          </w:tcPr>
          <w:p>
            <w:pPr>
              <w:pStyle w:val="zyTableNAm"/>
              <w:tabs>
                <w:tab w:val="clear" w:pos="567"/>
              </w:tabs>
            </w:pPr>
          </w:p>
        </w:tc>
        <w:tc>
          <w:tcPr>
            <w:tcW w:w="3696" w:type="dxa"/>
          </w:tcPr>
          <w:p>
            <w:pPr>
              <w:pStyle w:val="yTableNAm"/>
              <w:tabs>
                <w:tab w:val="clear" w:pos="567"/>
              </w:tabs>
              <w:ind w:left="226" w:hanging="226"/>
            </w:pPr>
            <w:r>
              <w:t>•</w:t>
            </w:r>
            <w:r>
              <w:tab/>
              <w:t>by a commercial vessel, an amount calculated using standard Rate 1</w:t>
            </w:r>
          </w:p>
        </w:tc>
        <w:tc>
          <w:tcPr>
            <w:tcW w:w="1301" w:type="dxa"/>
          </w:tcPr>
          <w:p>
            <w:pPr>
              <w:pStyle w:val="yTableNAm"/>
              <w:jc w:val="center"/>
            </w:pPr>
          </w:p>
        </w:tc>
      </w:tr>
      <w:tr>
        <w:trPr>
          <w:cantSplit/>
        </w:trPr>
        <w:tc>
          <w:tcPr>
            <w:tcW w:w="728" w:type="dxa"/>
          </w:tcPr>
          <w:p>
            <w:pPr>
              <w:pStyle w:val="zyTableNAm"/>
              <w:tabs>
                <w:tab w:val="clear" w:pos="567"/>
              </w:tabs>
            </w:pPr>
          </w:p>
        </w:tc>
        <w:tc>
          <w:tcPr>
            <w:tcW w:w="3696" w:type="dxa"/>
          </w:tcPr>
          <w:p>
            <w:pPr>
              <w:pStyle w:val="yTableNAm"/>
              <w:tabs>
                <w:tab w:val="clear" w:pos="567"/>
              </w:tabs>
              <w:ind w:left="226" w:hanging="226"/>
            </w:pPr>
            <w:r>
              <w:t>•</w:t>
            </w:r>
            <w:r>
              <w:tab/>
              <w:t>by a recreational vessel, an amount calculated using standard Rate 2</w:t>
            </w:r>
          </w:p>
        </w:tc>
        <w:tc>
          <w:tcPr>
            <w:tcW w:w="1301" w:type="dxa"/>
          </w:tcPr>
          <w:p>
            <w:pPr>
              <w:pStyle w:val="yTableNAm"/>
              <w:jc w:val="center"/>
            </w:pPr>
          </w:p>
        </w:tc>
      </w:tr>
      <w:tr>
        <w:trPr>
          <w:cantSplit/>
        </w:trPr>
        <w:tc>
          <w:tcPr>
            <w:tcW w:w="728" w:type="dxa"/>
            <w:tcBorders>
              <w:bottom w:val="single" w:sz="4" w:space="0" w:color="auto"/>
            </w:tcBorders>
          </w:tcPr>
          <w:p>
            <w:pPr>
              <w:pStyle w:val="yTableNAm"/>
            </w:pPr>
            <w:r>
              <w:t>4.</w:t>
            </w:r>
          </w:p>
        </w:tc>
        <w:tc>
          <w:tcPr>
            <w:tcW w:w="3696" w:type="dxa"/>
            <w:tcBorders>
              <w:bottom w:val="single" w:sz="4" w:space="0" w:color="auto"/>
            </w:tcBorders>
          </w:tcPr>
          <w:p>
            <w:pPr>
              <w:pStyle w:val="yTableNAm"/>
            </w:pPr>
            <w:r>
              <w:t>For the short term use of a service jetty by a vessel, an amount calculated using standard Rate 3</w:t>
            </w:r>
          </w:p>
        </w:tc>
        <w:tc>
          <w:tcPr>
            <w:tcW w:w="1301" w:type="dxa"/>
            <w:tcBorders>
              <w:bottom w:val="single" w:sz="4" w:space="0" w:color="auto"/>
            </w:tcBorders>
          </w:tcPr>
          <w:p>
            <w:pPr>
              <w:pStyle w:val="yTableNAm"/>
              <w:jc w:val="center"/>
            </w:pPr>
          </w:p>
        </w:tc>
      </w:tr>
    </w:tbl>
    <w:p>
      <w:pPr>
        <w:pStyle w:val="yFootnotesection"/>
      </w:pPr>
      <w:bookmarkStart w:id="207" w:name="_Toc402879109"/>
      <w:r>
        <w:tab/>
        <w:t>[Clause 2 inserted in Gazette 22 Jul 2015 p. 2956</w:t>
      </w:r>
      <w:r>
        <w:noBreakHyphen/>
        <w:t>7.]</w:t>
      </w:r>
    </w:p>
    <w:p>
      <w:pPr>
        <w:pStyle w:val="yHeading5"/>
      </w:pPr>
      <w:bookmarkStart w:id="208" w:name="_Toc425338076"/>
      <w:r>
        <w:rPr>
          <w:rStyle w:val="CharSClsNo"/>
        </w:rPr>
        <w:t>3</w:t>
      </w:r>
      <w:r>
        <w:t>.</w:t>
      </w:r>
      <w:r>
        <w:tab/>
        <w:t>Augusta Boat Harbour</w:t>
      </w:r>
      <w:bookmarkEnd w:id="207"/>
      <w:bookmarkEnd w:id="208"/>
    </w:p>
    <w:p>
      <w:pPr>
        <w:pStyle w:val="ySubsection"/>
      </w:pPr>
      <w:r>
        <w:tab/>
        <w:t>(1)</w:t>
      </w:r>
      <w:r>
        <w:tab/>
        <w:t>This clause applies to the Augusta Boat Harbour.</w:t>
      </w:r>
    </w:p>
    <w:p>
      <w:pPr>
        <w:pStyle w:val="ySubsection"/>
      </w:pPr>
      <w:r>
        <w:tab/>
        <w:t>(2)</w:t>
      </w:r>
      <w:r>
        <w:tab/>
        <w:t>The dues and charges to be paid under these regulations are set out in Table 3.1.</w:t>
      </w:r>
    </w:p>
    <w:p>
      <w:pPr>
        <w:pStyle w:val="yTHeadingNAm"/>
      </w:pPr>
      <w:r>
        <w:t>Table 3.1 (Pen use and alongside berthing)</w:t>
      </w:r>
    </w:p>
    <w:tbl>
      <w:tblPr>
        <w:tblW w:w="5711" w:type="dxa"/>
        <w:tblInd w:w="1009" w:type="dxa"/>
        <w:tblLayout w:type="fixed"/>
        <w:tblCellMar>
          <w:top w:w="57" w:type="dxa"/>
          <w:left w:w="57" w:type="dxa"/>
          <w:right w:w="57" w:type="dxa"/>
        </w:tblCellMar>
        <w:tblLook w:val="0000" w:firstRow="0" w:lastRow="0" w:firstColumn="0" w:lastColumn="0" w:noHBand="0" w:noVBand="0"/>
      </w:tblPr>
      <w:tblGrid>
        <w:gridCol w:w="700"/>
        <w:gridCol w:w="3696"/>
        <w:gridCol w:w="1315"/>
      </w:tblGrid>
      <w:tr>
        <w:trPr>
          <w:cantSplit/>
          <w:tblHeader/>
        </w:trPr>
        <w:tc>
          <w:tcPr>
            <w:tcW w:w="700" w:type="dxa"/>
            <w:tcBorders>
              <w:top w:val="single" w:sz="4" w:space="0" w:color="auto"/>
              <w:bottom w:val="single" w:sz="4" w:space="0" w:color="auto"/>
            </w:tcBorders>
          </w:tcPr>
          <w:p>
            <w:pPr>
              <w:pStyle w:val="yTableNAm"/>
            </w:pPr>
            <w:r>
              <w:rPr>
                <w:b/>
              </w:rPr>
              <w:t>Item</w:t>
            </w:r>
          </w:p>
        </w:tc>
        <w:tc>
          <w:tcPr>
            <w:tcW w:w="3696" w:type="dxa"/>
            <w:tcBorders>
              <w:top w:val="single" w:sz="4" w:space="0" w:color="auto"/>
              <w:bottom w:val="single" w:sz="4" w:space="0" w:color="auto"/>
            </w:tcBorders>
          </w:tcPr>
          <w:p>
            <w:pPr>
              <w:pStyle w:val="yTableNAm"/>
            </w:pPr>
            <w:r>
              <w:rPr>
                <w:b/>
              </w:rPr>
              <w:t>Service</w:t>
            </w:r>
          </w:p>
        </w:tc>
        <w:tc>
          <w:tcPr>
            <w:tcW w:w="1315"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3696" w:type="dxa"/>
          </w:tcPr>
          <w:p>
            <w:pPr>
              <w:pStyle w:val="yTableNAm"/>
            </w:pPr>
            <w:r>
              <w:t>For the use, other than casual daily use, of a pen, an amount calculated per metre of the pen’s length using the annual rate of</w:t>
            </w:r>
          </w:p>
        </w:tc>
        <w:tc>
          <w:tcPr>
            <w:tcW w:w="1315" w:type="dxa"/>
          </w:tcPr>
          <w:p>
            <w:pPr>
              <w:pStyle w:val="yTableNAm"/>
              <w:jc w:val="center"/>
            </w:pPr>
            <w:r>
              <w:br/>
            </w:r>
            <w:r>
              <w:br/>
              <w:t>409.26</w:t>
            </w:r>
          </w:p>
        </w:tc>
      </w:tr>
      <w:tr>
        <w:trPr>
          <w:cantSplit/>
        </w:trPr>
        <w:tc>
          <w:tcPr>
            <w:tcW w:w="700" w:type="dxa"/>
          </w:tcPr>
          <w:p>
            <w:pPr>
              <w:pStyle w:val="yTableNAm"/>
            </w:pPr>
            <w:r>
              <w:t>2.</w:t>
            </w:r>
          </w:p>
        </w:tc>
        <w:tc>
          <w:tcPr>
            <w:tcW w:w="3696" w:type="dxa"/>
          </w:tcPr>
          <w:p>
            <w:pPr>
              <w:pStyle w:val="yTableNAm"/>
            </w:pPr>
            <w:r>
              <w:t>For the use, other than casual daily use, of an alongside berth, an amount calculated per metre of the vessel’s length using the annual rate of</w:t>
            </w:r>
          </w:p>
        </w:tc>
        <w:tc>
          <w:tcPr>
            <w:tcW w:w="1315" w:type="dxa"/>
          </w:tcPr>
          <w:p>
            <w:pPr>
              <w:pStyle w:val="yTableNAm"/>
              <w:jc w:val="center"/>
            </w:pPr>
            <w:r>
              <w:br/>
            </w:r>
            <w:r>
              <w:br/>
            </w:r>
            <w:r>
              <w:br/>
              <w:t>409.26</w:t>
            </w:r>
          </w:p>
        </w:tc>
      </w:tr>
      <w:tr>
        <w:trPr>
          <w:cantSplit/>
        </w:trPr>
        <w:tc>
          <w:tcPr>
            <w:tcW w:w="700" w:type="dxa"/>
          </w:tcPr>
          <w:p>
            <w:pPr>
              <w:pStyle w:val="yTableNAm"/>
            </w:pPr>
            <w:r>
              <w:t>3.</w:t>
            </w:r>
          </w:p>
        </w:tc>
        <w:tc>
          <w:tcPr>
            <w:tcW w:w="3696" w:type="dxa"/>
          </w:tcPr>
          <w:p>
            <w:pPr>
              <w:pStyle w:val="yTableNAm"/>
            </w:pPr>
            <w:r>
              <w:t xml:space="preserve">For the casual daily use of a pen or alongside berth — </w:t>
            </w:r>
          </w:p>
        </w:tc>
        <w:tc>
          <w:tcPr>
            <w:tcW w:w="1315" w:type="dxa"/>
          </w:tcPr>
          <w:p>
            <w:pPr>
              <w:pStyle w:val="yTableNAm"/>
              <w:jc w:val="center"/>
            </w:pPr>
          </w:p>
        </w:tc>
      </w:tr>
      <w:tr>
        <w:trPr>
          <w:cantSplit/>
        </w:trPr>
        <w:tc>
          <w:tcPr>
            <w:tcW w:w="700" w:type="dxa"/>
          </w:tcPr>
          <w:p>
            <w:pPr>
              <w:pStyle w:val="zyTableNAm"/>
            </w:pPr>
          </w:p>
        </w:tc>
        <w:tc>
          <w:tcPr>
            <w:tcW w:w="3696" w:type="dxa"/>
          </w:tcPr>
          <w:p>
            <w:pPr>
              <w:pStyle w:val="yTableNAm"/>
              <w:tabs>
                <w:tab w:val="clear" w:pos="567"/>
              </w:tabs>
              <w:ind w:left="226" w:hanging="226"/>
            </w:pPr>
            <w:r>
              <w:t>•</w:t>
            </w:r>
            <w:r>
              <w:tab/>
              <w:t>by a commercial vessel, an amount calculated using standard Rate 1</w:t>
            </w:r>
          </w:p>
        </w:tc>
        <w:tc>
          <w:tcPr>
            <w:tcW w:w="1315" w:type="dxa"/>
          </w:tcPr>
          <w:p>
            <w:pPr>
              <w:pStyle w:val="yTableNAm"/>
              <w:jc w:val="center"/>
            </w:pPr>
          </w:p>
        </w:tc>
      </w:tr>
      <w:tr>
        <w:trPr>
          <w:cantSplit/>
        </w:trPr>
        <w:tc>
          <w:tcPr>
            <w:tcW w:w="700" w:type="dxa"/>
          </w:tcPr>
          <w:p>
            <w:pPr>
              <w:pStyle w:val="zyTableNAm"/>
            </w:pPr>
          </w:p>
        </w:tc>
        <w:tc>
          <w:tcPr>
            <w:tcW w:w="3696" w:type="dxa"/>
          </w:tcPr>
          <w:p>
            <w:pPr>
              <w:pStyle w:val="yTableNAm"/>
              <w:tabs>
                <w:tab w:val="clear" w:pos="567"/>
              </w:tabs>
              <w:ind w:left="226" w:hanging="226"/>
            </w:pPr>
            <w:r>
              <w:t>•</w:t>
            </w:r>
            <w:r>
              <w:tab/>
              <w:t>by a recreational vessel, an amount calculated using standard Rate 2</w:t>
            </w:r>
          </w:p>
        </w:tc>
        <w:tc>
          <w:tcPr>
            <w:tcW w:w="1315" w:type="dxa"/>
          </w:tcPr>
          <w:p>
            <w:pPr>
              <w:pStyle w:val="yTableNAm"/>
              <w:jc w:val="center"/>
            </w:pPr>
          </w:p>
        </w:tc>
      </w:tr>
      <w:tr>
        <w:trPr>
          <w:cantSplit/>
        </w:trPr>
        <w:tc>
          <w:tcPr>
            <w:tcW w:w="700" w:type="dxa"/>
            <w:tcBorders>
              <w:bottom w:val="single" w:sz="4" w:space="0" w:color="auto"/>
            </w:tcBorders>
          </w:tcPr>
          <w:p>
            <w:pPr>
              <w:pStyle w:val="yTableNAm"/>
            </w:pPr>
            <w:r>
              <w:t>4.</w:t>
            </w:r>
          </w:p>
        </w:tc>
        <w:tc>
          <w:tcPr>
            <w:tcW w:w="3696" w:type="dxa"/>
            <w:tcBorders>
              <w:bottom w:val="single" w:sz="4" w:space="0" w:color="auto"/>
            </w:tcBorders>
          </w:tcPr>
          <w:p>
            <w:pPr>
              <w:pStyle w:val="yTableNAm"/>
            </w:pPr>
            <w:r>
              <w:t>For the short term use of a service jetty by a vessel, an amount calculated using standard Rate 3</w:t>
            </w:r>
          </w:p>
        </w:tc>
        <w:tc>
          <w:tcPr>
            <w:tcW w:w="1315" w:type="dxa"/>
            <w:tcBorders>
              <w:bottom w:val="single" w:sz="4" w:space="0" w:color="auto"/>
            </w:tcBorders>
          </w:tcPr>
          <w:p>
            <w:pPr>
              <w:pStyle w:val="yTableNAm"/>
              <w:jc w:val="center"/>
            </w:pPr>
          </w:p>
        </w:tc>
      </w:tr>
    </w:tbl>
    <w:p>
      <w:pPr>
        <w:pStyle w:val="yFootnotesection"/>
      </w:pPr>
      <w:bookmarkStart w:id="209" w:name="_Toc402879110"/>
      <w:r>
        <w:tab/>
        <w:t>[Clause 3 inserted in Gazette 22 Jul 2015 p. 2957</w:t>
      </w:r>
      <w:r>
        <w:noBreakHyphen/>
        <w:t>8.]</w:t>
      </w:r>
    </w:p>
    <w:p>
      <w:pPr>
        <w:pStyle w:val="yHeading5"/>
      </w:pPr>
      <w:bookmarkStart w:id="210" w:name="_Toc425338077"/>
      <w:r>
        <w:rPr>
          <w:rStyle w:val="CharSClsNo"/>
        </w:rPr>
        <w:t>4</w:t>
      </w:r>
      <w:r>
        <w:t>.</w:t>
      </w:r>
      <w:r>
        <w:tab/>
        <w:t>Augusta (Ellis Street) Maritime Facility</w:t>
      </w:r>
      <w:bookmarkEnd w:id="209"/>
      <w:bookmarkEnd w:id="210"/>
    </w:p>
    <w:p>
      <w:pPr>
        <w:pStyle w:val="ySubsection"/>
      </w:pPr>
      <w:r>
        <w:tab/>
        <w:t>(1)</w:t>
      </w:r>
      <w:r>
        <w:tab/>
        <w:t>This clause applies to the Augusta (Ellis Street) Maritime Facility.</w:t>
      </w:r>
    </w:p>
    <w:p>
      <w:pPr>
        <w:pStyle w:val="ySubsection"/>
      </w:pPr>
      <w:r>
        <w:tab/>
        <w:t>(2)</w:t>
      </w:r>
      <w:r>
        <w:tab/>
        <w:t>The dues and charges to be paid under these regulations are set out in Table 4.1.</w:t>
      </w:r>
    </w:p>
    <w:p>
      <w:pPr>
        <w:pStyle w:val="yTHeadingNAm"/>
      </w:pPr>
      <w:r>
        <w:t>Table 4.1 (Alongside berthing)</w:t>
      </w:r>
    </w:p>
    <w:tbl>
      <w:tblPr>
        <w:tblW w:w="5683" w:type="dxa"/>
        <w:tblInd w:w="1009" w:type="dxa"/>
        <w:tblLayout w:type="fixed"/>
        <w:tblCellMar>
          <w:top w:w="57" w:type="dxa"/>
          <w:left w:w="57" w:type="dxa"/>
          <w:right w:w="57" w:type="dxa"/>
        </w:tblCellMar>
        <w:tblLook w:val="0000" w:firstRow="0" w:lastRow="0" w:firstColumn="0" w:lastColumn="0" w:noHBand="0" w:noVBand="0"/>
      </w:tblPr>
      <w:tblGrid>
        <w:gridCol w:w="700"/>
        <w:gridCol w:w="3682"/>
        <w:gridCol w:w="1301"/>
      </w:tblGrid>
      <w:tr>
        <w:trPr>
          <w:cantSplit/>
          <w:tblHeader/>
        </w:trPr>
        <w:tc>
          <w:tcPr>
            <w:tcW w:w="700" w:type="dxa"/>
            <w:tcBorders>
              <w:top w:val="single" w:sz="4" w:space="0" w:color="auto"/>
              <w:bottom w:val="single" w:sz="4" w:space="0" w:color="auto"/>
            </w:tcBorders>
          </w:tcPr>
          <w:p>
            <w:pPr>
              <w:pStyle w:val="yTableNAm"/>
            </w:pPr>
            <w:r>
              <w:rPr>
                <w:b/>
              </w:rPr>
              <w:t>Item</w:t>
            </w:r>
          </w:p>
        </w:tc>
        <w:tc>
          <w:tcPr>
            <w:tcW w:w="3682" w:type="dxa"/>
            <w:tcBorders>
              <w:top w:val="single" w:sz="4" w:space="0" w:color="auto"/>
              <w:bottom w:val="single" w:sz="4" w:space="0" w:color="auto"/>
            </w:tcBorders>
          </w:tcPr>
          <w:p>
            <w:pPr>
              <w:pStyle w:val="yTableNAm"/>
            </w:pPr>
            <w:r>
              <w:rPr>
                <w:b/>
              </w:rPr>
              <w:t>Service</w:t>
            </w:r>
          </w:p>
        </w:tc>
        <w:tc>
          <w:tcPr>
            <w:tcW w:w="1301"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3682" w:type="dxa"/>
          </w:tcPr>
          <w:p>
            <w:pPr>
              <w:pStyle w:val="yTableNAm"/>
            </w:pPr>
            <w:r>
              <w:t>For the use, other than casual daily use, of an alongside berth, an amount calculated per metre of the vessel’s length using the annual rate of</w:t>
            </w:r>
          </w:p>
        </w:tc>
        <w:tc>
          <w:tcPr>
            <w:tcW w:w="1301" w:type="dxa"/>
          </w:tcPr>
          <w:p>
            <w:pPr>
              <w:pStyle w:val="yTableNAm"/>
              <w:jc w:val="center"/>
            </w:pPr>
            <w:r>
              <w:br/>
            </w:r>
            <w:r>
              <w:br/>
            </w:r>
            <w:r>
              <w:br/>
              <w:t>259.33</w:t>
            </w:r>
          </w:p>
        </w:tc>
      </w:tr>
      <w:tr>
        <w:trPr>
          <w:cantSplit/>
        </w:trPr>
        <w:tc>
          <w:tcPr>
            <w:tcW w:w="700" w:type="dxa"/>
          </w:tcPr>
          <w:p>
            <w:pPr>
              <w:pStyle w:val="yTableNAm"/>
            </w:pPr>
            <w:r>
              <w:t>2.</w:t>
            </w:r>
          </w:p>
        </w:tc>
        <w:tc>
          <w:tcPr>
            <w:tcW w:w="3682" w:type="dxa"/>
          </w:tcPr>
          <w:p>
            <w:pPr>
              <w:pStyle w:val="yTableNAm"/>
            </w:pPr>
            <w:r>
              <w:t xml:space="preserve">For the casual daily use of an alongside berth — </w:t>
            </w:r>
          </w:p>
        </w:tc>
        <w:tc>
          <w:tcPr>
            <w:tcW w:w="1301" w:type="dxa"/>
          </w:tcPr>
          <w:p>
            <w:pPr>
              <w:pStyle w:val="yTableNAm"/>
              <w:jc w:val="center"/>
            </w:pPr>
          </w:p>
        </w:tc>
      </w:tr>
      <w:tr>
        <w:trPr>
          <w:cantSplit/>
        </w:trPr>
        <w:tc>
          <w:tcPr>
            <w:tcW w:w="700" w:type="dxa"/>
          </w:tcPr>
          <w:p>
            <w:pPr>
              <w:pStyle w:val="zyTableNAm"/>
            </w:pPr>
          </w:p>
        </w:tc>
        <w:tc>
          <w:tcPr>
            <w:tcW w:w="3682" w:type="dxa"/>
          </w:tcPr>
          <w:p>
            <w:pPr>
              <w:pStyle w:val="yTableNAm"/>
              <w:tabs>
                <w:tab w:val="clear" w:pos="567"/>
              </w:tabs>
              <w:ind w:left="226" w:hanging="226"/>
            </w:pPr>
            <w:r>
              <w:t>•</w:t>
            </w:r>
            <w:r>
              <w:tab/>
              <w:t>by a commercial vessel, an amount calculated using standard Rate 1</w:t>
            </w:r>
          </w:p>
        </w:tc>
        <w:tc>
          <w:tcPr>
            <w:tcW w:w="1301" w:type="dxa"/>
          </w:tcPr>
          <w:p>
            <w:pPr>
              <w:pStyle w:val="yTableNAm"/>
              <w:jc w:val="center"/>
            </w:pPr>
          </w:p>
        </w:tc>
      </w:tr>
      <w:tr>
        <w:trPr>
          <w:cantSplit/>
        </w:trPr>
        <w:tc>
          <w:tcPr>
            <w:tcW w:w="700" w:type="dxa"/>
          </w:tcPr>
          <w:p>
            <w:pPr>
              <w:pStyle w:val="zyTableNAm"/>
            </w:pPr>
          </w:p>
        </w:tc>
        <w:tc>
          <w:tcPr>
            <w:tcW w:w="3682" w:type="dxa"/>
          </w:tcPr>
          <w:p>
            <w:pPr>
              <w:pStyle w:val="yTableNAm"/>
              <w:tabs>
                <w:tab w:val="clear" w:pos="567"/>
              </w:tabs>
              <w:ind w:left="226" w:hanging="226"/>
            </w:pPr>
            <w:r>
              <w:t>•</w:t>
            </w:r>
            <w:r>
              <w:tab/>
              <w:t>by a recreational vessel, an amount calculated using standard Rate 2</w:t>
            </w:r>
          </w:p>
        </w:tc>
        <w:tc>
          <w:tcPr>
            <w:tcW w:w="1301" w:type="dxa"/>
          </w:tcPr>
          <w:p>
            <w:pPr>
              <w:pStyle w:val="yTableNAm"/>
              <w:jc w:val="center"/>
            </w:pPr>
          </w:p>
        </w:tc>
      </w:tr>
      <w:tr>
        <w:trPr>
          <w:cantSplit/>
        </w:trPr>
        <w:tc>
          <w:tcPr>
            <w:tcW w:w="700" w:type="dxa"/>
            <w:tcBorders>
              <w:bottom w:val="single" w:sz="4" w:space="0" w:color="auto"/>
            </w:tcBorders>
          </w:tcPr>
          <w:p>
            <w:pPr>
              <w:pStyle w:val="yTableNAm"/>
            </w:pPr>
            <w:r>
              <w:t>3.</w:t>
            </w:r>
          </w:p>
        </w:tc>
        <w:tc>
          <w:tcPr>
            <w:tcW w:w="3682" w:type="dxa"/>
            <w:tcBorders>
              <w:bottom w:val="single" w:sz="4" w:space="0" w:color="auto"/>
            </w:tcBorders>
          </w:tcPr>
          <w:p>
            <w:pPr>
              <w:pStyle w:val="yTableNAm"/>
            </w:pPr>
            <w:r>
              <w:t>For the short term use of a service wharf or jetty, an amount calculated using standard Rate 3</w:t>
            </w:r>
          </w:p>
        </w:tc>
        <w:tc>
          <w:tcPr>
            <w:tcW w:w="1301" w:type="dxa"/>
            <w:tcBorders>
              <w:bottom w:val="single" w:sz="4" w:space="0" w:color="auto"/>
            </w:tcBorders>
          </w:tcPr>
          <w:p>
            <w:pPr>
              <w:pStyle w:val="yTableNAm"/>
              <w:jc w:val="center"/>
            </w:pPr>
          </w:p>
        </w:tc>
      </w:tr>
    </w:tbl>
    <w:p>
      <w:pPr>
        <w:pStyle w:val="yFootnotesection"/>
      </w:pPr>
      <w:bookmarkStart w:id="211" w:name="_Toc402879111"/>
      <w:r>
        <w:tab/>
        <w:t>[Clause 4 inserted in Gazette 22 Jul 2015 p. 2958.]</w:t>
      </w:r>
    </w:p>
    <w:p>
      <w:pPr>
        <w:pStyle w:val="yHeading5"/>
      </w:pPr>
      <w:bookmarkStart w:id="212" w:name="_Toc425338078"/>
      <w:r>
        <w:rPr>
          <w:rStyle w:val="CharSClsNo"/>
        </w:rPr>
        <w:t>5</w:t>
      </w:r>
      <w:r>
        <w:t>.</w:t>
      </w:r>
      <w:r>
        <w:tab/>
      </w:r>
      <w:smartTag w:uri="urn:schemas-microsoft-com:office:smarttags" w:element="place">
        <w:smartTag w:uri="urn:schemas-microsoft-com:office:smarttags" w:element="PlaceName">
          <w:r>
            <w:t>Bremer</w:t>
          </w:r>
        </w:smartTag>
        <w:r>
          <w:t xml:space="preserve"> Bay</w:t>
        </w:r>
      </w:smartTag>
      <w:bookmarkEnd w:id="211"/>
      <w:bookmarkEnd w:id="212"/>
    </w:p>
    <w:p>
      <w:pPr>
        <w:pStyle w:val="ySubsection"/>
      </w:pPr>
      <w:r>
        <w:tab/>
        <w:t>(1)</w:t>
      </w:r>
      <w:r>
        <w:tab/>
        <w:t xml:space="preserve">This clause applies to </w:t>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r>
        <w:t>.</w:t>
      </w:r>
    </w:p>
    <w:p>
      <w:pPr>
        <w:pStyle w:val="ySubsection"/>
      </w:pPr>
      <w:r>
        <w:tab/>
        <w:t>(2)</w:t>
      </w:r>
      <w:r>
        <w:tab/>
        <w:t>The berthing dues to be paid under these regulations are set out in Table 5.1.</w:t>
      </w:r>
    </w:p>
    <w:p>
      <w:pPr>
        <w:pStyle w:val="yTHeadingNAm"/>
      </w:pPr>
      <w:r>
        <w:t>Table 5.1 (Alongside berthing)</w:t>
      </w:r>
    </w:p>
    <w:tbl>
      <w:tblPr>
        <w:tblW w:w="5683" w:type="dxa"/>
        <w:tblInd w:w="1009" w:type="dxa"/>
        <w:tblLayout w:type="fixed"/>
        <w:tblCellMar>
          <w:top w:w="57" w:type="dxa"/>
          <w:left w:w="57" w:type="dxa"/>
          <w:right w:w="57" w:type="dxa"/>
        </w:tblCellMar>
        <w:tblLook w:val="0000" w:firstRow="0" w:lastRow="0" w:firstColumn="0" w:lastColumn="0" w:noHBand="0" w:noVBand="0"/>
      </w:tblPr>
      <w:tblGrid>
        <w:gridCol w:w="686"/>
        <w:gridCol w:w="3668"/>
        <w:gridCol w:w="1329"/>
      </w:tblGrid>
      <w:tr>
        <w:trPr>
          <w:cantSplit/>
          <w:tblHeader/>
        </w:trPr>
        <w:tc>
          <w:tcPr>
            <w:tcW w:w="686" w:type="dxa"/>
            <w:tcBorders>
              <w:top w:val="single" w:sz="4" w:space="0" w:color="auto"/>
              <w:bottom w:val="single" w:sz="4" w:space="0" w:color="auto"/>
            </w:tcBorders>
          </w:tcPr>
          <w:p>
            <w:pPr>
              <w:pStyle w:val="yTableNAm"/>
            </w:pPr>
            <w:r>
              <w:rPr>
                <w:b/>
              </w:rPr>
              <w:t>Item</w:t>
            </w:r>
          </w:p>
        </w:tc>
        <w:tc>
          <w:tcPr>
            <w:tcW w:w="3668" w:type="dxa"/>
            <w:tcBorders>
              <w:top w:val="single" w:sz="4" w:space="0" w:color="auto"/>
              <w:bottom w:val="single" w:sz="4" w:space="0" w:color="auto"/>
            </w:tcBorders>
          </w:tcPr>
          <w:p>
            <w:pPr>
              <w:pStyle w:val="yTableNAm"/>
            </w:pPr>
            <w:r>
              <w:rPr>
                <w:b/>
              </w:rPr>
              <w:t>Service</w:t>
            </w:r>
          </w:p>
        </w:tc>
        <w:tc>
          <w:tcPr>
            <w:tcW w:w="1329" w:type="dxa"/>
            <w:tcBorders>
              <w:top w:val="single" w:sz="4" w:space="0" w:color="auto"/>
              <w:bottom w:val="single" w:sz="4" w:space="0" w:color="auto"/>
            </w:tcBorders>
          </w:tcPr>
          <w:p>
            <w:pPr>
              <w:pStyle w:val="yTableNAm"/>
              <w:jc w:val="center"/>
            </w:pPr>
            <w:r>
              <w:rPr>
                <w:b/>
              </w:rPr>
              <w:t>$</w:t>
            </w:r>
          </w:p>
        </w:tc>
      </w:tr>
      <w:tr>
        <w:trPr>
          <w:cantSplit/>
        </w:trPr>
        <w:tc>
          <w:tcPr>
            <w:tcW w:w="686" w:type="dxa"/>
          </w:tcPr>
          <w:p>
            <w:pPr>
              <w:pStyle w:val="yTableNAm"/>
            </w:pPr>
            <w:r>
              <w:t>1.</w:t>
            </w:r>
          </w:p>
        </w:tc>
        <w:tc>
          <w:tcPr>
            <w:tcW w:w="3668" w:type="dxa"/>
          </w:tcPr>
          <w:p>
            <w:pPr>
              <w:pStyle w:val="yTableNAm"/>
            </w:pPr>
            <w:r>
              <w:t xml:space="preserve">For the casual daily use of an alongside berth — </w:t>
            </w:r>
          </w:p>
        </w:tc>
        <w:tc>
          <w:tcPr>
            <w:tcW w:w="1329" w:type="dxa"/>
          </w:tcPr>
          <w:p>
            <w:pPr>
              <w:pStyle w:val="yTableNAm"/>
              <w:jc w:val="center"/>
            </w:pPr>
          </w:p>
        </w:tc>
      </w:tr>
      <w:tr>
        <w:trPr>
          <w:cantSplit/>
        </w:trPr>
        <w:tc>
          <w:tcPr>
            <w:tcW w:w="686" w:type="dxa"/>
          </w:tcPr>
          <w:p>
            <w:pPr>
              <w:pStyle w:val="zyTableNAm"/>
            </w:pPr>
          </w:p>
        </w:tc>
        <w:tc>
          <w:tcPr>
            <w:tcW w:w="3668" w:type="dxa"/>
          </w:tcPr>
          <w:p>
            <w:pPr>
              <w:pStyle w:val="yTableNAm"/>
              <w:tabs>
                <w:tab w:val="clear" w:pos="567"/>
              </w:tabs>
              <w:ind w:left="226" w:hanging="226"/>
            </w:pPr>
            <w:r>
              <w:t>•</w:t>
            </w:r>
            <w:r>
              <w:tab/>
              <w:t>by a commercial vessel, an amount calculated using standard Rate 1</w:t>
            </w:r>
          </w:p>
        </w:tc>
        <w:tc>
          <w:tcPr>
            <w:tcW w:w="1329" w:type="dxa"/>
          </w:tcPr>
          <w:p>
            <w:pPr>
              <w:pStyle w:val="yTableNAm"/>
              <w:jc w:val="center"/>
            </w:pPr>
          </w:p>
        </w:tc>
      </w:tr>
      <w:tr>
        <w:trPr>
          <w:cantSplit/>
        </w:trPr>
        <w:tc>
          <w:tcPr>
            <w:tcW w:w="686" w:type="dxa"/>
          </w:tcPr>
          <w:p>
            <w:pPr>
              <w:pStyle w:val="zyTableNAm"/>
            </w:pPr>
          </w:p>
        </w:tc>
        <w:tc>
          <w:tcPr>
            <w:tcW w:w="3668" w:type="dxa"/>
          </w:tcPr>
          <w:p>
            <w:pPr>
              <w:pStyle w:val="yTableNAm"/>
              <w:tabs>
                <w:tab w:val="clear" w:pos="567"/>
              </w:tabs>
              <w:ind w:left="226" w:hanging="226"/>
            </w:pPr>
            <w:r>
              <w:t>•</w:t>
            </w:r>
            <w:r>
              <w:tab/>
              <w:t>by a recreational vessel, an amount calculated using standard Rate 2</w:t>
            </w:r>
          </w:p>
        </w:tc>
        <w:tc>
          <w:tcPr>
            <w:tcW w:w="1329" w:type="dxa"/>
          </w:tcPr>
          <w:p>
            <w:pPr>
              <w:pStyle w:val="yTableNAm"/>
              <w:jc w:val="center"/>
            </w:pPr>
          </w:p>
        </w:tc>
      </w:tr>
      <w:tr>
        <w:trPr>
          <w:cantSplit/>
        </w:trPr>
        <w:tc>
          <w:tcPr>
            <w:tcW w:w="686" w:type="dxa"/>
            <w:tcBorders>
              <w:bottom w:val="single" w:sz="4" w:space="0" w:color="auto"/>
            </w:tcBorders>
          </w:tcPr>
          <w:p>
            <w:pPr>
              <w:pStyle w:val="yTableNAm"/>
            </w:pPr>
            <w:r>
              <w:t>2.</w:t>
            </w:r>
          </w:p>
        </w:tc>
        <w:tc>
          <w:tcPr>
            <w:tcW w:w="3668" w:type="dxa"/>
            <w:tcBorders>
              <w:bottom w:val="single" w:sz="4" w:space="0" w:color="auto"/>
            </w:tcBorders>
          </w:tcPr>
          <w:p>
            <w:pPr>
              <w:pStyle w:val="yTableNAm"/>
            </w:pPr>
            <w:r>
              <w:t>For the short term use of a service wharf or jetty by a vessel for which a swing mooring fee has not been paid, an amount calculated using standard Rate 3</w:t>
            </w:r>
          </w:p>
        </w:tc>
        <w:tc>
          <w:tcPr>
            <w:tcW w:w="1329" w:type="dxa"/>
            <w:tcBorders>
              <w:bottom w:val="single" w:sz="4" w:space="0" w:color="auto"/>
            </w:tcBorders>
          </w:tcPr>
          <w:p>
            <w:pPr>
              <w:pStyle w:val="yTableNAm"/>
              <w:jc w:val="center"/>
            </w:pPr>
          </w:p>
        </w:tc>
      </w:tr>
    </w:tbl>
    <w:p>
      <w:pPr>
        <w:pStyle w:val="yFootnotesection"/>
      </w:pPr>
      <w:bookmarkStart w:id="213" w:name="_Toc402879112"/>
      <w:r>
        <w:tab/>
        <w:t>[Clause 5 inserted in Gazette 22 Jul 2015 p. 2959.]</w:t>
      </w:r>
    </w:p>
    <w:p>
      <w:pPr>
        <w:pStyle w:val="yHeading5"/>
      </w:pPr>
      <w:bookmarkStart w:id="214" w:name="_Toc425338079"/>
      <w:r>
        <w:rPr>
          <w:rStyle w:val="CharSClsNo"/>
        </w:rPr>
        <w:t>6</w:t>
      </w:r>
      <w:r>
        <w:t>.</w:t>
      </w:r>
      <w:r>
        <w:tab/>
        <w:t xml:space="preserve">Bunbury, </w:t>
      </w:r>
      <w:smartTag w:uri="urn:schemas-microsoft-com:office:smarttags" w:element="PlaceName">
        <w:r>
          <w:t>Casuarina</w:t>
        </w:r>
      </w:smartTag>
      <w:r>
        <w:t xml:space="preserve"> </w:t>
      </w:r>
      <w:smartTag w:uri="urn:schemas-microsoft-com:office:smarttags" w:element="PlaceName">
        <w:r>
          <w:t>Boat</w:t>
        </w:r>
      </w:smartTag>
      <w:r>
        <w:t xml:space="preserve"> Harbour</w:t>
      </w:r>
      <w:bookmarkEnd w:id="213"/>
      <w:bookmarkEnd w:id="214"/>
    </w:p>
    <w:p>
      <w:pPr>
        <w:pStyle w:val="ySubsection"/>
      </w:pPr>
      <w:r>
        <w:tab/>
        <w:t>(1)</w:t>
      </w:r>
      <w:r>
        <w:tab/>
        <w:t xml:space="preserve">This clause applies to the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Bunbury.</w:t>
      </w:r>
    </w:p>
    <w:p>
      <w:pPr>
        <w:pStyle w:val="ySubsection"/>
      </w:pPr>
      <w:r>
        <w:tab/>
        <w:t>(2)</w:t>
      </w:r>
      <w:r>
        <w:tab/>
        <w:t>The dues and charges to be paid under these regulations are set out in Table 6.1.</w:t>
      </w:r>
    </w:p>
    <w:p>
      <w:pPr>
        <w:pStyle w:val="yTHeadingNAm"/>
      </w:pPr>
      <w:r>
        <w:t>Table 6.1 (Pen use and alongside berthing)</w:t>
      </w:r>
    </w:p>
    <w:tbl>
      <w:tblPr>
        <w:tblW w:w="5669" w:type="dxa"/>
        <w:tblInd w:w="995" w:type="dxa"/>
        <w:tblLayout w:type="fixed"/>
        <w:tblCellMar>
          <w:top w:w="57" w:type="dxa"/>
          <w:left w:w="57" w:type="dxa"/>
          <w:right w:w="57" w:type="dxa"/>
        </w:tblCellMar>
        <w:tblLook w:val="0000" w:firstRow="0" w:lastRow="0" w:firstColumn="0" w:lastColumn="0" w:noHBand="0" w:noVBand="0"/>
      </w:tblPr>
      <w:tblGrid>
        <w:gridCol w:w="700"/>
        <w:gridCol w:w="3668"/>
        <w:gridCol w:w="1301"/>
      </w:tblGrid>
      <w:tr>
        <w:trPr>
          <w:cantSplit/>
          <w:tblHeader/>
        </w:trPr>
        <w:tc>
          <w:tcPr>
            <w:tcW w:w="700" w:type="dxa"/>
            <w:tcBorders>
              <w:top w:val="single" w:sz="4" w:space="0" w:color="auto"/>
              <w:bottom w:val="single" w:sz="4" w:space="0" w:color="auto"/>
            </w:tcBorders>
          </w:tcPr>
          <w:p>
            <w:pPr>
              <w:pStyle w:val="yTableNAm"/>
            </w:pPr>
            <w:r>
              <w:rPr>
                <w:b/>
              </w:rPr>
              <w:t>Item</w:t>
            </w:r>
          </w:p>
        </w:tc>
        <w:tc>
          <w:tcPr>
            <w:tcW w:w="3668" w:type="dxa"/>
            <w:tcBorders>
              <w:top w:val="single" w:sz="4" w:space="0" w:color="auto"/>
              <w:bottom w:val="single" w:sz="4" w:space="0" w:color="auto"/>
            </w:tcBorders>
          </w:tcPr>
          <w:p>
            <w:pPr>
              <w:pStyle w:val="yTableNAm"/>
            </w:pPr>
            <w:r>
              <w:rPr>
                <w:b/>
              </w:rPr>
              <w:t>Service</w:t>
            </w:r>
          </w:p>
        </w:tc>
        <w:tc>
          <w:tcPr>
            <w:tcW w:w="1301"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3668" w:type="dxa"/>
          </w:tcPr>
          <w:p>
            <w:pPr>
              <w:pStyle w:val="yTableNAm"/>
            </w:pPr>
            <w:r>
              <w:t>For the use, other than casual daily use, of a pen, an amount calculated per metre of the pen’s length using the annual rate of</w:t>
            </w:r>
          </w:p>
        </w:tc>
        <w:tc>
          <w:tcPr>
            <w:tcW w:w="1301" w:type="dxa"/>
          </w:tcPr>
          <w:p>
            <w:pPr>
              <w:pStyle w:val="yTableNAm"/>
              <w:jc w:val="center"/>
            </w:pPr>
            <w:r>
              <w:br/>
            </w:r>
            <w:r>
              <w:br/>
              <w:t>329.37</w:t>
            </w:r>
          </w:p>
        </w:tc>
      </w:tr>
      <w:tr>
        <w:trPr>
          <w:cantSplit/>
        </w:trPr>
        <w:tc>
          <w:tcPr>
            <w:tcW w:w="700" w:type="dxa"/>
          </w:tcPr>
          <w:p>
            <w:pPr>
              <w:pStyle w:val="yTableNAm"/>
            </w:pPr>
            <w:r>
              <w:t>2.</w:t>
            </w:r>
          </w:p>
        </w:tc>
        <w:tc>
          <w:tcPr>
            <w:tcW w:w="3668" w:type="dxa"/>
          </w:tcPr>
          <w:p>
            <w:pPr>
              <w:pStyle w:val="yTableNAm"/>
            </w:pPr>
            <w:r>
              <w:t>For the use, other than casual daily use, of an alongside berth, an amount calculated per metre of the vessel’s length using the annual rate of</w:t>
            </w:r>
          </w:p>
        </w:tc>
        <w:tc>
          <w:tcPr>
            <w:tcW w:w="1301" w:type="dxa"/>
          </w:tcPr>
          <w:p>
            <w:pPr>
              <w:pStyle w:val="yTableNAm"/>
              <w:jc w:val="center"/>
            </w:pPr>
            <w:r>
              <w:br/>
            </w:r>
            <w:r>
              <w:br/>
            </w:r>
            <w:r>
              <w:br/>
              <w:t>329.37</w:t>
            </w:r>
          </w:p>
        </w:tc>
      </w:tr>
      <w:tr>
        <w:trPr>
          <w:cantSplit/>
        </w:trPr>
        <w:tc>
          <w:tcPr>
            <w:tcW w:w="700" w:type="dxa"/>
          </w:tcPr>
          <w:p>
            <w:pPr>
              <w:pStyle w:val="yTableNAm"/>
            </w:pPr>
            <w:r>
              <w:t>3.</w:t>
            </w:r>
          </w:p>
        </w:tc>
        <w:tc>
          <w:tcPr>
            <w:tcW w:w="3668" w:type="dxa"/>
          </w:tcPr>
          <w:p>
            <w:pPr>
              <w:pStyle w:val="yTableNAm"/>
            </w:pPr>
            <w:r>
              <w:t>For the casual daily use of a pen or alongside berth by a commercial vessel, an amount calculated using standard Rate 1</w:t>
            </w:r>
          </w:p>
        </w:tc>
        <w:tc>
          <w:tcPr>
            <w:tcW w:w="1301" w:type="dxa"/>
          </w:tcPr>
          <w:p>
            <w:pPr>
              <w:pStyle w:val="yTableNAm"/>
              <w:jc w:val="center"/>
            </w:pPr>
          </w:p>
        </w:tc>
      </w:tr>
      <w:tr>
        <w:trPr>
          <w:cantSplit/>
        </w:trPr>
        <w:tc>
          <w:tcPr>
            <w:tcW w:w="700" w:type="dxa"/>
          </w:tcPr>
          <w:p>
            <w:pPr>
              <w:pStyle w:val="yTableNAm"/>
            </w:pPr>
            <w:r>
              <w:t>4.</w:t>
            </w:r>
          </w:p>
        </w:tc>
        <w:tc>
          <w:tcPr>
            <w:tcW w:w="3668" w:type="dxa"/>
          </w:tcPr>
          <w:p>
            <w:pPr>
              <w:pStyle w:val="yTableNAm"/>
            </w:pPr>
            <w:r>
              <w:t>For the casual daily use of a pen or alongside berth by a recreational vessel, an amount calculated using standard Rate 2</w:t>
            </w:r>
          </w:p>
        </w:tc>
        <w:tc>
          <w:tcPr>
            <w:tcW w:w="1301" w:type="dxa"/>
          </w:tcPr>
          <w:p>
            <w:pPr>
              <w:pStyle w:val="yTableNAm"/>
              <w:jc w:val="center"/>
            </w:pPr>
          </w:p>
        </w:tc>
      </w:tr>
      <w:tr>
        <w:trPr>
          <w:cantSplit/>
        </w:trPr>
        <w:tc>
          <w:tcPr>
            <w:tcW w:w="700" w:type="dxa"/>
            <w:tcBorders>
              <w:bottom w:val="single" w:sz="4" w:space="0" w:color="auto"/>
            </w:tcBorders>
          </w:tcPr>
          <w:p>
            <w:pPr>
              <w:pStyle w:val="yTableNAm"/>
            </w:pPr>
            <w:r>
              <w:t>5.</w:t>
            </w:r>
          </w:p>
        </w:tc>
        <w:tc>
          <w:tcPr>
            <w:tcW w:w="3668" w:type="dxa"/>
            <w:tcBorders>
              <w:bottom w:val="single" w:sz="4" w:space="0" w:color="auto"/>
            </w:tcBorders>
          </w:tcPr>
          <w:p>
            <w:pPr>
              <w:pStyle w:val="yTableNAm"/>
            </w:pPr>
            <w:r>
              <w:t>For the short term use of a service wharf or jetty, an amount calculated using standard Rate 3</w:t>
            </w:r>
          </w:p>
        </w:tc>
        <w:tc>
          <w:tcPr>
            <w:tcW w:w="1301" w:type="dxa"/>
            <w:tcBorders>
              <w:bottom w:val="single" w:sz="4" w:space="0" w:color="auto"/>
            </w:tcBorders>
          </w:tcPr>
          <w:p>
            <w:pPr>
              <w:pStyle w:val="yTableNAm"/>
              <w:jc w:val="center"/>
            </w:pPr>
          </w:p>
        </w:tc>
      </w:tr>
    </w:tbl>
    <w:p>
      <w:pPr>
        <w:pStyle w:val="yFootnotesection"/>
      </w:pPr>
      <w:bookmarkStart w:id="215" w:name="_Toc402879113"/>
      <w:r>
        <w:tab/>
        <w:t>[Clause 6 inserted in Gazette 22 Jul 2015 p. 2959</w:t>
      </w:r>
      <w:r>
        <w:noBreakHyphen/>
        <w:t>60.]</w:t>
      </w:r>
    </w:p>
    <w:p>
      <w:pPr>
        <w:pStyle w:val="yHeading5"/>
      </w:pPr>
      <w:bookmarkStart w:id="216" w:name="_Toc425338080"/>
      <w:r>
        <w:rPr>
          <w:rStyle w:val="CharSClsNo"/>
        </w:rPr>
        <w:t>7</w:t>
      </w:r>
      <w:r>
        <w:t>.</w:t>
      </w:r>
      <w:r>
        <w:tab/>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215"/>
      <w:bookmarkEnd w:id="216"/>
    </w:p>
    <w:p>
      <w:pPr>
        <w:pStyle w:val="ySubsection"/>
      </w:pPr>
      <w:r>
        <w:tab/>
        <w:t>(1)</w:t>
      </w:r>
      <w:r>
        <w:tab/>
        <w:t xml:space="preserve">This clause applies to the </w:t>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7.1.</w:t>
      </w:r>
    </w:p>
    <w:p>
      <w:pPr>
        <w:pStyle w:val="yTHeadingNAm"/>
      </w:pPr>
      <w:r>
        <w:t>Table 7.1 (Pen use, alongside berthing and mooring)</w:t>
      </w:r>
    </w:p>
    <w:tbl>
      <w:tblPr>
        <w:tblW w:w="5655" w:type="dxa"/>
        <w:tblInd w:w="1009" w:type="dxa"/>
        <w:tblLayout w:type="fixed"/>
        <w:tblCellMar>
          <w:top w:w="57" w:type="dxa"/>
          <w:left w:w="57" w:type="dxa"/>
          <w:right w:w="57" w:type="dxa"/>
        </w:tblCellMar>
        <w:tblLook w:val="0000" w:firstRow="0" w:lastRow="0" w:firstColumn="0" w:lastColumn="0" w:noHBand="0" w:noVBand="0"/>
      </w:tblPr>
      <w:tblGrid>
        <w:gridCol w:w="700"/>
        <w:gridCol w:w="3668"/>
        <w:gridCol w:w="1287"/>
      </w:tblGrid>
      <w:tr>
        <w:trPr>
          <w:cantSplit/>
          <w:tblHeader/>
        </w:trPr>
        <w:tc>
          <w:tcPr>
            <w:tcW w:w="700" w:type="dxa"/>
            <w:tcBorders>
              <w:top w:val="single" w:sz="4" w:space="0" w:color="auto"/>
              <w:bottom w:val="single" w:sz="4" w:space="0" w:color="auto"/>
            </w:tcBorders>
          </w:tcPr>
          <w:p>
            <w:pPr>
              <w:pStyle w:val="yTableNAm"/>
            </w:pPr>
            <w:r>
              <w:rPr>
                <w:b/>
              </w:rPr>
              <w:t>Item</w:t>
            </w:r>
          </w:p>
        </w:tc>
        <w:tc>
          <w:tcPr>
            <w:tcW w:w="3668" w:type="dxa"/>
            <w:tcBorders>
              <w:top w:val="single" w:sz="4" w:space="0" w:color="auto"/>
              <w:bottom w:val="single" w:sz="4" w:space="0" w:color="auto"/>
            </w:tcBorders>
          </w:tcPr>
          <w:p>
            <w:pPr>
              <w:pStyle w:val="yTableNAm"/>
            </w:pPr>
            <w:r>
              <w:rPr>
                <w:b/>
              </w:rPr>
              <w:t>Service</w:t>
            </w:r>
          </w:p>
        </w:tc>
        <w:tc>
          <w:tcPr>
            <w:tcW w:w="1287"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3668" w:type="dxa"/>
          </w:tcPr>
          <w:p>
            <w:pPr>
              <w:pStyle w:val="yTableNAm"/>
            </w:pPr>
            <w:r>
              <w:t>For the use, other than casual daily use, of a pen with a walkway, an amount calculated per metre of the pen’s length using the annual rate of</w:t>
            </w:r>
          </w:p>
        </w:tc>
        <w:tc>
          <w:tcPr>
            <w:tcW w:w="1287" w:type="dxa"/>
          </w:tcPr>
          <w:p>
            <w:pPr>
              <w:pStyle w:val="yTableNAm"/>
              <w:jc w:val="center"/>
            </w:pPr>
            <w:r>
              <w:br/>
            </w:r>
            <w:r>
              <w:br/>
            </w:r>
            <w:r>
              <w:br/>
              <w:t>250.18</w:t>
            </w:r>
          </w:p>
        </w:tc>
      </w:tr>
      <w:tr>
        <w:trPr>
          <w:cantSplit/>
        </w:trPr>
        <w:tc>
          <w:tcPr>
            <w:tcW w:w="700" w:type="dxa"/>
          </w:tcPr>
          <w:p>
            <w:pPr>
              <w:pStyle w:val="yTableNAm"/>
            </w:pPr>
            <w:r>
              <w:t>2.</w:t>
            </w:r>
          </w:p>
        </w:tc>
        <w:tc>
          <w:tcPr>
            <w:tcW w:w="3668" w:type="dxa"/>
          </w:tcPr>
          <w:p>
            <w:pPr>
              <w:pStyle w:val="yTableNAm"/>
            </w:pPr>
            <w:r>
              <w:t>For the use, other than casual daily use, of a pen without a walkway, an amount calculated per metre of the pen’s length using the annual rate of</w:t>
            </w:r>
          </w:p>
        </w:tc>
        <w:tc>
          <w:tcPr>
            <w:tcW w:w="1287" w:type="dxa"/>
          </w:tcPr>
          <w:p>
            <w:pPr>
              <w:pStyle w:val="yTableNAm"/>
              <w:jc w:val="center"/>
            </w:pPr>
            <w:r>
              <w:br/>
            </w:r>
            <w:r>
              <w:br/>
            </w:r>
            <w:r>
              <w:br/>
              <w:t>228.21</w:t>
            </w:r>
          </w:p>
        </w:tc>
      </w:tr>
      <w:tr>
        <w:trPr>
          <w:cantSplit/>
        </w:trPr>
        <w:tc>
          <w:tcPr>
            <w:tcW w:w="700" w:type="dxa"/>
          </w:tcPr>
          <w:p>
            <w:pPr>
              <w:pStyle w:val="yTableNAm"/>
            </w:pPr>
            <w:r>
              <w:t>3.</w:t>
            </w:r>
          </w:p>
        </w:tc>
        <w:tc>
          <w:tcPr>
            <w:tcW w:w="3668" w:type="dxa"/>
          </w:tcPr>
          <w:p>
            <w:pPr>
              <w:pStyle w:val="yTableNAm"/>
            </w:pPr>
            <w:r>
              <w:t>For the use, other than casual daily use, of an alongside berth, an amount calculated per metre of the vessel’s length using the annual rate of</w:t>
            </w:r>
          </w:p>
        </w:tc>
        <w:tc>
          <w:tcPr>
            <w:tcW w:w="1287" w:type="dxa"/>
          </w:tcPr>
          <w:p>
            <w:pPr>
              <w:pStyle w:val="yTableNAm"/>
              <w:jc w:val="center"/>
            </w:pPr>
            <w:r>
              <w:br/>
            </w:r>
            <w:r>
              <w:br/>
            </w:r>
            <w:r>
              <w:br/>
              <w:t>294.43</w:t>
            </w:r>
          </w:p>
        </w:tc>
      </w:tr>
      <w:tr>
        <w:trPr>
          <w:cantSplit/>
        </w:trPr>
        <w:tc>
          <w:tcPr>
            <w:tcW w:w="700" w:type="dxa"/>
          </w:tcPr>
          <w:p>
            <w:pPr>
              <w:pStyle w:val="yTableNAm"/>
            </w:pPr>
            <w:r>
              <w:t>4.</w:t>
            </w:r>
          </w:p>
        </w:tc>
        <w:tc>
          <w:tcPr>
            <w:tcW w:w="3668" w:type="dxa"/>
          </w:tcPr>
          <w:p>
            <w:pPr>
              <w:pStyle w:val="yTableNAm"/>
            </w:pPr>
            <w:r>
              <w:t>For the use of the T</w:t>
            </w:r>
            <w:r>
              <w:noBreakHyphen/>
              <w:t>jetty, T</w:t>
            </w:r>
            <w:r>
              <w:noBreakHyphen/>
              <w:t>jetty pen and land</w:t>
            </w:r>
            <w:r>
              <w:noBreakHyphen/>
              <w:t>backed wharf by a commercial vessel, an amount calculated per metre of the vessel’s length using the annual rate of</w:t>
            </w:r>
          </w:p>
        </w:tc>
        <w:tc>
          <w:tcPr>
            <w:tcW w:w="1287" w:type="dxa"/>
          </w:tcPr>
          <w:p>
            <w:pPr>
              <w:pStyle w:val="yTableNAm"/>
              <w:jc w:val="center"/>
            </w:pPr>
            <w:r>
              <w:br/>
            </w:r>
            <w:r>
              <w:br/>
            </w:r>
            <w:r>
              <w:br/>
              <w:t>294.43</w:t>
            </w:r>
          </w:p>
        </w:tc>
      </w:tr>
      <w:tr>
        <w:trPr>
          <w:cantSplit/>
        </w:trPr>
        <w:tc>
          <w:tcPr>
            <w:tcW w:w="700" w:type="dxa"/>
          </w:tcPr>
          <w:p>
            <w:pPr>
              <w:pStyle w:val="yTableNAm"/>
            </w:pPr>
            <w:r>
              <w:t>5.</w:t>
            </w:r>
          </w:p>
        </w:tc>
        <w:tc>
          <w:tcPr>
            <w:tcW w:w="3668" w:type="dxa"/>
          </w:tcPr>
          <w:p>
            <w:pPr>
              <w:pStyle w:val="yTableNAm"/>
            </w:pPr>
            <w:r>
              <w:t>For the casual daily use of the T</w:t>
            </w:r>
            <w:r>
              <w:noBreakHyphen/>
              <w:t>jetty, T</w:t>
            </w:r>
            <w:r>
              <w:noBreakHyphen/>
              <w:t>jetty pen and land</w:t>
            </w:r>
            <w:r>
              <w:noBreakHyphen/>
              <w:t>backed wharf by a commercial vessel, an amount calculated using standard Rate 1</w:t>
            </w:r>
          </w:p>
        </w:tc>
        <w:tc>
          <w:tcPr>
            <w:tcW w:w="1287" w:type="dxa"/>
          </w:tcPr>
          <w:p>
            <w:pPr>
              <w:pStyle w:val="yTableNAm"/>
              <w:jc w:val="center"/>
            </w:pPr>
          </w:p>
        </w:tc>
      </w:tr>
      <w:tr>
        <w:trPr>
          <w:cantSplit/>
        </w:trPr>
        <w:tc>
          <w:tcPr>
            <w:tcW w:w="700" w:type="dxa"/>
          </w:tcPr>
          <w:p>
            <w:pPr>
              <w:pStyle w:val="yTableNAm"/>
            </w:pPr>
            <w:r>
              <w:t>6.</w:t>
            </w:r>
          </w:p>
        </w:tc>
        <w:tc>
          <w:tcPr>
            <w:tcW w:w="3668" w:type="dxa"/>
          </w:tcPr>
          <w:p>
            <w:pPr>
              <w:pStyle w:val="yTableNAm"/>
            </w:pPr>
            <w:r>
              <w:t>For the casual daily use of the snapper jetty, attached partly serviced pen and low level landing by a commercial vessel, an amount calculated using standard Rate 1</w:t>
            </w:r>
          </w:p>
        </w:tc>
        <w:tc>
          <w:tcPr>
            <w:tcW w:w="1287" w:type="dxa"/>
          </w:tcPr>
          <w:p>
            <w:pPr>
              <w:pStyle w:val="yTableNAm"/>
              <w:jc w:val="center"/>
            </w:pPr>
          </w:p>
        </w:tc>
      </w:tr>
      <w:tr>
        <w:trPr>
          <w:cantSplit/>
        </w:trPr>
        <w:tc>
          <w:tcPr>
            <w:tcW w:w="700" w:type="dxa"/>
          </w:tcPr>
          <w:p>
            <w:pPr>
              <w:pStyle w:val="yTableNAm"/>
            </w:pPr>
            <w:r>
              <w:t>7.</w:t>
            </w:r>
          </w:p>
        </w:tc>
        <w:tc>
          <w:tcPr>
            <w:tcW w:w="3668" w:type="dxa"/>
          </w:tcPr>
          <w:p>
            <w:pPr>
              <w:pStyle w:val="yTableNAm"/>
            </w:pPr>
            <w:r>
              <w:t>For the short term use of a service wharf or jetty by a vessel, an amount calculated using standard Rate 3</w:t>
            </w:r>
          </w:p>
        </w:tc>
        <w:tc>
          <w:tcPr>
            <w:tcW w:w="1287" w:type="dxa"/>
          </w:tcPr>
          <w:p>
            <w:pPr>
              <w:pStyle w:val="yTableNAm"/>
              <w:jc w:val="center"/>
            </w:pPr>
          </w:p>
        </w:tc>
      </w:tr>
      <w:tr>
        <w:trPr>
          <w:cantSplit/>
        </w:trPr>
        <w:tc>
          <w:tcPr>
            <w:tcW w:w="700" w:type="dxa"/>
          </w:tcPr>
          <w:p>
            <w:pPr>
              <w:pStyle w:val="yTableNAm"/>
            </w:pPr>
            <w:r>
              <w:t>8.</w:t>
            </w:r>
          </w:p>
        </w:tc>
        <w:tc>
          <w:tcPr>
            <w:tcW w:w="3668" w:type="dxa"/>
          </w:tcPr>
          <w:p>
            <w:pPr>
              <w:pStyle w:val="yTableNAm"/>
            </w:pPr>
            <w:r>
              <w:t>For the casual daily use of any pen not described in item 6 or 7 by a commercial vessel, an amount calculated using standard Rate 1</w:t>
            </w:r>
          </w:p>
        </w:tc>
        <w:tc>
          <w:tcPr>
            <w:tcW w:w="1287" w:type="dxa"/>
          </w:tcPr>
          <w:p>
            <w:pPr>
              <w:pStyle w:val="yTableNAm"/>
              <w:jc w:val="center"/>
            </w:pPr>
          </w:p>
        </w:tc>
      </w:tr>
      <w:tr>
        <w:trPr>
          <w:cantSplit/>
        </w:trPr>
        <w:tc>
          <w:tcPr>
            <w:tcW w:w="700" w:type="dxa"/>
          </w:tcPr>
          <w:p>
            <w:pPr>
              <w:pStyle w:val="yTableNAm"/>
            </w:pPr>
            <w:r>
              <w:t>9.</w:t>
            </w:r>
          </w:p>
        </w:tc>
        <w:tc>
          <w:tcPr>
            <w:tcW w:w="3668" w:type="dxa"/>
          </w:tcPr>
          <w:p>
            <w:pPr>
              <w:pStyle w:val="yTableNAm"/>
            </w:pPr>
            <w:r>
              <w:t>For the casual daily use of any pen or alongside berth by a recreational vessel, an amount calculated using standard Rate 2</w:t>
            </w:r>
          </w:p>
        </w:tc>
        <w:tc>
          <w:tcPr>
            <w:tcW w:w="1287" w:type="dxa"/>
          </w:tcPr>
          <w:p>
            <w:pPr>
              <w:pStyle w:val="yTableNAm"/>
              <w:jc w:val="center"/>
            </w:pPr>
          </w:p>
        </w:tc>
      </w:tr>
      <w:tr>
        <w:trPr>
          <w:cantSplit/>
        </w:trPr>
        <w:tc>
          <w:tcPr>
            <w:tcW w:w="700" w:type="dxa"/>
            <w:tcBorders>
              <w:bottom w:val="single" w:sz="4" w:space="0" w:color="auto"/>
            </w:tcBorders>
          </w:tcPr>
          <w:p>
            <w:pPr>
              <w:pStyle w:val="yTableNAm"/>
            </w:pPr>
            <w:r>
              <w:t>10.</w:t>
            </w:r>
          </w:p>
        </w:tc>
        <w:tc>
          <w:tcPr>
            <w:tcW w:w="3668" w:type="dxa"/>
            <w:tcBorders>
              <w:bottom w:val="single" w:sz="4" w:space="0" w:color="auto"/>
            </w:tcBorders>
          </w:tcPr>
          <w:p>
            <w:pPr>
              <w:pStyle w:val="yTableNAm"/>
            </w:pPr>
            <w:r>
              <w:t>For the use of a pile mooring, an amount calculated per metre of the vessel’s length using the annual rate of</w:t>
            </w:r>
          </w:p>
        </w:tc>
        <w:tc>
          <w:tcPr>
            <w:tcW w:w="1287" w:type="dxa"/>
            <w:tcBorders>
              <w:bottom w:val="single" w:sz="4" w:space="0" w:color="auto"/>
            </w:tcBorders>
          </w:tcPr>
          <w:p>
            <w:pPr>
              <w:pStyle w:val="yTableNAm"/>
              <w:jc w:val="center"/>
            </w:pPr>
            <w:r>
              <w:br/>
            </w:r>
            <w:r>
              <w:br/>
              <w:t>139.49</w:t>
            </w:r>
          </w:p>
        </w:tc>
      </w:tr>
    </w:tbl>
    <w:p>
      <w:pPr>
        <w:pStyle w:val="yFootnotesection"/>
      </w:pPr>
      <w:bookmarkStart w:id="217" w:name="_Toc402879114"/>
      <w:r>
        <w:tab/>
        <w:t>[Clause 7 inserted in Gazette 22 Jul 2015 p. 2960</w:t>
      </w:r>
      <w:r>
        <w:noBreakHyphen/>
        <w:t>1.]</w:t>
      </w:r>
    </w:p>
    <w:p>
      <w:pPr>
        <w:pStyle w:val="yHeading5"/>
      </w:pPr>
      <w:bookmarkStart w:id="218" w:name="_Toc425338081"/>
      <w:r>
        <w:rPr>
          <w:rStyle w:val="CharSClsNo"/>
        </w:rPr>
        <w:t>8</w:t>
      </w:r>
      <w:r>
        <w:t>.</w:t>
      </w:r>
      <w:r>
        <w:tab/>
        <w:t>Cervantes</w:t>
      </w:r>
      <w:bookmarkEnd w:id="217"/>
      <w:bookmarkEnd w:id="218"/>
    </w:p>
    <w:p>
      <w:pPr>
        <w:pStyle w:val="ySubsection"/>
      </w:pPr>
      <w:r>
        <w:tab/>
        <w:t>(1)</w:t>
      </w:r>
      <w:r>
        <w:tab/>
        <w:t>This clause applies to Cervantes.</w:t>
      </w:r>
    </w:p>
    <w:p>
      <w:pPr>
        <w:pStyle w:val="ySubsection"/>
      </w:pPr>
      <w:r>
        <w:tab/>
        <w:t>(2)</w:t>
      </w:r>
      <w:r>
        <w:tab/>
        <w:t>The berthing dues to be paid under these regulations are set out in Table 8.1.</w:t>
      </w:r>
    </w:p>
    <w:p>
      <w:pPr>
        <w:pStyle w:val="yTHeadingNAm"/>
      </w:pPr>
      <w:r>
        <w:t>Table 8.1 (Alongside berthing)</w:t>
      </w:r>
    </w:p>
    <w:tbl>
      <w:tblPr>
        <w:tblW w:w="5669" w:type="dxa"/>
        <w:tblInd w:w="1009" w:type="dxa"/>
        <w:tblLayout w:type="fixed"/>
        <w:tblCellMar>
          <w:top w:w="57" w:type="dxa"/>
          <w:left w:w="57" w:type="dxa"/>
          <w:right w:w="57" w:type="dxa"/>
        </w:tblCellMar>
        <w:tblLook w:val="0000" w:firstRow="0" w:lastRow="0" w:firstColumn="0" w:lastColumn="0" w:noHBand="0" w:noVBand="0"/>
      </w:tblPr>
      <w:tblGrid>
        <w:gridCol w:w="700"/>
        <w:gridCol w:w="3654"/>
        <w:gridCol w:w="1315"/>
      </w:tblGrid>
      <w:tr>
        <w:trPr>
          <w:cantSplit/>
          <w:tblHeader/>
        </w:trPr>
        <w:tc>
          <w:tcPr>
            <w:tcW w:w="700" w:type="dxa"/>
            <w:tcBorders>
              <w:top w:val="single" w:sz="4" w:space="0" w:color="auto"/>
              <w:bottom w:val="single" w:sz="4" w:space="0" w:color="auto"/>
            </w:tcBorders>
          </w:tcPr>
          <w:p>
            <w:pPr>
              <w:pStyle w:val="yTableNAm"/>
              <w:keepNext/>
            </w:pPr>
            <w:r>
              <w:rPr>
                <w:b/>
              </w:rPr>
              <w:t>Item</w:t>
            </w:r>
          </w:p>
        </w:tc>
        <w:tc>
          <w:tcPr>
            <w:tcW w:w="3654" w:type="dxa"/>
            <w:tcBorders>
              <w:top w:val="single" w:sz="4" w:space="0" w:color="auto"/>
              <w:bottom w:val="single" w:sz="4" w:space="0" w:color="auto"/>
            </w:tcBorders>
          </w:tcPr>
          <w:p>
            <w:pPr>
              <w:pStyle w:val="yTableNAm"/>
              <w:keepNext/>
            </w:pPr>
            <w:r>
              <w:rPr>
                <w:b/>
              </w:rPr>
              <w:t>Service</w:t>
            </w:r>
          </w:p>
        </w:tc>
        <w:tc>
          <w:tcPr>
            <w:tcW w:w="1315" w:type="dxa"/>
            <w:tcBorders>
              <w:top w:val="single" w:sz="4" w:space="0" w:color="auto"/>
              <w:bottom w:val="single" w:sz="4" w:space="0" w:color="auto"/>
            </w:tcBorders>
          </w:tcPr>
          <w:p>
            <w:pPr>
              <w:pStyle w:val="yTableNAm"/>
              <w:keepNext/>
              <w:jc w:val="center"/>
            </w:pPr>
            <w:r>
              <w:rPr>
                <w:b/>
              </w:rPr>
              <w:t>$</w:t>
            </w:r>
          </w:p>
        </w:tc>
      </w:tr>
      <w:tr>
        <w:trPr>
          <w:cantSplit/>
        </w:trPr>
        <w:tc>
          <w:tcPr>
            <w:tcW w:w="700" w:type="dxa"/>
          </w:tcPr>
          <w:p>
            <w:pPr>
              <w:pStyle w:val="yTableNAm"/>
            </w:pPr>
            <w:r>
              <w:t>1.</w:t>
            </w:r>
          </w:p>
        </w:tc>
        <w:tc>
          <w:tcPr>
            <w:tcW w:w="3654" w:type="dxa"/>
          </w:tcPr>
          <w:p>
            <w:pPr>
              <w:pStyle w:val="yTableNAm"/>
            </w:pPr>
            <w:r>
              <w:t>For the short term use of a service wharf or jetty by a vessel, an amount calculated using standard Rate 3</w:t>
            </w:r>
          </w:p>
        </w:tc>
        <w:tc>
          <w:tcPr>
            <w:tcW w:w="1315" w:type="dxa"/>
            <w:vAlign w:val="bottom"/>
          </w:tcPr>
          <w:p>
            <w:pPr>
              <w:pStyle w:val="yTableNAm"/>
              <w:jc w:val="center"/>
            </w:pPr>
          </w:p>
        </w:tc>
      </w:tr>
      <w:tr>
        <w:trPr>
          <w:cantSplit/>
        </w:trPr>
        <w:tc>
          <w:tcPr>
            <w:tcW w:w="700" w:type="dxa"/>
          </w:tcPr>
          <w:p>
            <w:pPr>
              <w:pStyle w:val="yTableNAm"/>
            </w:pPr>
            <w:r>
              <w:t>2.</w:t>
            </w:r>
          </w:p>
        </w:tc>
        <w:tc>
          <w:tcPr>
            <w:tcW w:w="3654" w:type="dxa"/>
          </w:tcPr>
          <w:p>
            <w:pPr>
              <w:pStyle w:val="yTableNAm"/>
            </w:pPr>
            <w:r>
              <w:t>For the use of an alongside berth by a commercial vessel, an amount calculated using standard Rate 1</w:t>
            </w:r>
          </w:p>
        </w:tc>
        <w:tc>
          <w:tcPr>
            <w:tcW w:w="1315" w:type="dxa"/>
          </w:tcPr>
          <w:p>
            <w:pPr>
              <w:pStyle w:val="yTableNAm"/>
              <w:jc w:val="center"/>
            </w:pPr>
          </w:p>
        </w:tc>
      </w:tr>
      <w:tr>
        <w:trPr>
          <w:cantSplit/>
        </w:trPr>
        <w:tc>
          <w:tcPr>
            <w:tcW w:w="700" w:type="dxa"/>
            <w:tcBorders>
              <w:bottom w:val="single" w:sz="4" w:space="0" w:color="auto"/>
            </w:tcBorders>
          </w:tcPr>
          <w:p>
            <w:pPr>
              <w:pStyle w:val="yTableNAm"/>
            </w:pPr>
            <w:r>
              <w:t>3.</w:t>
            </w:r>
          </w:p>
        </w:tc>
        <w:tc>
          <w:tcPr>
            <w:tcW w:w="3654" w:type="dxa"/>
            <w:tcBorders>
              <w:bottom w:val="single" w:sz="4" w:space="0" w:color="auto"/>
            </w:tcBorders>
          </w:tcPr>
          <w:p>
            <w:pPr>
              <w:pStyle w:val="yTableNAm"/>
            </w:pPr>
            <w:r>
              <w:t>For the use of an alongside berth by recreational vessel, an amount calculated using standard Rate 2</w:t>
            </w:r>
          </w:p>
        </w:tc>
        <w:tc>
          <w:tcPr>
            <w:tcW w:w="1315" w:type="dxa"/>
            <w:tcBorders>
              <w:bottom w:val="single" w:sz="4" w:space="0" w:color="auto"/>
            </w:tcBorders>
          </w:tcPr>
          <w:p>
            <w:pPr>
              <w:pStyle w:val="yTableNAm"/>
              <w:jc w:val="center"/>
            </w:pPr>
          </w:p>
        </w:tc>
      </w:tr>
    </w:tbl>
    <w:p>
      <w:pPr>
        <w:pStyle w:val="yFootnotesection"/>
      </w:pPr>
      <w:bookmarkStart w:id="219" w:name="_Toc402879115"/>
      <w:r>
        <w:tab/>
        <w:t>[Clause 8 inserted in Gazette 22 Jul 2015 p. 2961</w:t>
      </w:r>
      <w:r>
        <w:noBreakHyphen/>
        <w:t>2.]</w:t>
      </w:r>
    </w:p>
    <w:p>
      <w:pPr>
        <w:pStyle w:val="yHeading5"/>
      </w:pPr>
      <w:bookmarkStart w:id="220" w:name="_Toc425338082"/>
      <w:r>
        <w:rPr>
          <w:rStyle w:val="CharSClsNo"/>
        </w:rPr>
        <w:t>9</w:t>
      </w:r>
      <w:r>
        <w:t>.</w:t>
      </w:r>
      <w:r>
        <w:tab/>
        <w:t>Coral Bay Maritime Facility</w:t>
      </w:r>
      <w:bookmarkEnd w:id="219"/>
      <w:bookmarkEnd w:id="220"/>
    </w:p>
    <w:p>
      <w:pPr>
        <w:pStyle w:val="ySubsection"/>
      </w:pPr>
      <w:r>
        <w:tab/>
        <w:t>(1)</w:t>
      </w:r>
      <w:r>
        <w:tab/>
        <w:t>This clause applies to the Coral Bay Maritime Facility.</w:t>
      </w:r>
    </w:p>
    <w:p>
      <w:pPr>
        <w:pStyle w:val="ySubsection"/>
      </w:pPr>
      <w:r>
        <w:tab/>
        <w:t>(2)</w:t>
      </w:r>
      <w:r>
        <w:tab/>
        <w:t>The berthing dues to be paid under these regulations are set out in Table 9.1.</w:t>
      </w:r>
    </w:p>
    <w:p>
      <w:pPr>
        <w:pStyle w:val="yTHeadingNAm"/>
      </w:pPr>
      <w:r>
        <w:t>Table 9.1 (Berthing)</w:t>
      </w:r>
    </w:p>
    <w:tbl>
      <w:tblPr>
        <w:tblW w:w="5669" w:type="dxa"/>
        <w:tblInd w:w="1009" w:type="dxa"/>
        <w:tblLayout w:type="fixed"/>
        <w:tblCellMar>
          <w:top w:w="57" w:type="dxa"/>
          <w:left w:w="57" w:type="dxa"/>
          <w:right w:w="57" w:type="dxa"/>
        </w:tblCellMar>
        <w:tblLook w:val="0000" w:firstRow="0" w:lastRow="0" w:firstColumn="0" w:lastColumn="0" w:noHBand="0" w:noVBand="0"/>
      </w:tblPr>
      <w:tblGrid>
        <w:gridCol w:w="700"/>
        <w:gridCol w:w="3668"/>
        <w:gridCol w:w="1301"/>
      </w:tblGrid>
      <w:tr>
        <w:trPr>
          <w:cantSplit/>
          <w:tblHeader/>
        </w:trPr>
        <w:tc>
          <w:tcPr>
            <w:tcW w:w="700" w:type="dxa"/>
            <w:tcBorders>
              <w:top w:val="single" w:sz="4" w:space="0" w:color="auto"/>
              <w:bottom w:val="single" w:sz="4" w:space="0" w:color="auto"/>
            </w:tcBorders>
          </w:tcPr>
          <w:p>
            <w:pPr>
              <w:pStyle w:val="yTableNAm"/>
            </w:pPr>
            <w:r>
              <w:rPr>
                <w:b/>
              </w:rPr>
              <w:t>Item</w:t>
            </w:r>
          </w:p>
        </w:tc>
        <w:tc>
          <w:tcPr>
            <w:tcW w:w="3668" w:type="dxa"/>
            <w:tcBorders>
              <w:top w:val="single" w:sz="4" w:space="0" w:color="auto"/>
              <w:bottom w:val="single" w:sz="4" w:space="0" w:color="auto"/>
            </w:tcBorders>
          </w:tcPr>
          <w:p>
            <w:pPr>
              <w:pStyle w:val="yTableNAm"/>
            </w:pPr>
            <w:r>
              <w:rPr>
                <w:b/>
              </w:rPr>
              <w:t>Service</w:t>
            </w:r>
          </w:p>
        </w:tc>
        <w:tc>
          <w:tcPr>
            <w:tcW w:w="1301"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3668" w:type="dxa"/>
          </w:tcPr>
          <w:p>
            <w:pPr>
              <w:pStyle w:val="yTableNAm"/>
            </w:pPr>
            <w:r>
              <w:t xml:space="preserve">For the use by a vessel of an alongside berth — </w:t>
            </w:r>
          </w:p>
        </w:tc>
        <w:tc>
          <w:tcPr>
            <w:tcW w:w="1301" w:type="dxa"/>
          </w:tcPr>
          <w:p>
            <w:pPr>
              <w:pStyle w:val="yTableNAm"/>
              <w:jc w:val="center"/>
            </w:pPr>
            <w:r>
              <w:br/>
            </w:r>
          </w:p>
        </w:tc>
      </w:tr>
      <w:tr>
        <w:trPr>
          <w:cantSplit/>
        </w:trPr>
        <w:tc>
          <w:tcPr>
            <w:tcW w:w="700" w:type="dxa"/>
          </w:tcPr>
          <w:p>
            <w:pPr>
              <w:pStyle w:val="zyTableNAm"/>
            </w:pPr>
          </w:p>
        </w:tc>
        <w:tc>
          <w:tcPr>
            <w:tcW w:w="3668" w:type="dxa"/>
          </w:tcPr>
          <w:p>
            <w:pPr>
              <w:pStyle w:val="yTableNAm"/>
              <w:tabs>
                <w:tab w:val="clear" w:pos="567"/>
              </w:tabs>
              <w:ind w:left="226" w:hanging="226"/>
            </w:pPr>
            <w:r>
              <w:t>•</w:t>
            </w:r>
            <w:r>
              <w:tab/>
              <w:t>for short term use, an amount calculated using standard Rate 3</w:t>
            </w:r>
          </w:p>
        </w:tc>
        <w:tc>
          <w:tcPr>
            <w:tcW w:w="1301" w:type="dxa"/>
            <w:vAlign w:val="bottom"/>
          </w:tcPr>
          <w:p>
            <w:pPr>
              <w:pStyle w:val="yTableNAm"/>
              <w:jc w:val="center"/>
            </w:pPr>
          </w:p>
        </w:tc>
      </w:tr>
      <w:tr>
        <w:trPr>
          <w:cantSplit/>
        </w:trPr>
        <w:tc>
          <w:tcPr>
            <w:tcW w:w="700" w:type="dxa"/>
          </w:tcPr>
          <w:p>
            <w:pPr>
              <w:pStyle w:val="zyTableNAm"/>
            </w:pPr>
          </w:p>
        </w:tc>
        <w:tc>
          <w:tcPr>
            <w:tcW w:w="3668" w:type="dxa"/>
          </w:tcPr>
          <w:p>
            <w:pPr>
              <w:pStyle w:val="yTableNAm"/>
              <w:tabs>
                <w:tab w:val="clear" w:pos="567"/>
              </w:tabs>
              <w:ind w:left="226" w:hanging="226"/>
            </w:pPr>
            <w:r>
              <w:t>•</w:t>
            </w:r>
            <w:r>
              <w:tab/>
              <w:t>for casual daily use, an amount calculated using standard Rate 1</w:t>
            </w:r>
          </w:p>
        </w:tc>
        <w:tc>
          <w:tcPr>
            <w:tcW w:w="1301" w:type="dxa"/>
          </w:tcPr>
          <w:p>
            <w:pPr>
              <w:pStyle w:val="yTableNAm"/>
              <w:jc w:val="center"/>
            </w:pPr>
          </w:p>
        </w:tc>
      </w:tr>
      <w:tr>
        <w:trPr>
          <w:cantSplit/>
        </w:trPr>
        <w:tc>
          <w:tcPr>
            <w:tcW w:w="700" w:type="dxa"/>
            <w:tcBorders>
              <w:bottom w:val="single" w:sz="4" w:space="0" w:color="auto"/>
            </w:tcBorders>
          </w:tcPr>
          <w:p>
            <w:pPr>
              <w:pStyle w:val="yTableNAm"/>
            </w:pPr>
            <w:r>
              <w:t>2.</w:t>
            </w:r>
          </w:p>
        </w:tc>
        <w:tc>
          <w:tcPr>
            <w:tcW w:w="3668" w:type="dxa"/>
            <w:tcBorders>
              <w:bottom w:val="single" w:sz="4" w:space="0" w:color="auto"/>
            </w:tcBorders>
          </w:tcPr>
          <w:p>
            <w:pPr>
              <w:pStyle w:val="yTableNAm"/>
            </w:pPr>
            <w:r>
              <w:t>For the casual daily use of any pen or alongside berth by a recreational vessel, an amount calculated using standard Rate 2</w:t>
            </w:r>
          </w:p>
        </w:tc>
        <w:tc>
          <w:tcPr>
            <w:tcW w:w="1301" w:type="dxa"/>
            <w:tcBorders>
              <w:bottom w:val="single" w:sz="4" w:space="0" w:color="auto"/>
            </w:tcBorders>
          </w:tcPr>
          <w:p>
            <w:pPr>
              <w:pStyle w:val="yTableNAm"/>
              <w:jc w:val="center"/>
            </w:pPr>
          </w:p>
        </w:tc>
      </w:tr>
    </w:tbl>
    <w:p>
      <w:pPr>
        <w:pStyle w:val="yFootnotesection"/>
      </w:pPr>
      <w:bookmarkStart w:id="221" w:name="_Toc402879116"/>
      <w:r>
        <w:tab/>
        <w:t>[Clause 9 inserted in Gazette 22 Jul 2015 p. 2962.]</w:t>
      </w:r>
    </w:p>
    <w:p>
      <w:pPr>
        <w:pStyle w:val="yHeading5"/>
      </w:pPr>
      <w:bookmarkStart w:id="222" w:name="_Toc425338083"/>
      <w:r>
        <w:rPr>
          <w:rStyle w:val="CharSClsNo"/>
        </w:rPr>
        <w:t>10</w:t>
      </w:r>
      <w:r>
        <w:t>.</w:t>
      </w:r>
      <w:r>
        <w:tab/>
        <w:t>Denham Maritime Facility</w:t>
      </w:r>
      <w:bookmarkEnd w:id="221"/>
      <w:bookmarkEnd w:id="222"/>
    </w:p>
    <w:p>
      <w:pPr>
        <w:pStyle w:val="ySubsection"/>
      </w:pPr>
      <w:r>
        <w:tab/>
        <w:t>(1)</w:t>
      </w:r>
      <w:r>
        <w:tab/>
        <w:t>This clause applies to the Denham Maritime Facility.</w:t>
      </w:r>
    </w:p>
    <w:p>
      <w:pPr>
        <w:pStyle w:val="ySubsection"/>
      </w:pPr>
      <w:r>
        <w:tab/>
        <w:t>(2)</w:t>
      </w:r>
      <w:r>
        <w:tab/>
        <w:t>The dues and charges to be paid under these regulations are set out in Table 10.1.</w:t>
      </w:r>
    </w:p>
    <w:p>
      <w:pPr>
        <w:pStyle w:val="yTHeadingNAm"/>
      </w:pPr>
      <w:r>
        <w:t>Table 10.1 (Pen use and alongside berthing)</w:t>
      </w:r>
    </w:p>
    <w:tbl>
      <w:tblPr>
        <w:tblW w:w="5683" w:type="dxa"/>
        <w:tblInd w:w="995" w:type="dxa"/>
        <w:tblLayout w:type="fixed"/>
        <w:tblCellMar>
          <w:top w:w="57" w:type="dxa"/>
          <w:left w:w="57" w:type="dxa"/>
          <w:right w:w="57" w:type="dxa"/>
        </w:tblCellMar>
        <w:tblLook w:val="0000" w:firstRow="0" w:lastRow="0" w:firstColumn="0" w:lastColumn="0" w:noHBand="0" w:noVBand="0"/>
      </w:tblPr>
      <w:tblGrid>
        <w:gridCol w:w="728"/>
        <w:gridCol w:w="3640"/>
        <w:gridCol w:w="1315"/>
      </w:tblGrid>
      <w:tr>
        <w:trPr>
          <w:cantSplit/>
          <w:tblHeader/>
        </w:trPr>
        <w:tc>
          <w:tcPr>
            <w:tcW w:w="728" w:type="dxa"/>
            <w:tcBorders>
              <w:top w:val="single" w:sz="4" w:space="0" w:color="auto"/>
              <w:bottom w:val="single" w:sz="4" w:space="0" w:color="auto"/>
            </w:tcBorders>
          </w:tcPr>
          <w:p>
            <w:pPr>
              <w:pStyle w:val="yTableNAm"/>
            </w:pPr>
            <w:r>
              <w:rPr>
                <w:b/>
              </w:rPr>
              <w:t>Item</w:t>
            </w:r>
          </w:p>
        </w:tc>
        <w:tc>
          <w:tcPr>
            <w:tcW w:w="3640" w:type="dxa"/>
            <w:tcBorders>
              <w:top w:val="single" w:sz="4" w:space="0" w:color="auto"/>
              <w:bottom w:val="single" w:sz="4" w:space="0" w:color="auto"/>
            </w:tcBorders>
          </w:tcPr>
          <w:p>
            <w:pPr>
              <w:pStyle w:val="yTableNAm"/>
            </w:pPr>
            <w:r>
              <w:rPr>
                <w:b/>
              </w:rPr>
              <w:t>Service</w:t>
            </w:r>
          </w:p>
        </w:tc>
        <w:tc>
          <w:tcPr>
            <w:tcW w:w="1315"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3640" w:type="dxa"/>
          </w:tcPr>
          <w:p>
            <w:pPr>
              <w:pStyle w:val="yTableNAm"/>
            </w:pPr>
            <w:r>
              <w:t>For the use, other than casual daily use, of a pen, an amount calculated per metre of the pen’s length using the annual rate of</w:t>
            </w:r>
          </w:p>
        </w:tc>
        <w:tc>
          <w:tcPr>
            <w:tcW w:w="1315" w:type="dxa"/>
          </w:tcPr>
          <w:p>
            <w:pPr>
              <w:pStyle w:val="yTableNAm"/>
              <w:jc w:val="center"/>
            </w:pPr>
            <w:r>
              <w:br/>
            </w:r>
            <w:r>
              <w:br/>
              <w:t>273.16</w:t>
            </w:r>
          </w:p>
        </w:tc>
      </w:tr>
      <w:tr>
        <w:trPr>
          <w:cantSplit/>
        </w:trPr>
        <w:tc>
          <w:tcPr>
            <w:tcW w:w="728" w:type="dxa"/>
          </w:tcPr>
          <w:p>
            <w:pPr>
              <w:pStyle w:val="yTableNAm"/>
            </w:pPr>
            <w:r>
              <w:t>2.</w:t>
            </w:r>
          </w:p>
        </w:tc>
        <w:tc>
          <w:tcPr>
            <w:tcW w:w="3640" w:type="dxa"/>
          </w:tcPr>
          <w:p>
            <w:pPr>
              <w:pStyle w:val="yTableNAm"/>
            </w:pPr>
            <w:r>
              <w:t>For the short term use of a service wharf or jetty by a vessel, an amount calculated using standard Rate 3</w:t>
            </w:r>
          </w:p>
        </w:tc>
        <w:tc>
          <w:tcPr>
            <w:tcW w:w="1315" w:type="dxa"/>
          </w:tcPr>
          <w:p>
            <w:pPr>
              <w:pStyle w:val="yTableNAm"/>
              <w:jc w:val="center"/>
            </w:pPr>
          </w:p>
        </w:tc>
      </w:tr>
      <w:tr>
        <w:trPr>
          <w:cantSplit/>
        </w:trPr>
        <w:tc>
          <w:tcPr>
            <w:tcW w:w="728" w:type="dxa"/>
          </w:tcPr>
          <w:p>
            <w:pPr>
              <w:pStyle w:val="yTableNAm"/>
            </w:pPr>
            <w:r>
              <w:t>3.</w:t>
            </w:r>
          </w:p>
        </w:tc>
        <w:tc>
          <w:tcPr>
            <w:tcW w:w="3640" w:type="dxa"/>
          </w:tcPr>
          <w:p>
            <w:pPr>
              <w:pStyle w:val="yTableNAm"/>
            </w:pPr>
            <w:r>
              <w:t>For the casual daily use of a pen or alongside berth by a commercial vessel, an amount calculated using standard Rate 1</w:t>
            </w:r>
          </w:p>
        </w:tc>
        <w:tc>
          <w:tcPr>
            <w:tcW w:w="1315" w:type="dxa"/>
          </w:tcPr>
          <w:p>
            <w:pPr>
              <w:pStyle w:val="yTableNAm"/>
              <w:jc w:val="center"/>
            </w:pPr>
          </w:p>
        </w:tc>
      </w:tr>
      <w:tr>
        <w:trPr>
          <w:cantSplit/>
        </w:trPr>
        <w:tc>
          <w:tcPr>
            <w:tcW w:w="728" w:type="dxa"/>
            <w:tcBorders>
              <w:bottom w:val="single" w:sz="4" w:space="0" w:color="auto"/>
            </w:tcBorders>
          </w:tcPr>
          <w:p>
            <w:pPr>
              <w:pStyle w:val="yTableNAm"/>
            </w:pPr>
            <w:r>
              <w:t>4.</w:t>
            </w:r>
          </w:p>
        </w:tc>
        <w:tc>
          <w:tcPr>
            <w:tcW w:w="3640" w:type="dxa"/>
            <w:tcBorders>
              <w:bottom w:val="single" w:sz="4" w:space="0" w:color="auto"/>
            </w:tcBorders>
          </w:tcPr>
          <w:p>
            <w:pPr>
              <w:pStyle w:val="yTableNAm"/>
            </w:pPr>
            <w:r>
              <w:t>For the casual daily use of a pen or alongside berth by a recreational vessel, an amount calculated using standard Rate 2</w:t>
            </w:r>
          </w:p>
        </w:tc>
        <w:tc>
          <w:tcPr>
            <w:tcW w:w="1315" w:type="dxa"/>
            <w:tcBorders>
              <w:bottom w:val="single" w:sz="4" w:space="0" w:color="auto"/>
            </w:tcBorders>
          </w:tcPr>
          <w:p>
            <w:pPr>
              <w:pStyle w:val="yTableNAm"/>
              <w:jc w:val="center"/>
            </w:pPr>
          </w:p>
        </w:tc>
      </w:tr>
    </w:tbl>
    <w:p>
      <w:pPr>
        <w:pStyle w:val="yFootnotesection"/>
      </w:pPr>
      <w:bookmarkStart w:id="223" w:name="_Toc402879117"/>
      <w:r>
        <w:tab/>
        <w:t>[Clause 10 inserted in Gazette 22 Jul 2015 p. 2962</w:t>
      </w:r>
      <w:r>
        <w:noBreakHyphen/>
        <w:t>3.]</w:t>
      </w:r>
    </w:p>
    <w:p>
      <w:pPr>
        <w:pStyle w:val="yHeading5"/>
      </w:pPr>
      <w:bookmarkStart w:id="224" w:name="_Toc425338084"/>
      <w:r>
        <w:rPr>
          <w:rStyle w:val="CharSClsNo"/>
        </w:rPr>
        <w:t>11</w:t>
      </w:r>
      <w:r>
        <w:t>.</w:t>
      </w:r>
      <w:r>
        <w:tab/>
        <w:t xml:space="preserve">Esperance,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Harbour</w:t>
        </w:r>
      </w:smartTag>
      <w:bookmarkEnd w:id="223"/>
      <w:bookmarkEnd w:id="224"/>
    </w:p>
    <w:p>
      <w:pPr>
        <w:pStyle w:val="ySubsection"/>
      </w:pPr>
      <w:r>
        <w:tab/>
        <w:t>(1)</w:t>
      </w:r>
      <w:r>
        <w:tab/>
        <w:t xml:space="preserve">This clause applies to the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Esperance.</w:t>
      </w:r>
    </w:p>
    <w:p>
      <w:pPr>
        <w:pStyle w:val="ySubsection"/>
      </w:pPr>
      <w:r>
        <w:tab/>
        <w:t>(2)</w:t>
      </w:r>
      <w:r>
        <w:tab/>
        <w:t>The dues and charges to be paid under these regulations are set out in Table 11.1.</w:t>
      </w:r>
    </w:p>
    <w:p>
      <w:pPr>
        <w:pStyle w:val="yTHeadingNAm"/>
      </w:pPr>
      <w:r>
        <w:t>Table 11.1 (Pen use and alongside berthing)</w:t>
      </w:r>
    </w:p>
    <w:tbl>
      <w:tblPr>
        <w:tblW w:w="5683" w:type="dxa"/>
        <w:tblInd w:w="1009" w:type="dxa"/>
        <w:tblLayout w:type="fixed"/>
        <w:tblCellMar>
          <w:top w:w="57" w:type="dxa"/>
          <w:left w:w="57" w:type="dxa"/>
          <w:right w:w="57" w:type="dxa"/>
        </w:tblCellMar>
        <w:tblLook w:val="0000" w:firstRow="0" w:lastRow="0" w:firstColumn="0" w:lastColumn="0" w:noHBand="0" w:noVBand="0"/>
      </w:tblPr>
      <w:tblGrid>
        <w:gridCol w:w="714"/>
        <w:gridCol w:w="3626"/>
        <w:gridCol w:w="1343"/>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3626" w:type="dxa"/>
            <w:tcBorders>
              <w:top w:val="single" w:sz="4" w:space="0" w:color="auto"/>
              <w:bottom w:val="single" w:sz="4" w:space="0" w:color="auto"/>
            </w:tcBorders>
          </w:tcPr>
          <w:p>
            <w:pPr>
              <w:pStyle w:val="yTableNAm"/>
            </w:pPr>
            <w:r>
              <w:rPr>
                <w:b/>
              </w:rPr>
              <w:t>Service</w:t>
            </w:r>
          </w:p>
        </w:tc>
        <w:tc>
          <w:tcPr>
            <w:tcW w:w="1343"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3626" w:type="dxa"/>
          </w:tcPr>
          <w:p>
            <w:pPr>
              <w:pStyle w:val="yTableNAm"/>
            </w:pPr>
            <w:r>
              <w:t>For the use, other than casual daily use, of a pen with a walkway, an amount calculated per metre of the pen’s length using the annual rate of</w:t>
            </w:r>
          </w:p>
        </w:tc>
        <w:tc>
          <w:tcPr>
            <w:tcW w:w="1343" w:type="dxa"/>
          </w:tcPr>
          <w:p>
            <w:pPr>
              <w:pStyle w:val="yTableNAm"/>
              <w:jc w:val="center"/>
            </w:pPr>
            <w:r>
              <w:br/>
            </w:r>
            <w:r>
              <w:br/>
            </w:r>
            <w:r>
              <w:br/>
              <w:t>300.18</w:t>
            </w:r>
          </w:p>
        </w:tc>
      </w:tr>
      <w:tr>
        <w:trPr>
          <w:cantSplit/>
        </w:trPr>
        <w:tc>
          <w:tcPr>
            <w:tcW w:w="714" w:type="dxa"/>
          </w:tcPr>
          <w:p>
            <w:pPr>
              <w:pStyle w:val="yTableNAm"/>
            </w:pPr>
            <w:r>
              <w:t>2.</w:t>
            </w:r>
          </w:p>
        </w:tc>
        <w:tc>
          <w:tcPr>
            <w:tcW w:w="3626" w:type="dxa"/>
          </w:tcPr>
          <w:p>
            <w:pPr>
              <w:pStyle w:val="yTableNAm"/>
            </w:pPr>
            <w:r>
              <w:t>For the use, other than casual daily use, of a pen without a walkway, an amount calculated per metre of the pen’s length using the annual rate of</w:t>
            </w:r>
          </w:p>
        </w:tc>
        <w:tc>
          <w:tcPr>
            <w:tcW w:w="1343" w:type="dxa"/>
          </w:tcPr>
          <w:p>
            <w:pPr>
              <w:pStyle w:val="yTableNAm"/>
              <w:jc w:val="center"/>
            </w:pPr>
            <w:r>
              <w:br/>
            </w:r>
            <w:r>
              <w:br/>
            </w:r>
            <w:r>
              <w:br/>
              <w:t>209.78</w:t>
            </w:r>
          </w:p>
        </w:tc>
      </w:tr>
      <w:tr>
        <w:trPr>
          <w:cantSplit/>
        </w:trPr>
        <w:tc>
          <w:tcPr>
            <w:tcW w:w="714" w:type="dxa"/>
          </w:tcPr>
          <w:p>
            <w:pPr>
              <w:pStyle w:val="yTableNAm"/>
            </w:pPr>
            <w:r>
              <w:t>3.</w:t>
            </w:r>
          </w:p>
        </w:tc>
        <w:tc>
          <w:tcPr>
            <w:tcW w:w="3626" w:type="dxa"/>
          </w:tcPr>
          <w:p>
            <w:pPr>
              <w:pStyle w:val="yTableNAm"/>
            </w:pPr>
            <w:r>
              <w:t>For the use, other than casual daily use, of an alongside berth, an amount calculated per metre of the vessel’s length using the annual rate of</w:t>
            </w:r>
          </w:p>
        </w:tc>
        <w:tc>
          <w:tcPr>
            <w:tcW w:w="1343" w:type="dxa"/>
          </w:tcPr>
          <w:p>
            <w:pPr>
              <w:pStyle w:val="yTableNAm"/>
              <w:jc w:val="center"/>
            </w:pPr>
            <w:r>
              <w:br/>
            </w:r>
            <w:r>
              <w:br/>
            </w:r>
            <w:r>
              <w:br/>
              <w:t>300.18</w:t>
            </w:r>
          </w:p>
        </w:tc>
      </w:tr>
      <w:tr>
        <w:trPr>
          <w:cantSplit/>
        </w:trPr>
        <w:tc>
          <w:tcPr>
            <w:tcW w:w="714" w:type="dxa"/>
          </w:tcPr>
          <w:p>
            <w:pPr>
              <w:pStyle w:val="yTableNAm"/>
            </w:pPr>
            <w:r>
              <w:t>4.</w:t>
            </w:r>
          </w:p>
        </w:tc>
        <w:tc>
          <w:tcPr>
            <w:tcW w:w="3626" w:type="dxa"/>
          </w:tcPr>
          <w:p>
            <w:pPr>
              <w:pStyle w:val="yTableNAm"/>
            </w:pPr>
            <w:r>
              <w:t xml:space="preserve">For the casual daily use of a pen or alongside berth — </w:t>
            </w:r>
          </w:p>
        </w:tc>
        <w:tc>
          <w:tcPr>
            <w:tcW w:w="1343" w:type="dxa"/>
          </w:tcPr>
          <w:p>
            <w:pPr>
              <w:pStyle w:val="yTableNAm"/>
              <w:jc w:val="center"/>
            </w:pPr>
          </w:p>
        </w:tc>
      </w:tr>
      <w:tr>
        <w:trPr>
          <w:cantSplit/>
        </w:trPr>
        <w:tc>
          <w:tcPr>
            <w:tcW w:w="714" w:type="dxa"/>
          </w:tcPr>
          <w:p>
            <w:pPr>
              <w:pStyle w:val="zyTableNAm"/>
            </w:pPr>
          </w:p>
        </w:tc>
        <w:tc>
          <w:tcPr>
            <w:tcW w:w="3626" w:type="dxa"/>
          </w:tcPr>
          <w:p>
            <w:pPr>
              <w:pStyle w:val="yTableNAm"/>
              <w:tabs>
                <w:tab w:val="clear" w:pos="567"/>
              </w:tabs>
              <w:ind w:left="226" w:hanging="226"/>
            </w:pPr>
            <w:r>
              <w:t>•</w:t>
            </w:r>
            <w:r>
              <w:tab/>
              <w:t>by a commercial vessel, an amount calculated using standard Rate 1</w:t>
            </w:r>
          </w:p>
        </w:tc>
        <w:tc>
          <w:tcPr>
            <w:tcW w:w="1343" w:type="dxa"/>
          </w:tcPr>
          <w:p>
            <w:pPr>
              <w:pStyle w:val="yTableNAm"/>
              <w:jc w:val="center"/>
            </w:pPr>
          </w:p>
        </w:tc>
      </w:tr>
      <w:tr>
        <w:trPr>
          <w:cantSplit/>
        </w:trPr>
        <w:tc>
          <w:tcPr>
            <w:tcW w:w="714" w:type="dxa"/>
          </w:tcPr>
          <w:p>
            <w:pPr>
              <w:pStyle w:val="zyTableNAm"/>
            </w:pPr>
          </w:p>
        </w:tc>
        <w:tc>
          <w:tcPr>
            <w:tcW w:w="3626" w:type="dxa"/>
          </w:tcPr>
          <w:p>
            <w:pPr>
              <w:pStyle w:val="yTableNAm"/>
              <w:tabs>
                <w:tab w:val="clear" w:pos="567"/>
              </w:tabs>
              <w:ind w:left="226" w:hanging="226"/>
            </w:pPr>
            <w:r>
              <w:t>•</w:t>
            </w:r>
            <w:r>
              <w:tab/>
              <w:t>by a recreational vessel, an amount calculated using standard Rate 2</w:t>
            </w:r>
          </w:p>
        </w:tc>
        <w:tc>
          <w:tcPr>
            <w:tcW w:w="1343" w:type="dxa"/>
          </w:tcPr>
          <w:p>
            <w:pPr>
              <w:pStyle w:val="yTableNAm"/>
              <w:jc w:val="center"/>
            </w:pPr>
          </w:p>
        </w:tc>
      </w:tr>
      <w:tr>
        <w:trPr>
          <w:cantSplit/>
        </w:trPr>
        <w:tc>
          <w:tcPr>
            <w:tcW w:w="714" w:type="dxa"/>
          </w:tcPr>
          <w:p>
            <w:pPr>
              <w:pStyle w:val="yTableNAm"/>
            </w:pPr>
            <w:r>
              <w:t>5.</w:t>
            </w:r>
          </w:p>
        </w:tc>
        <w:tc>
          <w:tcPr>
            <w:tcW w:w="3626" w:type="dxa"/>
          </w:tcPr>
          <w:p>
            <w:pPr>
              <w:pStyle w:val="yTableNAm"/>
            </w:pPr>
            <w:r>
              <w:t>For the short term use of a service wharf or jetty, an amount calculated using standard Rate 3</w:t>
            </w:r>
          </w:p>
        </w:tc>
        <w:tc>
          <w:tcPr>
            <w:tcW w:w="1343" w:type="dxa"/>
            <w:vAlign w:val="bottom"/>
          </w:tcPr>
          <w:p>
            <w:pPr>
              <w:pStyle w:val="yTableNAm"/>
              <w:jc w:val="center"/>
            </w:pPr>
          </w:p>
        </w:tc>
      </w:tr>
      <w:tr>
        <w:trPr>
          <w:cantSplit/>
        </w:trPr>
        <w:tc>
          <w:tcPr>
            <w:tcW w:w="714" w:type="dxa"/>
            <w:tcBorders>
              <w:bottom w:val="single" w:sz="4" w:space="0" w:color="auto"/>
            </w:tcBorders>
          </w:tcPr>
          <w:p>
            <w:pPr>
              <w:pStyle w:val="yTableNAm"/>
            </w:pPr>
            <w:r>
              <w:t>6.</w:t>
            </w:r>
          </w:p>
        </w:tc>
        <w:tc>
          <w:tcPr>
            <w:tcW w:w="3626" w:type="dxa"/>
            <w:tcBorders>
              <w:bottom w:val="single" w:sz="4" w:space="0" w:color="auto"/>
            </w:tcBorders>
          </w:tcPr>
          <w:p>
            <w:pPr>
              <w:pStyle w:val="yTableNAm"/>
            </w:pPr>
            <w:r>
              <w:t>For the use of a jetty or hardstand controlled by the Department to lift a vessel to or from the harbour, an amount per lift of</w:t>
            </w:r>
          </w:p>
        </w:tc>
        <w:tc>
          <w:tcPr>
            <w:tcW w:w="1343" w:type="dxa"/>
            <w:tcBorders>
              <w:bottom w:val="single" w:sz="4" w:space="0" w:color="auto"/>
            </w:tcBorders>
            <w:vAlign w:val="bottom"/>
          </w:tcPr>
          <w:p>
            <w:pPr>
              <w:pStyle w:val="yTableNAm"/>
              <w:jc w:val="center"/>
            </w:pPr>
            <w:r>
              <w:t>255.87</w:t>
            </w:r>
          </w:p>
        </w:tc>
      </w:tr>
    </w:tbl>
    <w:p>
      <w:pPr>
        <w:pStyle w:val="yFootnotesection"/>
      </w:pPr>
      <w:bookmarkStart w:id="225" w:name="_Toc402879118"/>
      <w:r>
        <w:tab/>
        <w:t>[Clause 11 inserted in Gazette 22 Jul 2015 p. 2963</w:t>
      </w:r>
      <w:r>
        <w:noBreakHyphen/>
        <w:t>4.]</w:t>
      </w:r>
    </w:p>
    <w:p>
      <w:pPr>
        <w:pStyle w:val="yHeading5"/>
      </w:pPr>
      <w:bookmarkStart w:id="226" w:name="_Toc425338085"/>
      <w:r>
        <w:rPr>
          <w:rStyle w:val="CharSClsNo"/>
        </w:rPr>
        <w:t>12</w:t>
      </w:r>
      <w:r>
        <w:t>.</w:t>
      </w:r>
      <w:r>
        <w:tab/>
        <w:t>Exmouth</w:t>
      </w:r>
      <w:bookmarkEnd w:id="225"/>
      <w:bookmarkEnd w:id="226"/>
    </w:p>
    <w:p>
      <w:pPr>
        <w:pStyle w:val="ySubsection"/>
      </w:pPr>
      <w:r>
        <w:tab/>
        <w:t>(1)</w:t>
      </w:r>
      <w:r>
        <w:tab/>
        <w:t>This clause applies to Exmouth.</w:t>
      </w:r>
    </w:p>
    <w:p>
      <w:pPr>
        <w:pStyle w:val="ySubsection"/>
      </w:pPr>
      <w:r>
        <w:tab/>
        <w:t>(2)</w:t>
      </w:r>
      <w:r>
        <w:tab/>
        <w:t xml:space="preserve">In this clause a reference to a </w:t>
      </w:r>
      <w:r>
        <w:rPr>
          <w:rStyle w:val="CharDefText"/>
        </w:rPr>
        <w:t>service vessel</w:t>
      </w:r>
      <w:r>
        <w:t xml:space="preserve"> is a reference to any vessel other than a recreational vessel, tourism vessel or fishing vessel.</w:t>
      </w:r>
    </w:p>
    <w:p>
      <w:pPr>
        <w:pStyle w:val="ySubsection"/>
      </w:pPr>
      <w:r>
        <w:tab/>
        <w:t>(3)</w:t>
      </w:r>
      <w:r>
        <w:tab/>
        <w:t>The dues and charges to be paid under these regulations are set out in Table 12.1.</w:t>
      </w:r>
    </w:p>
    <w:p>
      <w:pPr>
        <w:pStyle w:val="yTHeadingNAm"/>
      </w:pPr>
      <w:r>
        <w:t>Table 12.1 (Pen use, alongside berthing and mooring)</w:t>
      </w:r>
    </w:p>
    <w:tbl>
      <w:tblPr>
        <w:tblW w:w="5683" w:type="dxa"/>
        <w:tblInd w:w="1009" w:type="dxa"/>
        <w:tblLayout w:type="fixed"/>
        <w:tblCellMar>
          <w:top w:w="57" w:type="dxa"/>
          <w:left w:w="57" w:type="dxa"/>
          <w:right w:w="57" w:type="dxa"/>
        </w:tblCellMar>
        <w:tblLook w:val="0000" w:firstRow="0" w:lastRow="0" w:firstColumn="0" w:lastColumn="0" w:noHBand="0" w:noVBand="0"/>
      </w:tblPr>
      <w:tblGrid>
        <w:gridCol w:w="714"/>
        <w:gridCol w:w="3626"/>
        <w:gridCol w:w="1343"/>
      </w:tblGrid>
      <w:tr>
        <w:trPr>
          <w:cantSplit/>
          <w:tblHeader/>
        </w:trPr>
        <w:tc>
          <w:tcPr>
            <w:tcW w:w="714" w:type="dxa"/>
            <w:tcBorders>
              <w:top w:val="single" w:sz="4" w:space="0" w:color="auto"/>
              <w:bottom w:val="single" w:sz="4" w:space="0" w:color="auto"/>
            </w:tcBorders>
          </w:tcPr>
          <w:p>
            <w:pPr>
              <w:pStyle w:val="yTableNAm"/>
            </w:pPr>
            <w:r>
              <w:rPr>
                <w:b/>
              </w:rPr>
              <w:t>Item</w:t>
            </w:r>
          </w:p>
        </w:tc>
        <w:tc>
          <w:tcPr>
            <w:tcW w:w="3626" w:type="dxa"/>
            <w:tcBorders>
              <w:top w:val="single" w:sz="4" w:space="0" w:color="auto"/>
              <w:bottom w:val="single" w:sz="4" w:space="0" w:color="auto"/>
            </w:tcBorders>
          </w:tcPr>
          <w:p>
            <w:pPr>
              <w:pStyle w:val="yTableNAm"/>
            </w:pPr>
            <w:r>
              <w:rPr>
                <w:b/>
              </w:rPr>
              <w:t>Service</w:t>
            </w:r>
          </w:p>
        </w:tc>
        <w:tc>
          <w:tcPr>
            <w:tcW w:w="1343"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3626" w:type="dxa"/>
          </w:tcPr>
          <w:p>
            <w:pPr>
              <w:pStyle w:val="yTableNAm"/>
            </w:pPr>
            <w:r>
              <w:t>For the use, other than casual daily use, of a pen (not in the Pen B system) by a recreational vessel, tourism vessel or fishing vessel, an amount calculated per metre of the pen’s length using the annual rate of</w:t>
            </w:r>
          </w:p>
        </w:tc>
        <w:tc>
          <w:tcPr>
            <w:tcW w:w="1343" w:type="dxa"/>
          </w:tcPr>
          <w:p>
            <w:pPr>
              <w:pStyle w:val="yTableNAm"/>
              <w:jc w:val="center"/>
            </w:pPr>
            <w:r>
              <w:br/>
            </w:r>
            <w:r>
              <w:br/>
            </w:r>
            <w:r>
              <w:br/>
            </w:r>
            <w:r>
              <w:br/>
              <w:t>424.31</w:t>
            </w:r>
          </w:p>
        </w:tc>
      </w:tr>
      <w:tr>
        <w:trPr>
          <w:cantSplit/>
        </w:trPr>
        <w:tc>
          <w:tcPr>
            <w:tcW w:w="714" w:type="dxa"/>
          </w:tcPr>
          <w:p>
            <w:pPr>
              <w:pStyle w:val="yTableNAm"/>
            </w:pPr>
            <w:r>
              <w:t>2.</w:t>
            </w:r>
          </w:p>
        </w:tc>
        <w:tc>
          <w:tcPr>
            <w:tcW w:w="3626" w:type="dxa"/>
          </w:tcPr>
          <w:p>
            <w:pPr>
              <w:pStyle w:val="yTableNAm"/>
            </w:pPr>
            <w:r>
              <w:t>For the use, other than casual daily use, of a pen (not in the Pen B system) by a service vessel, an amount calculated per metre of the pen’s length using the annual rate of</w:t>
            </w:r>
          </w:p>
        </w:tc>
        <w:tc>
          <w:tcPr>
            <w:tcW w:w="1343" w:type="dxa"/>
          </w:tcPr>
          <w:p>
            <w:pPr>
              <w:pStyle w:val="yTableNAm"/>
              <w:jc w:val="center"/>
            </w:pPr>
            <w:r>
              <w:br/>
            </w:r>
            <w:r>
              <w:br/>
            </w:r>
            <w:r>
              <w:br/>
              <w:t>563.75</w:t>
            </w:r>
          </w:p>
        </w:tc>
      </w:tr>
      <w:tr>
        <w:trPr>
          <w:cantSplit/>
        </w:trPr>
        <w:tc>
          <w:tcPr>
            <w:tcW w:w="714" w:type="dxa"/>
          </w:tcPr>
          <w:p>
            <w:pPr>
              <w:pStyle w:val="yTableNAm"/>
            </w:pPr>
            <w:r>
              <w:t>3.</w:t>
            </w:r>
          </w:p>
        </w:tc>
        <w:tc>
          <w:tcPr>
            <w:tcW w:w="3626" w:type="dxa"/>
          </w:tcPr>
          <w:p>
            <w:pPr>
              <w:pStyle w:val="yTableNAm"/>
            </w:pPr>
            <w:r>
              <w:t>For the use, other than casual daily use, of an alongside berth (not in the Pen B system) by a recreational vessel, tourism vessel or fishing vessel, an amount calculated per metre of the vessel’s length using the annual rate of</w:t>
            </w:r>
          </w:p>
        </w:tc>
        <w:tc>
          <w:tcPr>
            <w:tcW w:w="1343" w:type="dxa"/>
          </w:tcPr>
          <w:p>
            <w:pPr>
              <w:pStyle w:val="yTableNAm"/>
              <w:jc w:val="center"/>
            </w:pPr>
            <w:r>
              <w:br/>
            </w:r>
            <w:r>
              <w:br/>
            </w:r>
            <w:r>
              <w:br/>
            </w:r>
            <w:r>
              <w:br/>
            </w:r>
            <w:r>
              <w:br/>
              <w:t>424.31</w:t>
            </w:r>
          </w:p>
        </w:tc>
      </w:tr>
      <w:tr>
        <w:trPr>
          <w:cantSplit/>
        </w:trPr>
        <w:tc>
          <w:tcPr>
            <w:tcW w:w="714" w:type="dxa"/>
          </w:tcPr>
          <w:p>
            <w:pPr>
              <w:pStyle w:val="yTableNAm"/>
            </w:pPr>
            <w:r>
              <w:t>4.</w:t>
            </w:r>
          </w:p>
        </w:tc>
        <w:tc>
          <w:tcPr>
            <w:tcW w:w="3626" w:type="dxa"/>
          </w:tcPr>
          <w:p>
            <w:pPr>
              <w:pStyle w:val="yTableNAm"/>
            </w:pPr>
            <w:r>
              <w:t>For the use, other than casual daily use, of an alongside berth (not in the Pen B system) by a service vessel, an amount calculated per metre of the vessel’s length using the annual rate of</w:t>
            </w:r>
          </w:p>
        </w:tc>
        <w:tc>
          <w:tcPr>
            <w:tcW w:w="1343" w:type="dxa"/>
          </w:tcPr>
          <w:p>
            <w:pPr>
              <w:pStyle w:val="yTableNAm"/>
              <w:jc w:val="center"/>
            </w:pPr>
            <w:r>
              <w:br/>
            </w:r>
            <w:r>
              <w:br/>
            </w:r>
            <w:r>
              <w:br/>
            </w:r>
            <w:r>
              <w:br/>
              <w:t>563.75</w:t>
            </w:r>
          </w:p>
        </w:tc>
      </w:tr>
      <w:tr>
        <w:trPr>
          <w:cantSplit/>
        </w:trPr>
        <w:tc>
          <w:tcPr>
            <w:tcW w:w="714" w:type="dxa"/>
          </w:tcPr>
          <w:p>
            <w:pPr>
              <w:pStyle w:val="yTableNAm"/>
            </w:pPr>
            <w:r>
              <w:t>5.</w:t>
            </w:r>
          </w:p>
        </w:tc>
        <w:tc>
          <w:tcPr>
            <w:tcW w:w="3626" w:type="dxa"/>
          </w:tcPr>
          <w:p>
            <w:pPr>
              <w:pStyle w:val="yTableNAm"/>
            </w:pPr>
            <w:r>
              <w:t>For the use, other than casual daily use, of a pen (in the Pen B system) no longer than 20 m by a recreational vessel, tourism vessel or fishing vessel, an amount calculated per metre of the pen’s length using the annual rate of</w:t>
            </w:r>
          </w:p>
        </w:tc>
        <w:tc>
          <w:tcPr>
            <w:tcW w:w="1343" w:type="dxa"/>
          </w:tcPr>
          <w:p>
            <w:pPr>
              <w:pStyle w:val="yTableNAm"/>
              <w:jc w:val="center"/>
            </w:pPr>
            <w:r>
              <w:br/>
            </w:r>
            <w:r>
              <w:br/>
            </w:r>
            <w:r>
              <w:br/>
            </w:r>
            <w:r>
              <w:br/>
            </w:r>
            <w:r>
              <w:br/>
              <w:t>600.00</w:t>
            </w:r>
          </w:p>
        </w:tc>
      </w:tr>
      <w:tr>
        <w:trPr>
          <w:cantSplit/>
        </w:trPr>
        <w:tc>
          <w:tcPr>
            <w:tcW w:w="714" w:type="dxa"/>
          </w:tcPr>
          <w:p>
            <w:pPr>
              <w:pStyle w:val="yTableNAm"/>
            </w:pPr>
            <w:r>
              <w:t>6.</w:t>
            </w:r>
          </w:p>
        </w:tc>
        <w:tc>
          <w:tcPr>
            <w:tcW w:w="3626" w:type="dxa"/>
          </w:tcPr>
          <w:p>
            <w:pPr>
              <w:pStyle w:val="yTableNAm"/>
            </w:pPr>
            <w:r>
              <w:t>For the use, other than casual daily use, of a pen (in the Pen B system) no longer than 20 m by a service vessel, an amount calculated per metre of the pen’s length using the annual rate of</w:t>
            </w:r>
          </w:p>
        </w:tc>
        <w:tc>
          <w:tcPr>
            <w:tcW w:w="1343" w:type="dxa"/>
          </w:tcPr>
          <w:p>
            <w:pPr>
              <w:pStyle w:val="yTableNAm"/>
              <w:jc w:val="center"/>
            </w:pPr>
            <w:r>
              <w:br/>
            </w:r>
            <w:r>
              <w:br/>
            </w:r>
            <w:r>
              <w:br/>
            </w:r>
            <w:r>
              <w:br/>
              <w:t>820.00</w:t>
            </w:r>
          </w:p>
        </w:tc>
      </w:tr>
      <w:tr>
        <w:trPr>
          <w:cantSplit/>
        </w:trPr>
        <w:tc>
          <w:tcPr>
            <w:tcW w:w="714" w:type="dxa"/>
          </w:tcPr>
          <w:p>
            <w:pPr>
              <w:pStyle w:val="yTableNAm"/>
            </w:pPr>
            <w:r>
              <w:t>7.</w:t>
            </w:r>
          </w:p>
        </w:tc>
        <w:tc>
          <w:tcPr>
            <w:tcW w:w="3626" w:type="dxa"/>
          </w:tcPr>
          <w:p>
            <w:pPr>
              <w:pStyle w:val="yTableNAm"/>
            </w:pPr>
            <w:r>
              <w:t>For the use, other than casual daily use, of a pen (in the Pen B system) longer than 20 m by a vessel, an amount calculated per metre of the pen’s length using the annual rate of</w:t>
            </w:r>
          </w:p>
        </w:tc>
        <w:tc>
          <w:tcPr>
            <w:tcW w:w="1343" w:type="dxa"/>
          </w:tcPr>
          <w:p>
            <w:pPr>
              <w:pStyle w:val="yTableNAm"/>
              <w:jc w:val="center"/>
            </w:pPr>
            <w:r>
              <w:br/>
            </w:r>
            <w:r>
              <w:br/>
            </w:r>
            <w:r>
              <w:br/>
              <w:t>1 025.00</w:t>
            </w:r>
          </w:p>
        </w:tc>
      </w:tr>
      <w:tr>
        <w:trPr>
          <w:cantSplit/>
        </w:trPr>
        <w:tc>
          <w:tcPr>
            <w:tcW w:w="714" w:type="dxa"/>
          </w:tcPr>
          <w:p>
            <w:pPr>
              <w:pStyle w:val="yTableNAm"/>
            </w:pPr>
            <w:r>
              <w:t>8.</w:t>
            </w:r>
          </w:p>
        </w:tc>
        <w:tc>
          <w:tcPr>
            <w:tcW w:w="3626" w:type="dxa"/>
          </w:tcPr>
          <w:p>
            <w:pPr>
              <w:pStyle w:val="yTableNAm"/>
            </w:pPr>
            <w:r>
              <w:t>For the use, other than casual daily use, of an alongside berth (in the Pen B system) by a recreational vessel, tourism vessel or fishing vessel, an amount calculated per metre of the vessel’s length using the annual rate of</w:t>
            </w:r>
          </w:p>
        </w:tc>
        <w:tc>
          <w:tcPr>
            <w:tcW w:w="1343" w:type="dxa"/>
          </w:tcPr>
          <w:p>
            <w:pPr>
              <w:pStyle w:val="yTableNAm"/>
              <w:jc w:val="center"/>
            </w:pPr>
            <w:r>
              <w:br/>
            </w:r>
            <w:r>
              <w:br/>
            </w:r>
            <w:r>
              <w:br/>
            </w:r>
            <w:r>
              <w:br/>
            </w:r>
            <w:r>
              <w:br/>
              <w:t>600.00</w:t>
            </w:r>
          </w:p>
        </w:tc>
      </w:tr>
      <w:tr>
        <w:trPr>
          <w:cantSplit/>
        </w:trPr>
        <w:tc>
          <w:tcPr>
            <w:tcW w:w="714" w:type="dxa"/>
          </w:tcPr>
          <w:p>
            <w:pPr>
              <w:pStyle w:val="yTableNAm"/>
            </w:pPr>
            <w:r>
              <w:t>9.</w:t>
            </w:r>
          </w:p>
        </w:tc>
        <w:tc>
          <w:tcPr>
            <w:tcW w:w="3626" w:type="dxa"/>
          </w:tcPr>
          <w:p>
            <w:pPr>
              <w:pStyle w:val="yTableNAm"/>
            </w:pPr>
            <w:r>
              <w:t>For the use, other than casual daily use, of an alongside berth (in the Pen B system) by a service vessel, an amount calculated per metre of the vessel’s length using the annual rate of</w:t>
            </w:r>
          </w:p>
        </w:tc>
        <w:tc>
          <w:tcPr>
            <w:tcW w:w="1343" w:type="dxa"/>
          </w:tcPr>
          <w:p>
            <w:pPr>
              <w:pStyle w:val="yTableNAm"/>
              <w:jc w:val="center"/>
            </w:pPr>
            <w:r>
              <w:br/>
            </w:r>
            <w:r>
              <w:br/>
            </w:r>
            <w:r>
              <w:br/>
            </w:r>
            <w:r>
              <w:br/>
              <w:t>820.00</w:t>
            </w:r>
          </w:p>
        </w:tc>
      </w:tr>
      <w:tr>
        <w:trPr>
          <w:cantSplit/>
        </w:trPr>
        <w:tc>
          <w:tcPr>
            <w:tcW w:w="714" w:type="dxa"/>
          </w:tcPr>
          <w:p>
            <w:pPr>
              <w:pStyle w:val="yTableNAm"/>
            </w:pPr>
            <w:r>
              <w:t>10.</w:t>
            </w:r>
          </w:p>
        </w:tc>
        <w:tc>
          <w:tcPr>
            <w:tcW w:w="3626" w:type="dxa"/>
          </w:tcPr>
          <w:p>
            <w:pPr>
              <w:pStyle w:val="yTableNAm"/>
            </w:pPr>
            <w:r>
              <w:t>For the use, other than casual daily use, of a piled mooring by a recreational vessel, tourism vessel or fishing vessel, an amount calculated per metre of the vessel’s length using the annual rate of</w:t>
            </w:r>
          </w:p>
        </w:tc>
        <w:tc>
          <w:tcPr>
            <w:tcW w:w="1343" w:type="dxa"/>
          </w:tcPr>
          <w:p>
            <w:pPr>
              <w:pStyle w:val="yTableNAm"/>
              <w:jc w:val="center"/>
            </w:pPr>
            <w:r>
              <w:br/>
            </w:r>
            <w:r>
              <w:br/>
            </w:r>
            <w:r>
              <w:br/>
            </w:r>
            <w:r>
              <w:br/>
              <w:t>343.89</w:t>
            </w:r>
          </w:p>
        </w:tc>
      </w:tr>
      <w:tr>
        <w:trPr>
          <w:cantSplit/>
        </w:trPr>
        <w:tc>
          <w:tcPr>
            <w:tcW w:w="714" w:type="dxa"/>
          </w:tcPr>
          <w:p>
            <w:pPr>
              <w:pStyle w:val="yTableNAm"/>
            </w:pPr>
            <w:r>
              <w:t>11.</w:t>
            </w:r>
          </w:p>
        </w:tc>
        <w:tc>
          <w:tcPr>
            <w:tcW w:w="3626" w:type="dxa"/>
          </w:tcPr>
          <w:p>
            <w:pPr>
              <w:pStyle w:val="yTableNAm"/>
            </w:pPr>
            <w:r>
              <w:t>For the use, other than casual daily use, of a piled mooring by a service vessel, an amount calculated per metre of the vessel’s length using the annual rate of</w:t>
            </w:r>
          </w:p>
        </w:tc>
        <w:tc>
          <w:tcPr>
            <w:tcW w:w="1343" w:type="dxa"/>
          </w:tcPr>
          <w:p>
            <w:pPr>
              <w:pStyle w:val="yTableNAm"/>
              <w:jc w:val="center"/>
            </w:pPr>
            <w:r>
              <w:br/>
            </w:r>
            <w:r>
              <w:br/>
            </w:r>
            <w:r>
              <w:br/>
              <w:t>563.75</w:t>
            </w:r>
          </w:p>
        </w:tc>
      </w:tr>
      <w:tr>
        <w:trPr>
          <w:cantSplit/>
        </w:trPr>
        <w:tc>
          <w:tcPr>
            <w:tcW w:w="714" w:type="dxa"/>
          </w:tcPr>
          <w:p>
            <w:pPr>
              <w:pStyle w:val="yTableNAm"/>
            </w:pPr>
            <w:r>
              <w:t>12.</w:t>
            </w:r>
          </w:p>
        </w:tc>
        <w:tc>
          <w:tcPr>
            <w:tcW w:w="3626" w:type="dxa"/>
          </w:tcPr>
          <w:p>
            <w:pPr>
              <w:pStyle w:val="yTableNAm"/>
            </w:pPr>
            <w:r>
              <w:t>For the casual daily use of a pen, alongside berth or piled mooring by a recreational vessel, an amount calculated using standard Rate 2</w:t>
            </w:r>
          </w:p>
        </w:tc>
        <w:tc>
          <w:tcPr>
            <w:tcW w:w="1343" w:type="dxa"/>
          </w:tcPr>
          <w:p>
            <w:pPr>
              <w:pStyle w:val="yTableNAm"/>
              <w:jc w:val="center"/>
            </w:pPr>
          </w:p>
        </w:tc>
      </w:tr>
      <w:tr>
        <w:trPr>
          <w:cantSplit/>
        </w:trPr>
        <w:tc>
          <w:tcPr>
            <w:tcW w:w="714" w:type="dxa"/>
          </w:tcPr>
          <w:p>
            <w:pPr>
              <w:pStyle w:val="yTableNAm"/>
            </w:pPr>
            <w:r>
              <w:t>13.</w:t>
            </w:r>
          </w:p>
        </w:tc>
        <w:tc>
          <w:tcPr>
            <w:tcW w:w="3626" w:type="dxa"/>
          </w:tcPr>
          <w:p>
            <w:pPr>
              <w:pStyle w:val="yTableNAm"/>
            </w:pPr>
            <w:r>
              <w:t>For the casual daily use of a pen, alongside berth or piled mooring by a tourism vessel or fishing vessel (but not a service vessel), an amount calculated using standard Rate 1</w:t>
            </w:r>
          </w:p>
        </w:tc>
        <w:tc>
          <w:tcPr>
            <w:tcW w:w="1343" w:type="dxa"/>
          </w:tcPr>
          <w:p>
            <w:pPr>
              <w:pStyle w:val="yTableNAm"/>
              <w:jc w:val="center"/>
            </w:pPr>
          </w:p>
        </w:tc>
      </w:tr>
      <w:tr>
        <w:trPr>
          <w:cantSplit/>
        </w:trPr>
        <w:tc>
          <w:tcPr>
            <w:tcW w:w="714" w:type="dxa"/>
          </w:tcPr>
          <w:p>
            <w:pPr>
              <w:pStyle w:val="yTableNAm"/>
            </w:pPr>
            <w:r>
              <w:t>14.</w:t>
            </w:r>
          </w:p>
        </w:tc>
        <w:tc>
          <w:tcPr>
            <w:tcW w:w="3626" w:type="dxa"/>
          </w:tcPr>
          <w:p>
            <w:pPr>
              <w:pStyle w:val="yTableNAm"/>
            </w:pPr>
            <w:r>
              <w:t>For the short term use of an alongside berth on the service wharf by a vessel (other than a service vessel), an amount calculated using standard Rate 3</w:t>
            </w:r>
          </w:p>
        </w:tc>
        <w:tc>
          <w:tcPr>
            <w:tcW w:w="1343" w:type="dxa"/>
          </w:tcPr>
          <w:p>
            <w:pPr>
              <w:pStyle w:val="yTableNAm"/>
              <w:jc w:val="center"/>
            </w:pPr>
          </w:p>
        </w:tc>
      </w:tr>
      <w:tr>
        <w:trPr>
          <w:cantSplit/>
        </w:trPr>
        <w:tc>
          <w:tcPr>
            <w:tcW w:w="714" w:type="dxa"/>
          </w:tcPr>
          <w:p>
            <w:pPr>
              <w:pStyle w:val="yTableNAm"/>
            </w:pPr>
            <w:r>
              <w:t>15.</w:t>
            </w:r>
          </w:p>
        </w:tc>
        <w:tc>
          <w:tcPr>
            <w:tcW w:w="3626" w:type="dxa"/>
          </w:tcPr>
          <w:p>
            <w:pPr>
              <w:pStyle w:val="yTableNAm"/>
            </w:pPr>
            <w:r>
              <w:t>For the casual daily use of a pen, alongside berth other than the service wharf or piled mooring by a service vessel, an amount calculated per metre of the vessel’s length at the daily rate of</w:t>
            </w:r>
          </w:p>
        </w:tc>
        <w:tc>
          <w:tcPr>
            <w:tcW w:w="1343" w:type="dxa"/>
          </w:tcPr>
          <w:p>
            <w:pPr>
              <w:pStyle w:val="yTableNAm"/>
              <w:jc w:val="center"/>
            </w:pPr>
            <w:r>
              <w:br/>
            </w:r>
            <w:r>
              <w:br/>
            </w:r>
            <w:r>
              <w:br/>
            </w:r>
            <w:r>
              <w:br/>
              <w:t>10.89</w:t>
            </w:r>
          </w:p>
        </w:tc>
      </w:tr>
      <w:tr>
        <w:trPr>
          <w:cantSplit/>
        </w:trPr>
        <w:tc>
          <w:tcPr>
            <w:tcW w:w="714" w:type="dxa"/>
          </w:tcPr>
          <w:p>
            <w:pPr>
              <w:pStyle w:val="yTableNAm"/>
            </w:pPr>
            <w:r>
              <w:t>16.</w:t>
            </w:r>
          </w:p>
        </w:tc>
        <w:tc>
          <w:tcPr>
            <w:tcW w:w="3626" w:type="dxa"/>
          </w:tcPr>
          <w:p>
            <w:pPr>
              <w:pStyle w:val="yTableNAm"/>
            </w:pPr>
            <w:r>
              <w:t>For the use of a service wharf, other than while refuelling, by a service vessel, an amount calculated per metre of the vessel’s length at the 12</w:t>
            </w:r>
            <w:r>
              <w:noBreakHyphen/>
              <w:t>hourly rate of</w:t>
            </w:r>
          </w:p>
        </w:tc>
        <w:tc>
          <w:tcPr>
            <w:tcW w:w="1343" w:type="dxa"/>
          </w:tcPr>
          <w:p>
            <w:pPr>
              <w:pStyle w:val="yTableNAm"/>
              <w:jc w:val="center"/>
            </w:pPr>
            <w:r>
              <w:br/>
            </w:r>
            <w:r>
              <w:br/>
            </w:r>
            <w:r>
              <w:br/>
              <w:t>16.81</w:t>
            </w:r>
          </w:p>
        </w:tc>
      </w:tr>
      <w:tr>
        <w:trPr>
          <w:cantSplit/>
        </w:trPr>
        <w:tc>
          <w:tcPr>
            <w:tcW w:w="714" w:type="dxa"/>
            <w:tcBorders>
              <w:bottom w:val="single" w:sz="4" w:space="0" w:color="auto"/>
            </w:tcBorders>
          </w:tcPr>
          <w:p>
            <w:pPr>
              <w:pStyle w:val="yTableNAm"/>
            </w:pPr>
            <w:r>
              <w:t>17.</w:t>
            </w:r>
          </w:p>
        </w:tc>
        <w:tc>
          <w:tcPr>
            <w:tcW w:w="3626"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343" w:type="dxa"/>
            <w:tcBorders>
              <w:bottom w:val="single" w:sz="4" w:space="0" w:color="auto"/>
            </w:tcBorders>
          </w:tcPr>
          <w:p>
            <w:pPr>
              <w:pStyle w:val="yTableNAm"/>
              <w:jc w:val="center"/>
            </w:pPr>
            <w:r>
              <w:br/>
            </w:r>
            <w:r>
              <w:br/>
            </w:r>
            <w:r>
              <w:br/>
              <w:t>1.65</w:t>
            </w:r>
          </w:p>
        </w:tc>
      </w:tr>
    </w:tbl>
    <w:p>
      <w:pPr>
        <w:pStyle w:val="yFootnotesection"/>
      </w:pPr>
      <w:bookmarkStart w:id="227" w:name="_Toc402879119"/>
      <w:r>
        <w:tab/>
        <w:t>[Clause 12 inserted in Gazette 22 Jul 2015 p. 2964</w:t>
      </w:r>
      <w:r>
        <w:noBreakHyphen/>
        <w:t>7.]</w:t>
      </w:r>
    </w:p>
    <w:p>
      <w:pPr>
        <w:pStyle w:val="yHeading5"/>
      </w:pPr>
      <w:bookmarkStart w:id="228" w:name="_Toc425338086"/>
      <w:r>
        <w:rPr>
          <w:rStyle w:val="CharSClsNo"/>
        </w:rPr>
        <w:t>13</w:t>
      </w:r>
      <w:r>
        <w:t>.</w:t>
      </w:r>
      <w:r>
        <w:tab/>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227"/>
      <w:bookmarkEnd w:id="228"/>
    </w:p>
    <w:p>
      <w:pPr>
        <w:pStyle w:val="ySubsection"/>
      </w:pPr>
      <w:r>
        <w:tab/>
        <w:t>(1)</w:t>
      </w:r>
      <w:r>
        <w:tab/>
        <w:t xml:space="preserve">This clause applies to the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13.1.</w:t>
      </w:r>
    </w:p>
    <w:p>
      <w:pPr>
        <w:pStyle w:val="yTHeadingNAm"/>
      </w:pPr>
      <w:r>
        <w:t>Table 13.1 (Pen or berth rental)</w:t>
      </w:r>
    </w:p>
    <w:tbl>
      <w:tblPr>
        <w:tblW w:w="5697" w:type="dxa"/>
        <w:tblInd w:w="1009" w:type="dxa"/>
        <w:tblLayout w:type="fixed"/>
        <w:tblCellMar>
          <w:top w:w="57" w:type="dxa"/>
          <w:left w:w="57" w:type="dxa"/>
          <w:right w:w="57" w:type="dxa"/>
        </w:tblCellMar>
        <w:tblLook w:val="0000" w:firstRow="0" w:lastRow="0" w:firstColumn="0" w:lastColumn="0" w:noHBand="0" w:noVBand="0"/>
      </w:tblPr>
      <w:tblGrid>
        <w:gridCol w:w="714"/>
        <w:gridCol w:w="3626"/>
        <w:gridCol w:w="1357"/>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3626" w:type="dxa"/>
            <w:tcBorders>
              <w:top w:val="single" w:sz="4" w:space="0" w:color="auto"/>
              <w:bottom w:val="single" w:sz="4" w:space="0" w:color="auto"/>
            </w:tcBorders>
          </w:tcPr>
          <w:p>
            <w:pPr>
              <w:pStyle w:val="yTableNAm"/>
              <w:keepNext/>
            </w:pPr>
            <w:r>
              <w:rPr>
                <w:b/>
              </w:rPr>
              <w:t>Service</w:t>
            </w:r>
          </w:p>
        </w:tc>
        <w:tc>
          <w:tcPr>
            <w:tcW w:w="1357" w:type="dxa"/>
            <w:tcBorders>
              <w:top w:val="single" w:sz="4" w:space="0" w:color="auto"/>
              <w:bottom w:val="single" w:sz="4" w:space="0" w:color="auto"/>
            </w:tcBorders>
          </w:tcPr>
          <w:p>
            <w:pPr>
              <w:pStyle w:val="yTableNAm"/>
              <w:keepNext/>
              <w:jc w:val="center"/>
            </w:pPr>
            <w:r>
              <w:rPr>
                <w:b/>
              </w:rPr>
              <w:t>$</w:t>
            </w:r>
          </w:p>
        </w:tc>
      </w:tr>
      <w:tr>
        <w:trPr>
          <w:cantSplit/>
        </w:trPr>
        <w:tc>
          <w:tcPr>
            <w:tcW w:w="714" w:type="dxa"/>
          </w:tcPr>
          <w:p>
            <w:pPr>
              <w:pStyle w:val="yTableNAm"/>
            </w:pPr>
            <w:r>
              <w:t>1.</w:t>
            </w:r>
          </w:p>
        </w:tc>
        <w:tc>
          <w:tcPr>
            <w:tcW w:w="3626" w:type="dxa"/>
          </w:tcPr>
          <w:p>
            <w:pPr>
              <w:pStyle w:val="yTableNAm"/>
            </w:pPr>
            <w:r>
              <w:t xml:space="preserve">For the use, other than casual daily use, of a pen (not within Jetty 1A and Jetty 2A) with a walkway — </w:t>
            </w:r>
          </w:p>
        </w:tc>
        <w:tc>
          <w:tcPr>
            <w:tcW w:w="1357" w:type="dxa"/>
          </w:tcPr>
          <w:p>
            <w:pPr>
              <w:pStyle w:val="yTableNAm"/>
              <w:jc w:val="center"/>
            </w:pPr>
          </w:p>
        </w:tc>
      </w:tr>
      <w:tr>
        <w:trPr>
          <w:cantSplit/>
        </w:trPr>
        <w:tc>
          <w:tcPr>
            <w:tcW w:w="714" w:type="dxa"/>
          </w:tcPr>
          <w:p>
            <w:pPr>
              <w:pStyle w:val="zyTableNAm"/>
            </w:pPr>
          </w:p>
        </w:tc>
        <w:tc>
          <w:tcPr>
            <w:tcW w:w="3626" w:type="dxa"/>
          </w:tcPr>
          <w:p>
            <w:pPr>
              <w:pStyle w:val="yTableNAm"/>
              <w:tabs>
                <w:tab w:val="clear" w:pos="567"/>
              </w:tabs>
              <w:ind w:left="226" w:hanging="226"/>
            </w:pPr>
            <w:r>
              <w:t>•</w:t>
            </w:r>
            <w:r>
              <w:tab/>
              <w:t>by a commercial vessel, an amount calculated per metre of the pen’s length using the annual rate of</w:t>
            </w:r>
          </w:p>
        </w:tc>
        <w:tc>
          <w:tcPr>
            <w:tcW w:w="1357" w:type="dxa"/>
          </w:tcPr>
          <w:p>
            <w:pPr>
              <w:pStyle w:val="yTableNAm"/>
              <w:jc w:val="center"/>
            </w:pPr>
            <w:r>
              <w:br/>
            </w:r>
            <w:r>
              <w:br/>
              <w:t>338.25</w:t>
            </w:r>
          </w:p>
        </w:tc>
      </w:tr>
      <w:tr>
        <w:trPr>
          <w:cantSplit/>
        </w:trPr>
        <w:tc>
          <w:tcPr>
            <w:tcW w:w="714" w:type="dxa"/>
          </w:tcPr>
          <w:p>
            <w:pPr>
              <w:pStyle w:val="zyTableNAm"/>
            </w:pPr>
          </w:p>
        </w:tc>
        <w:tc>
          <w:tcPr>
            <w:tcW w:w="3626" w:type="dxa"/>
          </w:tcPr>
          <w:p>
            <w:pPr>
              <w:pStyle w:val="yTableNAm"/>
              <w:tabs>
                <w:tab w:val="clear" w:pos="567"/>
              </w:tabs>
              <w:ind w:left="226" w:hanging="226"/>
            </w:pPr>
            <w:r>
              <w:t>•</w:t>
            </w:r>
            <w:r>
              <w:tab/>
              <w:t>by a recreational vessel, an amount calculated per metre of the pen’s length using the annual rate of</w:t>
            </w:r>
          </w:p>
        </w:tc>
        <w:tc>
          <w:tcPr>
            <w:tcW w:w="1357" w:type="dxa"/>
          </w:tcPr>
          <w:p>
            <w:pPr>
              <w:pStyle w:val="yTableNAm"/>
              <w:jc w:val="center"/>
            </w:pPr>
            <w:r>
              <w:br/>
            </w:r>
            <w:r>
              <w:br/>
              <w:t>451.00</w:t>
            </w:r>
          </w:p>
        </w:tc>
      </w:tr>
      <w:tr>
        <w:trPr>
          <w:cantSplit/>
        </w:trPr>
        <w:tc>
          <w:tcPr>
            <w:tcW w:w="714" w:type="dxa"/>
          </w:tcPr>
          <w:p>
            <w:pPr>
              <w:pStyle w:val="yTableNAm"/>
            </w:pPr>
            <w:r>
              <w:t>2.</w:t>
            </w:r>
          </w:p>
        </w:tc>
        <w:tc>
          <w:tcPr>
            <w:tcW w:w="3626" w:type="dxa"/>
          </w:tcPr>
          <w:p>
            <w:pPr>
              <w:pStyle w:val="yTableNAm"/>
            </w:pPr>
            <w:r>
              <w:t xml:space="preserve">For the use, other than casual daily use, of a pen (not within Jetty 1A and Jetty 2A) without a walkway — </w:t>
            </w:r>
          </w:p>
        </w:tc>
        <w:tc>
          <w:tcPr>
            <w:tcW w:w="1357" w:type="dxa"/>
          </w:tcPr>
          <w:p>
            <w:pPr>
              <w:pStyle w:val="yTableNAm"/>
              <w:jc w:val="center"/>
            </w:pPr>
          </w:p>
        </w:tc>
      </w:tr>
      <w:tr>
        <w:trPr>
          <w:cantSplit/>
        </w:trPr>
        <w:tc>
          <w:tcPr>
            <w:tcW w:w="714" w:type="dxa"/>
          </w:tcPr>
          <w:p>
            <w:pPr>
              <w:pStyle w:val="zyTableNAm"/>
            </w:pPr>
          </w:p>
        </w:tc>
        <w:tc>
          <w:tcPr>
            <w:tcW w:w="3626" w:type="dxa"/>
          </w:tcPr>
          <w:p>
            <w:pPr>
              <w:pStyle w:val="yTableNAm"/>
              <w:tabs>
                <w:tab w:val="clear" w:pos="567"/>
              </w:tabs>
              <w:ind w:left="226" w:hanging="226"/>
            </w:pPr>
            <w:r>
              <w:t>•</w:t>
            </w:r>
            <w:r>
              <w:tab/>
              <w:t>by a commercial vessel, an amount calculated per metre of the pen’s length using the annual rate of</w:t>
            </w:r>
          </w:p>
        </w:tc>
        <w:tc>
          <w:tcPr>
            <w:tcW w:w="1357" w:type="dxa"/>
          </w:tcPr>
          <w:p>
            <w:pPr>
              <w:pStyle w:val="yTableNAm"/>
              <w:jc w:val="center"/>
            </w:pPr>
            <w:r>
              <w:br/>
            </w:r>
            <w:r>
              <w:br/>
              <w:t>310.06</w:t>
            </w:r>
          </w:p>
        </w:tc>
      </w:tr>
      <w:tr>
        <w:trPr>
          <w:cantSplit/>
        </w:trPr>
        <w:tc>
          <w:tcPr>
            <w:tcW w:w="714" w:type="dxa"/>
          </w:tcPr>
          <w:p>
            <w:pPr>
              <w:pStyle w:val="zyTableNAm"/>
            </w:pPr>
          </w:p>
        </w:tc>
        <w:tc>
          <w:tcPr>
            <w:tcW w:w="3626" w:type="dxa"/>
          </w:tcPr>
          <w:p>
            <w:pPr>
              <w:pStyle w:val="yTableNAm"/>
              <w:tabs>
                <w:tab w:val="clear" w:pos="567"/>
              </w:tabs>
              <w:ind w:left="226" w:hanging="226"/>
            </w:pPr>
            <w:r>
              <w:t>•</w:t>
            </w:r>
            <w:r>
              <w:tab/>
              <w:t>by a recreational vessel, an amount calculated per metre of the pen’s length using the annual rate of</w:t>
            </w:r>
          </w:p>
        </w:tc>
        <w:tc>
          <w:tcPr>
            <w:tcW w:w="1357" w:type="dxa"/>
          </w:tcPr>
          <w:p>
            <w:pPr>
              <w:pStyle w:val="yTableNAm"/>
              <w:jc w:val="center"/>
            </w:pPr>
            <w:r>
              <w:br/>
            </w:r>
            <w:r>
              <w:br/>
              <w:t>422.81</w:t>
            </w:r>
          </w:p>
        </w:tc>
      </w:tr>
      <w:tr>
        <w:trPr>
          <w:cantSplit/>
        </w:trPr>
        <w:tc>
          <w:tcPr>
            <w:tcW w:w="714" w:type="dxa"/>
          </w:tcPr>
          <w:p>
            <w:pPr>
              <w:pStyle w:val="yTableNAm"/>
            </w:pPr>
            <w:r>
              <w:t>3.</w:t>
            </w:r>
          </w:p>
        </w:tc>
        <w:tc>
          <w:tcPr>
            <w:tcW w:w="3626" w:type="dxa"/>
          </w:tcPr>
          <w:p>
            <w:pPr>
              <w:pStyle w:val="yTableNAm"/>
            </w:pPr>
            <w:r>
              <w:t xml:space="preserve">For the use, other than casual daily use, of an alongside berth (not within Jetty 1A and Jetty 2A) — </w:t>
            </w:r>
          </w:p>
        </w:tc>
        <w:tc>
          <w:tcPr>
            <w:tcW w:w="1357" w:type="dxa"/>
          </w:tcPr>
          <w:p>
            <w:pPr>
              <w:pStyle w:val="yTableNAm"/>
              <w:jc w:val="center"/>
            </w:pPr>
          </w:p>
        </w:tc>
      </w:tr>
      <w:tr>
        <w:trPr>
          <w:cantSplit/>
        </w:trPr>
        <w:tc>
          <w:tcPr>
            <w:tcW w:w="714" w:type="dxa"/>
          </w:tcPr>
          <w:p>
            <w:pPr>
              <w:pStyle w:val="zyTableNAm"/>
            </w:pPr>
          </w:p>
        </w:tc>
        <w:tc>
          <w:tcPr>
            <w:tcW w:w="3626" w:type="dxa"/>
          </w:tcPr>
          <w:p>
            <w:pPr>
              <w:pStyle w:val="yTableNAm"/>
              <w:tabs>
                <w:tab w:val="clear" w:pos="567"/>
              </w:tabs>
              <w:ind w:left="226" w:hanging="226"/>
            </w:pPr>
            <w:r>
              <w:t>•</w:t>
            </w:r>
            <w:r>
              <w:tab/>
              <w:t>by a commercial vessel, an amount calculated per metre of the vessel’s length using the annual rate of</w:t>
            </w:r>
          </w:p>
        </w:tc>
        <w:tc>
          <w:tcPr>
            <w:tcW w:w="1357" w:type="dxa"/>
          </w:tcPr>
          <w:p>
            <w:pPr>
              <w:pStyle w:val="yTableNAm"/>
              <w:jc w:val="center"/>
            </w:pPr>
            <w:r>
              <w:br/>
            </w:r>
            <w:r>
              <w:br/>
              <w:t>338.25</w:t>
            </w:r>
          </w:p>
        </w:tc>
      </w:tr>
      <w:tr>
        <w:trPr>
          <w:cantSplit/>
        </w:trPr>
        <w:tc>
          <w:tcPr>
            <w:tcW w:w="714" w:type="dxa"/>
          </w:tcPr>
          <w:p>
            <w:pPr>
              <w:pStyle w:val="zyTableNAm"/>
            </w:pPr>
          </w:p>
        </w:tc>
        <w:tc>
          <w:tcPr>
            <w:tcW w:w="3626" w:type="dxa"/>
          </w:tcPr>
          <w:p>
            <w:pPr>
              <w:pStyle w:val="yTableNAm"/>
              <w:tabs>
                <w:tab w:val="clear" w:pos="567"/>
              </w:tabs>
              <w:ind w:left="226" w:hanging="226"/>
            </w:pPr>
            <w:r>
              <w:t>•</w:t>
            </w:r>
            <w:r>
              <w:tab/>
              <w:t>by a recreational vessel, an amount calculated per metre of the vessel’s length using the annual rate of</w:t>
            </w:r>
          </w:p>
        </w:tc>
        <w:tc>
          <w:tcPr>
            <w:tcW w:w="1357" w:type="dxa"/>
          </w:tcPr>
          <w:p>
            <w:pPr>
              <w:pStyle w:val="yTableNAm"/>
              <w:jc w:val="center"/>
            </w:pPr>
            <w:r>
              <w:br/>
            </w:r>
            <w:r>
              <w:br/>
              <w:t>451.00</w:t>
            </w:r>
          </w:p>
        </w:tc>
      </w:tr>
      <w:tr>
        <w:trPr>
          <w:cantSplit/>
        </w:trPr>
        <w:tc>
          <w:tcPr>
            <w:tcW w:w="714" w:type="dxa"/>
          </w:tcPr>
          <w:p>
            <w:pPr>
              <w:pStyle w:val="yTableNAm"/>
            </w:pPr>
            <w:r>
              <w:t>4.</w:t>
            </w:r>
          </w:p>
        </w:tc>
        <w:tc>
          <w:tcPr>
            <w:tcW w:w="3626" w:type="dxa"/>
          </w:tcPr>
          <w:p>
            <w:pPr>
              <w:pStyle w:val="yTableNAm"/>
            </w:pPr>
            <w:r>
              <w:t>For the use, other than casual daily use, of a pen (within Jetty 1A and Jetty 2A) by a vessel, an amount calculated per metre of the pen’s length using the annual rate of</w:t>
            </w:r>
          </w:p>
        </w:tc>
        <w:tc>
          <w:tcPr>
            <w:tcW w:w="1357" w:type="dxa"/>
          </w:tcPr>
          <w:p>
            <w:pPr>
              <w:pStyle w:val="yTableNAm"/>
              <w:jc w:val="center"/>
            </w:pPr>
            <w:r>
              <w:br/>
            </w:r>
            <w:r>
              <w:br/>
            </w:r>
            <w:r>
              <w:br/>
              <w:t>676.50</w:t>
            </w:r>
          </w:p>
        </w:tc>
      </w:tr>
      <w:tr>
        <w:trPr>
          <w:cantSplit/>
        </w:trPr>
        <w:tc>
          <w:tcPr>
            <w:tcW w:w="714" w:type="dxa"/>
          </w:tcPr>
          <w:p>
            <w:pPr>
              <w:pStyle w:val="yTableNAm"/>
            </w:pPr>
            <w:r>
              <w:t>5.</w:t>
            </w:r>
          </w:p>
        </w:tc>
        <w:tc>
          <w:tcPr>
            <w:tcW w:w="3626" w:type="dxa"/>
          </w:tcPr>
          <w:p>
            <w:pPr>
              <w:pStyle w:val="yTableNAm"/>
            </w:pPr>
            <w:r>
              <w:t>For the use, other than casual daily use, of an alongside berth (within Jetty 1A and Jetty 2A) by a vessel, an amount calculated per metre of the vessel’s length using the annual rate of</w:t>
            </w:r>
          </w:p>
        </w:tc>
        <w:tc>
          <w:tcPr>
            <w:tcW w:w="1357" w:type="dxa"/>
          </w:tcPr>
          <w:p>
            <w:pPr>
              <w:pStyle w:val="yTableNAm"/>
              <w:jc w:val="center"/>
            </w:pPr>
            <w:r>
              <w:br/>
            </w:r>
            <w:r>
              <w:br/>
            </w:r>
            <w:r>
              <w:br/>
            </w:r>
            <w:r>
              <w:br/>
              <w:t>676.50</w:t>
            </w:r>
          </w:p>
        </w:tc>
      </w:tr>
      <w:tr>
        <w:trPr>
          <w:cantSplit/>
        </w:trPr>
        <w:tc>
          <w:tcPr>
            <w:tcW w:w="714" w:type="dxa"/>
          </w:tcPr>
          <w:p>
            <w:pPr>
              <w:pStyle w:val="yTableNAm"/>
            </w:pPr>
            <w:r>
              <w:t>6.</w:t>
            </w:r>
          </w:p>
        </w:tc>
        <w:tc>
          <w:tcPr>
            <w:tcW w:w="3626" w:type="dxa"/>
          </w:tcPr>
          <w:p>
            <w:pPr>
              <w:pStyle w:val="yTableNAm"/>
            </w:pPr>
            <w:r>
              <w:t xml:space="preserve">For the casual daily use of a pen or alongside berth — </w:t>
            </w:r>
          </w:p>
        </w:tc>
        <w:tc>
          <w:tcPr>
            <w:tcW w:w="1357" w:type="dxa"/>
          </w:tcPr>
          <w:p>
            <w:pPr>
              <w:pStyle w:val="yTableNAm"/>
              <w:jc w:val="center"/>
            </w:pPr>
          </w:p>
        </w:tc>
      </w:tr>
      <w:tr>
        <w:trPr>
          <w:cantSplit/>
        </w:trPr>
        <w:tc>
          <w:tcPr>
            <w:tcW w:w="714" w:type="dxa"/>
          </w:tcPr>
          <w:p>
            <w:pPr>
              <w:pStyle w:val="zyTableNAm"/>
            </w:pPr>
          </w:p>
        </w:tc>
        <w:tc>
          <w:tcPr>
            <w:tcW w:w="3626" w:type="dxa"/>
          </w:tcPr>
          <w:p>
            <w:pPr>
              <w:pStyle w:val="yTableNAm"/>
              <w:tabs>
                <w:tab w:val="clear" w:pos="567"/>
              </w:tabs>
              <w:ind w:left="226" w:hanging="226"/>
            </w:pPr>
            <w:r>
              <w:t>•</w:t>
            </w:r>
            <w:r>
              <w:tab/>
              <w:t>by a commercial vessel, an amount calculated using standard Rate 1</w:t>
            </w:r>
          </w:p>
        </w:tc>
        <w:tc>
          <w:tcPr>
            <w:tcW w:w="1357" w:type="dxa"/>
          </w:tcPr>
          <w:p>
            <w:pPr>
              <w:pStyle w:val="yTableNAm"/>
              <w:jc w:val="center"/>
            </w:pPr>
          </w:p>
        </w:tc>
      </w:tr>
      <w:tr>
        <w:trPr>
          <w:cantSplit/>
        </w:trPr>
        <w:tc>
          <w:tcPr>
            <w:tcW w:w="714" w:type="dxa"/>
          </w:tcPr>
          <w:p>
            <w:pPr>
              <w:pStyle w:val="zyTableNAm"/>
            </w:pPr>
          </w:p>
        </w:tc>
        <w:tc>
          <w:tcPr>
            <w:tcW w:w="3626" w:type="dxa"/>
          </w:tcPr>
          <w:p>
            <w:pPr>
              <w:pStyle w:val="yTableNAm"/>
              <w:tabs>
                <w:tab w:val="clear" w:pos="567"/>
              </w:tabs>
              <w:ind w:left="226" w:hanging="226"/>
            </w:pPr>
            <w:r>
              <w:t>•</w:t>
            </w:r>
            <w:r>
              <w:tab/>
              <w:t>by a recreational vessel, an amount calculated using standard Rate 2</w:t>
            </w:r>
          </w:p>
        </w:tc>
        <w:tc>
          <w:tcPr>
            <w:tcW w:w="1357" w:type="dxa"/>
          </w:tcPr>
          <w:p>
            <w:pPr>
              <w:pStyle w:val="yTableNAm"/>
              <w:jc w:val="center"/>
            </w:pPr>
          </w:p>
        </w:tc>
      </w:tr>
      <w:tr>
        <w:trPr>
          <w:cantSplit/>
        </w:trPr>
        <w:tc>
          <w:tcPr>
            <w:tcW w:w="714" w:type="dxa"/>
            <w:tcBorders>
              <w:bottom w:val="single" w:sz="4" w:space="0" w:color="auto"/>
            </w:tcBorders>
          </w:tcPr>
          <w:p>
            <w:pPr>
              <w:pStyle w:val="yTableNAm"/>
            </w:pPr>
            <w:r>
              <w:t>7.</w:t>
            </w:r>
          </w:p>
        </w:tc>
        <w:tc>
          <w:tcPr>
            <w:tcW w:w="3626" w:type="dxa"/>
            <w:tcBorders>
              <w:bottom w:val="single" w:sz="4" w:space="0" w:color="auto"/>
            </w:tcBorders>
          </w:tcPr>
          <w:p>
            <w:pPr>
              <w:pStyle w:val="yTableNAm"/>
            </w:pPr>
            <w:r>
              <w:t>For the short term use of a service wharf or jetty, an amount calculated using standard Rate 3</w:t>
            </w:r>
          </w:p>
        </w:tc>
        <w:tc>
          <w:tcPr>
            <w:tcW w:w="1357" w:type="dxa"/>
            <w:tcBorders>
              <w:bottom w:val="single" w:sz="4" w:space="0" w:color="auto"/>
            </w:tcBorders>
            <w:vAlign w:val="bottom"/>
          </w:tcPr>
          <w:p>
            <w:pPr>
              <w:pStyle w:val="yTableNAm"/>
              <w:jc w:val="center"/>
            </w:pPr>
          </w:p>
        </w:tc>
      </w:tr>
    </w:tbl>
    <w:p>
      <w:pPr>
        <w:pStyle w:val="yFootnotesection"/>
      </w:pPr>
      <w:bookmarkStart w:id="229" w:name="_Toc402879120"/>
      <w:r>
        <w:tab/>
        <w:t>[Clause 13 inserted in Gazette 22 Jul 2015 p. 2967</w:t>
      </w:r>
      <w:r>
        <w:noBreakHyphen/>
        <w:t>9.]</w:t>
      </w:r>
    </w:p>
    <w:p>
      <w:pPr>
        <w:pStyle w:val="yHeading5"/>
      </w:pPr>
      <w:bookmarkStart w:id="230" w:name="_Toc425338087"/>
      <w:r>
        <w:rPr>
          <w:rStyle w:val="CharSClsNo"/>
        </w:rPr>
        <w:t>14</w:t>
      </w:r>
      <w:r>
        <w:t>.</w:t>
      </w:r>
      <w:r>
        <w:tab/>
        <w:t xml:space="preserve">Geraldton,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229"/>
      <w:bookmarkEnd w:id="230"/>
    </w:p>
    <w:p>
      <w:pPr>
        <w:pStyle w:val="ySubsection"/>
      </w:pPr>
      <w:r>
        <w:tab/>
        <w:t>(1)</w:t>
      </w:r>
      <w:r>
        <w:tab/>
        <w:t xml:space="preserve">This clause applies to the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Geraldton.</w:t>
      </w:r>
    </w:p>
    <w:p>
      <w:pPr>
        <w:pStyle w:val="ySubsection"/>
      </w:pPr>
      <w:r>
        <w:tab/>
        <w:t>(2)</w:t>
      </w:r>
      <w:r>
        <w:tab/>
        <w:t>The dues and charges to be paid under these regulations are set out in Table 14.1.</w:t>
      </w:r>
    </w:p>
    <w:p>
      <w:pPr>
        <w:pStyle w:val="yTHeadingNAm"/>
      </w:pPr>
      <w:r>
        <w:t>Table 14.1 (Pen or berth rental)</w:t>
      </w:r>
    </w:p>
    <w:tbl>
      <w:tblPr>
        <w:tblW w:w="5683" w:type="dxa"/>
        <w:tblInd w:w="1009" w:type="dxa"/>
        <w:tblLayout w:type="fixed"/>
        <w:tblCellMar>
          <w:top w:w="57" w:type="dxa"/>
          <w:left w:w="57" w:type="dxa"/>
          <w:right w:w="57" w:type="dxa"/>
        </w:tblCellMar>
        <w:tblLook w:val="0000" w:firstRow="0" w:lastRow="0" w:firstColumn="0" w:lastColumn="0" w:noHBand="0" w:noVBand="0"/>
      </w:tblPr>
      <w:tblGrid>
        <w:gridCol w:w="714"/>
        <w:gridCol w:w="3626"/>
        <w:gridCol w:w="1343"/>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3626" w:type="dxa"/>
            <w:tcBorders>
              <w:top w:val="single" w:sz="4" w:space="0" w:color="auto"/>
              <w:bottom w:val="single" w:sz="4" w:space="0" w:color="auto"/>
            </w:tcBorders>
          </w:tcPr>
          <w:p>
            <w:pPr>
              <w:pStyle w:val="yTableNAm"/>
            </w:pPr>
            <w:r>
              <w:rPr>
                <w:b/>
              </w:rPr>
              <w:t>Service</w:t>
            </w:r>
          </w:p>
        </w:tc>
        <w:tc>
          <w:tcPr>
            <w:tcW w:w="1343"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3626" w:type="dxa"/>
          </w:tcPr>
          <w:p>
            <w:pPr>
              <w:pStyle w:val="yTableNAm"/>
            </w:pPr>
            <w:r>
              <w:t>For the use, other than casual daily use, of a pen by a vessel, an amount calculated per metre of the pen’s length using the annual rate of</w:t>
            </w:r>
          </w:p>
        </w:tc>
        <w:tc>
          <w:tcPr>
            <w:tcW w:w="1343" w:type="dxa"/>
          </w:tcPr>
          <w:p>
            <w:pPr>
              <w:pStyle w:val="yTableNAm"/>
              <w:jc w:val="center"/>
            </w:pPr>
            <w:r>
              <w:br/>
            </w:r>
            <w:r>
              <w:br/>
            </w:r>
            <w:r>
              <w:br/>
              <w:t>540.34</w:t>
            </w:r>
          </w:p>
        </w:tc>
      </w:tr>
      <w:tr>
        <w:trPr>
          <w:cantSplit/>
        </w:trPr>
        <w:tc>
          <w:tcPr>
            <w:tcW w:w="714" w:type="dxa"/>
          </w:tcPr>
          <w:p>
            <w:pPr>
              <w:pStyle w:val="yTableNAm"/>
            </w:pPr>
            <w:r>
              <w:t>2.</w:t>
            </w:r>
          </w:p>
        </w:tc>
        <w:tc>
          <w:tcPr>
            <w:tcW w:w="3626" w:type="dxa"/>
          </w:tcPr>
          <w:p>
            <w:pPr>
              <w:pStyle w:val="yTableNAm"/>
            </w:pPr>
            <w:r>
              <w:t>For the use, other than casual daily use, of an alongside berth by a vessel — an amount calculated per metre of the vessel’s length using the annual rate of</w:t>
            </w:r>
          </w:p>
        </w:tc>
        <w:tc>
          <w:tcPr>
            <w:tcW w:w="1343" w:type="dxa"/>
          </w:tcPr>
          <w:p>
            <w:pPr>
              <w:pStyle w:val="yTableNAm"/>
              <w:jc w:val="center"/>
            </w:pPr>
            <w:r>
              <w:br/>
            </w:r>
            <w:r>
              <w:br/>
            </w:r>
            <w:r>
              <w:br/>
              <w:t>540.34</w:t>
            </w:r>
          </w:p>
        </w:tc>
      </w:tr>
      <w:tr>
        <w:trPr>
          <w:cantSplit/>
        </w:trPr>
        <w:tc>
          <w:tcPr>
            <w:tcW w:w="714" w:type="dxa"/>
          </w:tcPr>
          <w:p>
            <w:pPr>
              <w:pStyle w:val="yTableNAm"/>
            </w:pPr>
            <w:r>
              <w:t>3.</w:t>
            </w:r>
          </w:p>
        </w:tc>
        <w:tc>
          <w:tcPr>
            <w:tcW w:w="3626" w:type="dxa"/>
          </w:tcPr>
          <w:p>
            <w:pPr>
              <w:pStyle w:val="yTableNAm"/>
            </w:pPr>
            <w:r>
              <w:t xml:space="preserve">For the casual daily use of a pen or alongside berth — </w:t>
            </w:r>
          </w:p>
        </w:tc>
        <w:tc>
          <w:tcPr>
            <w:tcW w:w="1343" w:type="dxa"/>
          </w:tcPr>
          <w:p>
            <w:pPr>
              <w:pStyle w:val="yTableNAm"/>
              <w:jc w:val="center"/>
            </w:pPr>
          </w:p>
        </w:tc>
      </w:tr>
      <w:tr>
        <w:trPr>
          <w:cantSplit/>
        </w:trPr>
        <w:tc>
          <w:tcPr>
            <w:tcW w:w="714" w:type="dxa"/>
          </w:tcPr>
          <w:p>
            <w:pPr>
              <w:pStyle w:val="zyTableNAm"/>
            </w:pPr>
          </w:p>
        </w:tc>
        <w:tc>
          <w:tcPr>
            <w:tcW w:w="3626" w:type="dxa"/>
          </w:tcPr>
          <w:p>
            <w:pPr>
              <w:pStyle w:val="yTableNAm"/>
              <w:tabs>
                <w:tab w:val="clear" w:pos="567"/>
              </w:tabs>
              <w:ind w:left="226" w:hanging="226"/>
            </w:pPr>
            <w:r>
              <w:t>•</w:t>
            </w:r>
            <w:r>
              <w:tab/>
              <w:t>by a commercial vessel, an amount calculated using standard Rate 1</w:t>
            </w:r>
          </w:p>
        </w:tc>
        <w:tc>
          <w:tcPr>
            <w:tcW w:w="1343" w:type="dxa"/>
          </w:tcPr>
          <w:p>
            <w:pPr>
              <w:pStyle w:val="yTableNAm"/>
              <w:jc w:val="center"/>
            </w:pPr>
          </w:p>
        </w:tc>
      </w:tr>
      <w:tr>
        <w:trPr>
          <w:cantSplit/>
        </w:trPr>
        <w:tc>
          <w:tcPr>
            <w:tcW w:w="714" w:type="dxa"/>
          </w:tcPr>
          <w:p>
            <w:pPr>
              <w:pStyle w:val="zyTableNAm"/>
            </w:pPr>
          </w:p>
        </w:tc>
        <w:tc>
          <w:tcPr>
            <w:tcW w:w="3626" w:type="dxa"/>
          </w:tcPr>
          <w:p>
            <w:pPr>
              <w:pStyle w:val="yTableNAm"/>
              <w:tabs>
                <w:tab w:val="clear" w:pos="567"/>
              </w:tabs>
              <w:ind w:left="226" w:hanging="226"/>
            </w:pPr>
            <w:r>
              <w:t>•</w:t>
            </w:r>
            <w:r>
              <w:tab/>
              <w:t>by a recreational vessel, an amount calculated using standard Rate 2</w:t>
            </w:r>
          </w:p>
        </w:tc>
        <w:tc>
          <w:tcPr>
            <w:tcW w:w="1343" w:type="dxa"/>
          </w:tcPr>
          <w:p>
            <w:pPr>
              <w:pStyle w:val="yTableNAm"/>
              <w:jc w:val="center"/>
            </w:pPr>
          </w:p>
        </w:tc>
      </w:tr>
      <w:tr>
        <w:trPr>
          <w:cantSplit/>
        </w:trPr>
        <w:tc>
          <w:tcPr>
            <w:tcW w:w="714" w:type="dxa"/>
            <w:tcBorders>
              <w:bottom w:val="single" w:sz="4" w:space="0" w:color="auto"/>
            </w:tcBorders>
          </w:tcPr>
          <w:p>
            <w:pPr>
              <w:pStyle w:val="yTableNAm"/>
            </w:pPr>
            <w:r>
              <w:t>4.</w:t>
            </w:r>
          </w:p>
        </w:tc>
        <w:tc>
          <w:tcPr>
            <w:tcW w:w="3626" w:type="dxa"/>
            <w:tcBorders>
              <w:bottom w:val="single" w:sz="4" w:space="0" w:color="auto"/>
            </w:tcBorders>
          </w:tcPr>
          <w:p>
            <w:pPr>
              <w:pStyle w:val="yTableNAm"/>
            </w:pPr>
            <w:r>
              <w:t>For the short term use of a service wharf or jetty by a vessel, an amount calculated using standard Rate 3</w:t>
            </w:r>
          </w:p>
        </w:tc>
        <w:tc>
          <w:tcPr>
            <w:tcW w:w="1343" w:type="dxa"/>
            <w:tcBorders>
              <w:bottom w:val="single" w:sz="4" w:space="0" w:color="auto"/>
            </w:tcBorders>
          </w:tcPr>
          <w:p>
            <w:pPr>
              <w:pStyle w:val="yTableNAm"/>
              <w:jc w:val="center"/>
            </w:pPr>
          </w:p>
        </w:tc>
      </w:tr>
    </w:tbl>
    <w:p>
      <w:pPr>
        <w:pStyle w:val="yFootnotesection"/>
      </w:pPr>
      <w:bookmarkStart w:id="231" w:name="_Toc402879121"/>
      <w:r>
        <w:tab/>
        <w:t>[Clause 14 inserted in Gazette 22 Jul 2015 p. 2969</w:t>
      </w:r>
      <w:r>
        <w:noBreakHyphen/>
        <w:t>70.]</w:t>
      </w:r>
    </w:p>
    <w:p>
      <w:pPr>
        <w:pStyle w:val="yHeading5"/>
      </w:pPr>
      <w:bookmarkStart w:id="232" w:name="_Toc425338088"/>
      <w:r>
        <w:rPr>
          <w:rStyle w:val="CharSClsNo"/>
        </w:rPr>
        <w:t>15</w:t>
      </w:r>
      <w:r>
        <w:t>.</w:t>
      </w:r>
      <w:r>
        <w:tab/>
        <w:t>Green Head</w:t>
      </w:r>
      <w:bookmarkEnd w:id="231"/>
      <w:bookmarkEnd w:id="232"/>
    </w:p>
    <w:p>
      <w:pPr>
        <w:pStyle w:val="ySubsection"/>
      </w:pPr>
      <w:r>
        <w:tab/>
        <w:t>(1)</w:t>
      </w:r>
      <w:r>
        <w:tab/>
        <w:t>This clause applies to Green Head.</w:t>
      </w:r>
    </w:p>
    <w:p>
      <w:pPr>
        <w:pStyle w:val="ySubsection"/>
      </w:pPr>
      <w:r>
        <w:tab/>
        <w:t>(2)</w:t>
      </w:r>
      <w:r>
        <w:tab/>
        <w:t>The berthing dues to be paid under these regulations are set out in Table 15.1.</w:t>
      </w:r>
    </w:p>
    <w:p>
      <w:pPr>
        <w:pStyle w:val="yTHeadingNAm"/>
      </w:pPr>
      <w:r>
        <w:t>Table 15.1 (Alongside berthing)</w:t>
      </w:r>
    </w:p>
    <w:tbl>
      <w:tblPr>
        <w:tblW w:w="5711" w:type="dxa"/>
        <w:tblInd w:w="995" w:type="dxa"/>
        <w:tblLayout w:type="fixed"/>
        <w:tblCellMar>
          <w:top w:w="57" w:type="dxa"/>
          <w:left w:w="57" w:type="dxa"/>
          <w:right w:w="57" w:type="dxa"/>
        </w:tblCellMar>
        <w:tblLook w:val="0000" w:firstRow="0" w:lastRow="0" w:firstColumn="0" w:lastColumn="0" w:noHBand="0" w:noVBand="0"/>
      </w:tblPr>
      <w:tblGrid>
        <w:gridCol w:w="714"/>
        <w:gridCol w:w="3640"/>
        <w:gridCol w:w="1357"/>
      </w:tblGrid>
      <w:tr>
        <w:trPr>
          <w:cantSplit/>
          <w:tblHeader/>
        </w:trPr>
        <w:tc>
          <w:tcPr>
            <w:tcW w:w="714" w:type="dxa"/>
            <w:tcBorders>
              <w:top w:val="single" w:sz="4" w:space="0" w:color="auto"/>
              <w:bottom w:val="single" w:sz="4" w:space="0" w:color="auto"/>
            </w:tcBorders>
          </w:tcPr>
          <w:p>
            <w:pPr>
              <w:pStyle w:val="yTableNAm"/>
            </w:pPr>
            <w:r>
              <w:rPr>
                <w:b/>
              </w:rPr>
              <w:t>Item</w:t>
            </w:r>
          </w:p>
        </w:tc>
        <w:tc>
          <w:tcPr>
            <w:tcW w:w="3640" w:type="dxa"/>
            <w:tcBorders>
              <w:top w:val="single" w:sz="4" w:space="0" w:color="auto"/>
              <w:bottom w:val="single" w:sz="4" w:space="0" w:color="auto"/>
            </w:tcBorders>
          </w:tcPr>
          <w:p>
            <w:pPr>
              <w:pStyle w:val="yTableNAm"/>
            </w:pPr>
            <w:r>
              <w:rPr>
                <w:b/>
              </w:rPr>
              <w:t>Service</w:t>
            </w:r>
          </w:p>
        </w:tc>
        <w:tc>
          <w:tcPr>
            <w:tcW w:w="1357"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3640" w:type="dxa"/>
          </w:tcPr>
          <w:p>
            <w:pPr>
              <w:pStyle w:val="yTableNAm"/>
            </w:pPr>
            <w:r>
              <w:t xml:space="preserve">For the casual daily use of an alongside berth — </w:t>
            </w:r>
          </w:p>
        </w:tc>
        <w:tc>
          <w:tcPr>
            <w:tcW w:w="1357" w:type="dxa"/>
          </w:tcPr>
          <w:p>
            <w:pPr>
              <w:pStyle w:val="yTableNAm"/>
              <w:jc w:val="center"/>
            </w:pPr>
          </w:p>
        </w:tc>
      </w:tr>
      <w:tr>
        <w:trPr>
          <w:cantSplit/>
        </w:trPr>
        <w:tc>
          <w:tcPr>
            <w:tcW w:w="714" w:type="dxa"/>
          </w:tcPr>
          <w:p>
            <w:pPr>
              <w:pStyle w:val="zyTableNAm"/>
            </w:pPr>
          </w:p>
        </w:tc>
        <w:tc>
          <w:tcPr>
            <w:tcW w:w="3640" w:type="dxa"/>
          </w:tcPr>
          <w:p>
            <w:pPr>
              <w:pStyle w:val="yTableNAm"/>
              <w:tabs>
                <w:tab w:val="clear" w:pos="567"/>
              </w:tabs>
              <w:ind w:left="226" w:hanging="226"/>
            </w:pPr>
            <w:r>
              <w:t>•</w:t>
            </w:r>
            <w:r>
              <w:tab/>
              <w:t>by a commercial vessel, an amount calculated using standard Rate 1</w:t>
            </w:r>
          </w:p>
        </w:tc>
        <w:tc>
          <w:tcPr>
            <w:tcW w:w="1357" w:type="dxa"/>
          </w:tcPr>
          <w:p>
            <w:pPr>
              <w:pStyle w:val="yTableNAm"/>
              <w:jc w:val="center"/>
            </w:pPr>
          </w:p>
        </w:tc>
      </w:tr>
      <w:tr>
        <w:trPr>
          <w:cantSplit/>
        </w:trPr>
        <w:tc>
          <w:tcPr>
            <w:tcW w:w="714" w:type="dxa"/>
          </w:tcPr>
          <w:p>
            <w:pPr>
              <w:pStyle w:val="zyTableNAm"/>
            </w:pPr>
          </w:p>
        </w:tc>
        <w:tc>
          <w:tcPr>
            <w:tcW w:w="3640" w:type="dxa"/>
          </w:tcPr>
          <w:p>
            <w:pPr>
              <w:pStyle w:val="yTableNAm"/>
              <w:tabs>
                <w:tab w:val="clear" w:pos="567"/>
              </w:tabs>
              <w:ind w:left="226" w:hanging="226"/>
            </w:pPr>
            <w:r>
              <w:t>•</w:t>
            </w:r>
            <w:r>
              <w:tab/>
              <w:t>by a recreational vessel, an amount calculated using standard Rate 2</w:t>
            </w:r>
          </w:p>
        </w:tc>
        <w:tc>
          <w:tcPr>
            <w:tcW w:w="1357" w:type="dxa"/>
          </w:tcPr>
          <w:p>
            <w:pPr>
              <w:pStyle w:val="yTableNAm"/>
              <w:jc w:val="center"/>
            </w:pPr>
          </w:p>
        </w:tc>
      </w:tr>
      <w:tr>
        <w:trPr>
          <w:cantSplit/>
        </w:trPr>
        <w:tc>
          <w:tcPr>
            <w:tcW w:w="714" w:type="dxa"/>
            <w:tcBorders>
              <w:bottom w:val="single" w:sz="4" w:space="0" w:color="auto"/>
            </w:tcBorders>
          </w:tcPr>
          <w:p>
            <w:pPr>
              <w:pStyle w:val="yTableNAm"/>
            </w:pPr>
            <w:r>
              <w:t>2.</w:t>
            </w:r>
          </w:p>
        </w:tc>
        <w:tc>
          <w:tcPr>
            <w:tcW w:w="3640" w:type="dxa"/>
            <w:tcBorders>
              <w:bottom w:val="single" w:sz="4" w:space="0" w:color="auto"/>
            </w:tcBorders>
          </w:tcPr>
          <w:p>
            <w:pPr>
              <w:pStyle w:val="yTableNAm"/>
            </w:pPr>
            <w:r>
              <w:t>For the short term use of the service wharf by a vessel, an amount calculated using standard Rate 3</w:t>
            </w:r>
          </w:p>
        </w:tc>
        <w:tc>
          <w:tcPr>
            <w:tcW w:w="1357" w:type="dxa"/>
            <w:tcBorders>
              <w:bottom w:val="single" w:sz="4" w:space="0" w:color="auto"/>
            </w:tcBorders>
          </w:tcPr>
          <w:p>
            <w:pPr>
              <w:pStyle w:val="yTableNAm"/>
              <w:jc w:val="center"/>
            </w:pPr>
          </w:p>
        </w:tc>
      </w:tr>
    </w:tbl>
    <w:p>
      <w:pPr>
        <w:pStyle w:val="yFootnotesection"/>
      </w:pPr>
      <w:bookmarkStart w:id="233" w:name="_Toc402879122"/>
      <w:r>
        <w:tab/>
        <w:t>[Clause 15 inserted in Gazette 22 Jul 2015 p. 2970.]</w:t>
      </w:r>
    </w:p>
    <w:p>
      <w:pPr>
        <w:pStyle w:val="yHeading5"/>
      </w:pPr>
      <w:bookmarkStart w:id="234" w:name="_Toc425338089"/>
      <w:r>
        <w:rPr>
          <w:rStyle w:val="CharSClsNo"/>
        </w:rPr>
        <w:t>16</w:t>
      </w:r>
      <w:r>
        <w:t>.</w:t>
      </w:r>
      <w:r>
        <w:tab/>
        <w:t>Hopetoun</w:t>
      </w:r>
      <w:bookmarkEnd w:id="233"/>
      <w:bookmarkEnd w:id="234"/>
    </w:p>
    <w:p>
      <w:pPr>
        <w:pStyle w:val="ySubsection"/>
      </w:pPr>
      <w:r>
        <w:tab/>
        <w:t>(1)</w:t>
      </w:r>
      <w:r>
        <w:tab/>
        <w:t>This clause applies to Hopetoun.</w:t>
      </w:r>
    </w:p>
    <w:p>
      <w:pPr>
        <w:pStyle w:val="ySubsection"/>
      </w:pPr>
      <w:r>
        <w:tab/>
        <w:t>(2)</w:t>
      </w:r>
      <w:r>
        <w:tab/>
        <w:t>The berthing dues to be paid under these regulations are set out in Table 16.1.</w:t>
      </w:r>
    </w:p>
    <w:p>
      <w:pPr>
        <w:pStyle w:val="yTHeadingNAm"/>
      </w:pPr>
      <w:r>
        <w:t>Table 16.1 (Berthing)</w:t>
      </w:r>
    </w:p>
    <w:tbl>
      <w:tblPr>
        <w:tblW w:w="5725" w:type="dxa"/>
        <w:tblInd w:w="981" w:type="dxa"/>
        <w:tblLayout w:type="fixed"/>
        <w:tblCellMar>
          <w:top w:w="57" w:type="dxa"/>
          <w:left w:w="57" w:type="dxa"/>
          <w:right w:w="57" w:type="dxa"/>
        </w:tblCellMar>
        <w:tblLook w:val="0000" w:firstRow="0" w:lastRow="0" w:firstColumn="0" w:lastColumn="0" w:noHBand="0" w:noVBand="0"/>
      </w:tblPr>
      <w:tblGrid>
        <w:gridCol w:w="714"/>
        <w:gridCol w:w="3640"/>
        <w:gridCol w:w="1371"/>
      </w:tblGrid>
      <w:tr>
        <w:trPr>
          <w:cantSplit/>
          <w:tblHeader/>
        </w:trPr>
        <w:tc>
          <w:tcPr>
            <w:tcW w:w="714" w:type="dxa"/>
            <w:tcBorders>
              <w:top w:val="single" w:sz="4" w:space="0" w:color="auto"/>
              <w:bottom w:val="single" w:sz="4" w:space="0" w:color="auto"/>
            </w:tcBorders>
          </w:tcPr>
          <w:p>
            <w:pPr>
              <w:pStyle w:val="yTableNAm"/>
            </w:pPr>
            <w:r>
              <w:rPr>
                <w:b/>
              </w:rPr>
              <w:t>Item</w:t>
            </w:r>
          </w:p>
        </w:tc>
        <w:tc>
          <w:tcPr>
            <w:tcW w:w="3640" w:type="dxa"/>
            <w:tcBorders>
              <w:top w:val="single" w:sz="4" w:space="0" w:color="auto"/>
              <w:bottom w:val="single" w:sz="4" w:space="0" w:color="auto"/>
            </w:tcBorders>
          </w:tcPr>
          <w:p>
            <w:pPr>
              <w:pStyle w:val="yTableNAm"/>
            </w:pPr>
            <w:r>
              <w:rPr>
                <w:b/>
              </w:rPr>
              <w:t>Service</w:t>
            </w:r>
          </w:p>
        </w:tc>
        <w:tc>
          <w:tcPr>
            <w:tcW w:w="1371"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3640" w:type="dxa"/>
          </w:tcPr>
          <w:p>
            <w:pPr>
              <w:pStyle w:val="yTableNAm"/>
            </w:pPr>
            <w:r>
              <w:t>For casual daily use of an alongside berth by a commercial vessel, an amount calculated using standard Rate 1</w:t>
            </w:r>
          </w:p>
        </w:tc>
        <w:tc>
          <w:tcPr>
            <w:tcW w:w="1371" w:type="dxa"/>
          </w:tcPr>
          <w:p>
            <w:pPr>
              <w:pStyle w:val="yTableNAm"/>
              <w:jc w:val="center"/>
            </w:pPr>
          </w:p>
        </w:tc>
      </w:tr>
      <w:tr>
        <w:trPr>
          <w:cantSplit/>
        </w:trPr>
        <w:tc>
          <w:tcPr>
            <w:tcW w:w="714" w:type="dxa"/>
          </w:tcPr>
          <w:p>
            <w:pPr>
              <w:pStyle w:val="yTableNAm"/>
            </w:pPr>
            <w:r>
              <w:t>2.</w:t>
            </w:r>
          </w:p>
        </w:tc>
        <w:tc>
          <w:tcPr>
            <w:tcW w:w="3640" w:type="dxa"/>
          </w:tcPr>
          <w:p>
            <w:pPr>
              <w:pStyle w:val="yTableNAm"/>
            </w:pPr>
            <w:r>
              <w:t>For the casual daily use of an alongside berth by a recreational vessel, an amount calculated using standard Rate 2</w:t>
            </w:r>
          </w:p>
        </w:tc>
        <w:tc>
          <w:tcPr>
            <w:tcW w:w="1371" w:type="dxa"/>
          </w:tcPr>
          <w:p>
            <w:pPr>
              <w:pStyle w:val="yTableNAm"/>
              <w:jc w:val="center"/>
            </w:pPr>
          </w:p>
        </w:tc>
      </w:tr>
      <w:tr>
        <w:trPr>
          <w:cantSplit/>
        </w:trPr>
        <w:tc>
          <w:tcPr>
            <w:tcW w:w="714" w:type="dxa"/>
            <w:tcBorders>
              <w:bottom w:val="single" w:sz="4" w:space="0" w:color="auto"/>
            </w:tcBorders>
          </w:tcPr>
          <w:p>
            <w:pPr>
              <w:pStyle w:val="yTableNAm"/>
            </w:pPr>
            <w:r>
              <w:t>3.</w:t>
            </w:r>
          </w:p>
        </w:tc>
        <w:tc>
          <w:tcPr>
            <w:tcW w:w="3640" w:type="dxa"/>
            <w:tcBorders>
              <w:bottom w:val="single" w:sz="4" w:space="0" w:color="auto"/>
            </w:tcBorders>
          </w:tcPr>
          <w:p>
            <w:pPr>
              <w:pStyle w:val="yTableNAm"/>
            </w:pPr>
            <w:r>
              <w:t>For the short term use of a service wharf or jetty by a vessel, an amount calculated using standard Rate 3</w:t>
            </w:r>
          </w:p>
        </w:tc>
        <w:tc>
          <w:tcPr>
            <w:tcW w:w="1371" w:type="dxa"/>
            <w:tcBorders>
              <w:bottom w:val="single" w:sz="4" w:space="0" w:color="auto"/>
            </w:tcBorders>
          </w:tcPr>
          <w:p>
            <w:pPr>
              <w:pStyle w:val="yTableNAm"/>
              <w:jc w:val="center"/>
            </w:pPr>
          </w:p>
        </w:tc>
      </w:tr>
    </w:tbl>
    <w:p>
      <w:pPr>
        <w:pStyle w:val="yFootnotesection"/>
      </w:pPr>
      <w:bookmarkStart w:id="235" w:name="_Toc402879123"/>
      <w:r>
        <w:tab/>
        <w:t>[Clause 16 inserted in Gazette 22 Jul 2015 p. 2970</w:t>
      </w:r>
      <w:r>
        <w:noBreakHyphen/>
        <w:t>1.]</w:t>
      </w:r>
    </w:p>
    <w:p>
      <w:pPr>
        <w:pStyle w:val="yHeading5"/>
      </w:pPr>
      <w:bookmarkStart w:id="236" w:name="_Toc425338090"/>
      <w:r>
        <w:rPr>
          <w:rStyle w:val="CharSClsNo"/>
        </w:rPr>
        <w:t>17</w:t>
      </w:r>
      <w:r>
        <w:t>.</w:t>
      </w:r>
      <w:r>
        <w:tab/>
        <w:t>Jurien</w:t>
      </w:r>
      <w:bookmarkEnd w:id="235"/>
      <w:bookmarkEnd w:id="236"/>
    </w:p>
    <w:p>
      <w:pPr>
        <w:pStyle w:val="ySubsection"/>
      </w:pPr>
      <w:r>
        <w:tab/>
        <w:t>(1)</w:t>
      </w:r>
      <w:r>
        <w:tab/>
        <w:t xml:space="preserve">This clause applies to the </w:t>
      </w:r>
      <w:smartTag w:uri="urn:schemas-microsoft-com:office:smarttags" w:element="place">
        <w:smartTag w:uri="urn:schemas-microsoft-com:office:smarttags" w:element="PlaceName">
          <w:r>
            <w:t>Jurien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17.1.</w:t>
      </w:r>
    </w:p>
    <w:p>
      <w:pPr>
        <w:pStyle w:val="yTHeadingNAm"/>
      </w:pPr>
      <w:r>
        <w:t>Table 17.1 (Pen use and alongside berthing)</w:t>
      </w:r>
    </w:p>
    <w:tbl>
      <w:tblPr>
        <w:tblW w:w="5725" w:type="dxa"/>
        <w:tblInd w:w="981" w:type="dxa"/>
        <w:tblLayout w:type="fixed"/>
        <w:tblCellMar>
          <w:top w:w="57" w:type="dxa"/>
          <w:left w:w="57" w:type="dxa"/>
          <w:right w:w="57" w:type="dxa"/>
        </w:tblCellMar>
        <w:tblLook w:val="0000" w:firstRow="0" w:lastRow="0" w:firstColumn="0" w:lastColumn="0" w:noHBand="0" w:noVBand="0"/>
      </w:tblPr>
      <w:tblGrid>
        <w:gridCol w:w="728"/>
        <w:gridCol w:w="3626"/>
        <w:gridCol w:w="1371"/>
      </w:tblGrid>
      <w:tr>
        <w:trPr>
          <w:cantSplit/>
          <w:tblHeader/>
        </w:trPr>
        <w:tc>
          <w:tcPr>
            <w:tcW w:w="728" w:type="dxa"/>
            <w:tcBorders>
              <w:top w:val="single" w:sz="4" w:space="0" w:color="auto"/>
              <w:bottom w:val="single" w:sz="4" w:space="0" w:color="auto"/>
            </w:tcBorders>
          </w:tcPr>
          <w:p>
            <w:pPr>
              <w:pStyle w:val="yTableNAm"/>
            </w:pPr>
            <w:r>
              <w:rPr>
                <w:b/>
              </w:rPr>
              <w:t>Item</w:t>
            </w:r>
          </w:p>
        </w:tc>
        <w:tc>
          <w:tcPr>
            <w:tcW w:w="3626" w:type="dxa"/>
            <w:tcBorders>
              <w:top w:val="single" w:sz="4" w:space="0" w:color="auto"/>
              <w:bottom w:val="single" w:sz="4" w:space="0" w:color="auto"/>
            </w:tcBorders>
          </w:tcPr>
          <w:p>
            <w:pPr>
              <w:pStyle w:val="yTableNAm"/>
            </w:pPr>
            <w:r>
              <w:rPr>
                <w:b/>
              </w:rPr>
              <w:t>Service</w:t>
            </w:r>
          </w:p>
        </w:tc>
        <w:tc>
          <w:tcPr>
            <w:tcW w:w="1371"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3626" w:type="dxa"/>
          </w:tcPr>
          <w:p>
            <w:pPr>
              <w:pStyle w:val="yTableNAm"/>
            </w:pPr>
            <w:r>
              <w:t>For the use, other than casual daily use, of a pen, an amount calculated per metre of the pen’s length using the annual rate of</w:t>
            </w:r>
          </w:p>
        </w:tc>
        <w:tc>
          <w:tcPr>
            <w:tcW w:w="1371" w:type="dxa"/>
          </w:tcPr>
          <w:p>
            <w:pPr>
              <w:pStyle w:val="yTableNAm"/>
              <w:jc w:val="center"/>
            </w:pPr>
            <w:r>
              <w:br/>
            </w:r>
            <w:r>
              <w:br/>
              <w:t>400.26</w:t>
            </w:r>
          </w:p>
        </w:tc>
      </w:tr>
      <w:tr>
        <w:trPr>
          <w:cantSplit/>
        </w:trPr>
        <w:tc>
          <w:tcPr>
            <w:tcW w:w="728" w:type="dxa"/>
          </w:tcPr>
          <w:p>
            <w:pPr>
              <w:pStyle w:val="yTableNAm"/>
            </w:pPr>
            <w:r>
              <w:t>2.</w:t>
            </w:r>
          </w:p>
        </w:tc>
        <w:tc>
          <w:tcPr>
            <w:tcW w:w="3626" w:type="dxa"/>
          </w:tcPr>
          <w:p>
            <w:pPr>
              <w:pStyle w:val="yTableNAm"/>
            </w:pPr>
            <w:r>
              <w:t>For the use, other than casual daily use, of an alongside berth, an amount calculated per metre of the vessel’s length using the annual rate of</w:t>
            </w:r>
          </w:p>
        </w:tc>
        <w:tc>
          <w:tcPr>
            <w:tcW w:w="1371" w:type="dxa"/>
          </w:tcPr>
          <w:p>
            <w:pPr>
              <w:pStyle w:val="yTableNAm"/>
              <w:jc w:val="center"/>
            </w:pPr>
            <w:r>
              <w:br/>
            </w:r>
            <w:r>
              <w:br/>
            </w:r>
            <w:r>
              <w:br/>
              <w:t>425.38</w:t>
            </w:r>
          </w:p>
        </w:tc>
      </w:tr>
      <w:tr>
        <w:trPr>
          <w:cantSplit/>
        </w:trPr>
        <w:tc>
          <w:tcPr>
            <w:tcW w:w="728" w:type="dxa"/>
          </w:tcPr>
          <w:p>
            <w:pPr>
              <w:pStyle w:val="yTableNAm"/>
            </w:pPr>
            <w:r>
              <w:t>3.</w:t>
            </w:r>
          </w:p>
        </w:tc>
        <w:tc>
          <w:tcPr>
            <w:tcW w:w="3626" w:type="dxa"/>
          </w:tcPr>
          <w:p>
            <w:pPr>
              <w:pStyle w:val="yTableNAm"/>
            </w:pPr>
            <w:r>
              <w:t xml:space="preserve">For the casual daily use of a pen or alongside berth — </w:t>
            </w:r>
          </w:p>
        </w:tc>
        <w:tc>
          <w:tcPr>
            <w:tcW w:w="1371" w:type="dxa"/>
          </w:tcPr>
          <w:p>
            <w:pPr>
              <w:pStyle w:val="yTableNAm"/>
              <w:jc w:val="center"/>
            </w:pPr>
          </w:p>
        </w:tc>
      </w:tr>
      <w:tr>
        <w:trPr>
          <w:cantSplit/>
        </w:trPr>
        <w:tc>
          <w:tcPr>
            <w:tcW w:w="728" w:type="dxa"/>
          </w:tcPr>
          <w:p>
            <w:pPr>
              <w:pStyle w:val="zyTableNAm"/>
            </w:pPr>
          </w:p>
        </w:tc>
        <w:tc>
          <w:tcPr>
            <w:tcW w:w="3626" w:type="dxa"/>
          </w:tcPr>
          <w:p>
            <w:pPr>
              <w:pStyle w:val="yTableNAm"/>
              <w:tabs>
                <w:tab w:val="clear" w:pos="567"/>
              </w:tabs>
              <w:ind w:left="226" w:hanging="226"/>
            </w:pPr>
            <w:r>
              <w:t>•</w:t>
            </w:r>
            <w:r>
              <w:tab/>
              <w:t>by a commercial vessel, an amount calculated using standard Rate 1</w:t>
            </w:r>
          </w:p>
        </w:tc>
        <w:tc>
          <w:tcPr>
            <w:tcW w:w="1371" w:type="dxa"/>
          </w:tcPr>
          <w:p>
            <w:pPr>
              <w:pStyle w:val="yTableNAm"/>
              <w:jc w:val="center"/>
            </w:pPr>
          </w:p>
        </w:tc>
      </w:tr>
      <w:tr>
        <w:trPr>
          <w:cantSplit/>
        </w:trPr>
        <w:tc>
          <w:tcPr>
            <w:tcW w:w="728" w:type="dxa"/>
          </w:tcPr>
          <w:p>
            <w:pPr>
              <w:pStyle w:val="zyTableNAm"/>
            </w:pPr>
          </w:p>
        </w:tc>
        <w:tc>
          <w:tcPr>
            <w:tcW w:w="3626" w:type="dxa"/>
          </w:tcPr>
          <w:p>
            <w:pPr>
              <w:pStyle w:val="yTableNAm"/>
              <w:tabs>
                <w:tab w:val="clear" w:pos="567"/>
              </w:tabs>
              <w:ind w:left="226" w:hanging="226"/>
            </w:pPr>
            <w:r>
              <w:t>•</w:t>
            </w:r>
            <w:r>
              <w:tab/>
              <w:t>by a recreational vessel, an amount calculated using standard Rate 2</w:t>
            </w:r>
          </w:p>
        </w:tc>
        <w:tc>
          <w:tcPr>
            <w:tcW w:w="1371" w:type="dxa"/>
          </w:tcPr>
          <w:p>
            <w:pPr>
              <w:pStyle w:val="yTableNAm"/>
              <w:jc w:val="center"/>
            </w:pPr>
          </w:p>
        </w:tc>
      </w:tr>
      <w:tr>
        <w:trPr>
          <w:cantSplit/>
        </w:trPr>
        <w:tc>
          <w:tcPr>
            <w:tcW w:w="728" w:type="dxa"/>
            <w:tcBorders>
              <w:bottom w:val="single" w:sz="4" w:space="0" w:color="auto"/>
            </w:tcBorders>
          </w:tcPr>
          <w:p>
            <w:pPr>
              <w:pStyle w:val="yTableNAm"/>
            </w:pPr>
            <w:r>
              <w:t>4.</w:t>
            </w:r>
          </w:p>
        </w:tc>
        <w:tc>
          <w:tcPr>
            <w:tcW w:w="3626" w:type="dxa"/>
            <w:tcBorders>
              <w:bottom w:val="single" w:sz="4" w:space="0" w:color="auto"/>
            </w:tcBorders>
          </w:tcPr>
          <w:p>
            <w:pPr>
              <w:pStyle w:val="yTableNAm"/>
            </w:pPr>
            <w:r>
              <w:t>For the short term use of a service jetty by a vessel, an amount calculated using standard Rate 3</w:t>
            </w:r>
          </w:p>
        </w:tc>
        <w:tc>
          <w:tcPr>
            <w:tcW w:w="1371" w:type="dxa"/>
            <w:tcBorders>
              <w:bottom w:val="single" w:sz="4" w:space="0" w:color="auto"/>
            </w:tcBorders>
          </w:tcPr>
          <w:p>
            <w:pPr>
              <w:pStyle w:val="yTableNAm"/>
              <w:jc w:val="center"/>
            </w:pPr>
          </w:p>
        </w:tc>
      </w:tr>
    </w:tbl>
    <w:p>
      <w:pPr>
        <w:pStyle w:val="yFootnotesection"/>
      </w:pPr>
      <w:bookmarkStart w:id="237" w:name="_Toc402879124"/>
      <w:r>
        <w:tab/>
        <w:t>[Clause 17 inserted in Gazette 22 Jul 2015 p. 2971</w:t>
      </w:r>
      <w:r>
        <w:noBreakHyphen/>
        <w:t>2.]</w:t>
      </w:r>
    </w:p>
    <w:p>
      <w:pPr>
        <w:pStyle w:val="yHeading5"/>
      </w:pPr>
      <w:bookmarkStart w:id="238" w:name="_Toc425338091"/>
      <w:r>
        <w:rPr>
          <w:rStyle w:val="CharSClsNo"/>
        </w:rPr>
        <w:t>18</w:t>
      </w:r>
      <w:r>
        <w:t>.</w:t>
      </w:r>
      <w:r>
        <w:tab/>
        <w:t>Kalbarri</w:t>
      </w:r>
      <w:bookmarkEnd w:id="237"/>
      <w:bookmarkEnd w:id="238"/>
    </w:p>
    <w:p>
      <w:pPr>
        <w:pStyle w:val="ySubsection"/>
      </w:pPr>
      <w:r>
        <w:tab/>
        <w:t>(1)</w:t>
      </w:r>
      <w:r>
        <w:tab/>
        <w:t xml:space="preserve">This clause applies to the </w:t>
      </w:r>
      <w:smartTag w:uri="urn:schemas-microsoft-com:office:smarttags" w:element="place">
        <w:smartTag w:uri="urn:schemas-microsoft-com:office:smarttags" w:element="PlaceName">
          <w:r>
            <w:t>Kalbarri</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18.1.</w:t>
      </w:r>
    </w:p>
    <w:p>
      <w:pPr>
        <w:pStyle w:val="yTHeadingNAm"/>
      </w:pPr>
      <w:r>
        <w:t>Table 18.1 (Pen use and alongside berthing)</w:t>
      </w:r>
    </w:p>
    <w:tbl>
      <w:tblPr>
        <w:tblW w:w="5739" w:type="dxa"/>
        <w:tblInd w:w="967" w:type="dxa"/>
        <w:tblLayout w:type="fixed"/>
        <w:tblCellMar>
          <w:top w:w="57" w:type="dxa"/>
          <w:left w:w="57" w:type="dxa"/>
          <w:right w:w="57" w:type="dxa"/>
        </w:tblCellMar>
        <w:tblLook w:val="0000" w:firstRow="0" w:lastRow="0" w:firstColumn="0" w:lastColumn="0" w:noHBand="0" w:noVBand="0"/>
      </w:tblPr>
      <w:tblGrid>
        <w:gridCol w:w="728"/>
        <w:gridCol w:w="3640"/>
        <w:gridCol w:w="1371"/>
      </w:tblGrid>
      <w:tr>
        <w:trPr>
          <w:cantSplit/>
          <w:tblHeader/>
        </w:trPr>
        <w:tc>
          <w:tcPr>
            <w:tcW w:w="728" w:type="dxa"/>
            <w:tcBorders>
              <w:top w:val="single" w:sz="4" w:space="0" w:color="auto"/>
              <w:bottom w:val="single" w:sz="4" w:space="0" w:color="auto"/>
            </w:tcBorders>
          </w:tcPr>
          <w:p>
            <w:pPr>
              <w:pStyle w:val="yTableNAm"/>
              <w:keepNext/>
            </w:pPr>
            <w:r>
              <w:rPr>
                <w:b/>
              </w:rPr>
              <w:t>Item</w:t>
            </w:r>
          </w:p>
        </w:tc>
        <w:tc>
          <w:tcPr>
            <w:tcW w:w="3640" w:type="dxa"/>
            <w:tcBorders>
              <w:top w:val="single" w:sz="4" w:space="0" w:color="auto"/>
              <w:bottom w:val="single" w:sz="4" w:space="0" w:color="auto"/>
            </w:tcBorders>
          </w:tcPr>
          <w:p>
            <w:pPr>
              <w:pStyle w:val="yTableNAm"/>
              <w:keepNext/>
            </w:pPr>
            <w:r>
              <w:rPr>
                <w:b/>
              </w:rPr>
              <w:t>Service</w:t>
            </w:r>
          </w:p>
        </w:tc>
        <w:tc>
          <w:tcPr>
            <w:tcW w:w="1371" w:type="dxa"/>
            <w:tcBorders>
              <w:top w:val="single" w:sz="4" w:space="0" w:color="auto"/>
              <w:bottom w:val="single" w:sz="4" w:space="0" w:color="auto"/>
            </w:tcBorders>
          </w:tcPr>
          <w:p>
            <w:pPr>
              <w:pStyle w:val="yTableNAm"/>
              <w:keepNext/>
              <w:jc w:val="center"/>
            </w:pPr>
            <w:r>
              <w:rPr>
                <w:b/>
              </w:rPr>
              <w:t>$</w:t>
            </w:r>
          </w:p>
        </w:tc>
      </w:tr>
      <w:tr>
        <w:trPr>
          <w:cantSplit/>
        </w:trPr>
        <w:tc>
          <w:tcPr>
            <w:tcW w:w="728" w:type="dxa"/>
          </w:tcPr>
          <w:p>
            <w:pPr>
              <w:pStyle w:val="yTableNAm"/>
            </w:pPr>
            <w:r>
              <w:t>1.</w:t>
            </w:r>
          </w:p>
        </w:tc>
        <w:tc>
          <w:tcPr>
            <w:tcW w:w="3640" w:type="dxa"/>
          </w:tcPr>
          <w:p>
            <w:pPr>
              <w:pStyle w:val="yTableNAm"/>
            </w:pPr>
            <w:r>
              <w:t>For the use, other than casual daily use, of a pen, an amount calculated per metre of the pen’s length using the annual rate of</w:t>
            </w:r>
          </w:p>
        </w:tc>
        <w:tc>
          <w:tcPr>
            <w:tcW w:w="1371" w:type="dxa"/>
          </w:tcPr>
          <w:p>
            <w:pPr>
              <w:pStyle w:val="yTableNAm"/>
              <w:jc w:val="center"/>
            </w:pPr>
            <w:r>
              <w:br/>
            </w:r>
            <w:r>
              <w:br/>
              <w:t>272.90</w:t>
            </w:r>
          </w:p>
        </w:tc>
      </w:tr>
      <w:tr>
        <w:trPr>
          <w:cantSplit/>
        </w:trPr>
        <w:tc>
          <w:tcPr>
            <w:tcW w:w="728" w:type="dxa"/>
          </w:tcPr>
          <w:p>
            <w:pPr>
              <w:pStyle w:val="yTableNAm"/>
            </w:pPr>
            <w:r>
              <w:t>2.</w:t>
            </w:r>
          </w:p>
        </w:tc>
        <w:tc>
          <w:tcPr>
            <w:tcW w:w="3640" w:type="dxa"/>
          </w:tcPr>
          <w:p>
            <w:pPr>
              <w:pStyle w:val="yTableNAm"/>
            </w:pPr>
            <w:r>
              <w:t>For the use, other than casual daily use, of an alongside berth, an amount calculated per metre of the vessel’s length using the annual rate of</w:t>
            </w:r>
          </w:p>
        </w:tc>
        <w:tc>
          <w:tcPr>
            <w:tcW w:w="1371" w:type="dxa"/>
          </w:tcPr>
          <w:p>
            <w:pPr>
              <w:pStyle w:val="yTableNAm"/>
              <w:jc w:val="center"/>
            </w:pPr>
            <w:r>
              <w:br/>
            </w:r>
            <w:r>
              <w:br/>
            </w:r>
            <w:r>
              <w:br/>
              <w:t>272.90</w:t>
            </w:r>
          </w:p>
        </w:tc>
      </w:tr>
      <w:tr>
        <w:trPr>
          <w:cantSplit/>
        </w:trPr>
        <w:tc>
          <w:tcPr>
            <w:tcW w:w="728" w:type="dxa"/>
          </w:tcPr>
          <w:p>
            <w:pPr>
              <w:pStyle w:val="yTableNAm"/>
            </w:pPr>
            <w:r>
              <w:t>3.</w:t>
            </w:r>
          </w:p>
        </w:tc>
        <w:tc>
          <w:tcPr>
            <w:tcW w:w="3640" w:type="dxa"/>
          </w:tcPr>
          <w:p>
            <w:pPr>
              <w:pStyle w:val="yTableNAm"/>
            </w:pPr>
            <w:r>
              <w:t xml:space="preserve">For the casual daily use of a pen or alongside berth — </w:t>
            </w:r>
          </w:p>
        </w:tc>
        <w:tc>
          <w:tcPr>
            <w:tcW w:w="1371" w:type="dxa"/>
          </w:tcPr>
          <w:p>
            <w:pPr>
              <w:pStyle w:val="yTableNAm"/>
              <w:jc w:val="center"/>
            </w:pPr>
          </w:p>
        </w:tc>
      </w:tr>
      <w:tr>
        <w:trPr>
          <w:cantSplit/>
        </w:trPr>
        <w:tc>
          <w:tcPr>
            <w:tcW w:w="728" w:type="dxa"/>
          </w:tcPr>
          <w:p>
            <w:pPr>
              <w:pStyle w:val="zyTableNAm"/>
              <w:tabs>
                <w:tab w:val="clear" w:pos="567"/>
              </w:tabs>
            </w:pPr>
          </w:p>
        </w:tc>
        <w:tc>
          <w:tcPr>
            <w:tcW w:w="3640" w:type="dxa"/>
          </w:tcPr>
          <w:p>
            <w:pPr>
              <w:pStyle w:val="yTableNAm"/>
              <w:tabs>
                <w:tab w:val="clear" w:pos="567"/>
              </w:tabs>
              <w:ind w:left="226" w:hanging="226"/>
            </w:pPr>
            <w:r>
              <w:t>•</w:t>
            </w:r>
            <w:r>
              <w:tab/>
              <w:t>by a commercial vessel, an amount calculated using standard Rate 1</w:t>
            </w:r>
          </w:p>
        </w:tc>
        <w:tc>
          <w:tcPr>
            <w:tcW w:w="1371" w:type="dxa"/>
          </w:tcPr>
          <w:p>
            <w:pPr>
              <w:pStyle w:val="yTableNAm"/>
              <w:jc w:val="center"/>
            </w:pPr>
          </w:p>
        </w:tc>
      </w:tr>
      <w:tr>
        <w:trPr>
          <w:cantSplit/>
        </w:trPr>
        <w:tc>
          <w:tcPr>
            <w:tcW w:w="728" w:type="dxa"/>
          </w:tcPr>
          <w:p>
            <w:pPr>
              <w:pStyle w:val="zyTableNAm"/>
              <w:tabs>
                <w:tab w:val="clear" w:pos="567"/>
              </w:tabs>
            </w:pPr>
          </w:p>
        </w:tc>
        <w:tc>
          <w:tcPr>
            <w:tcW w:w="3640" w:type="dxa"/>
          </w:tcPr>
          <w:p>
            <w:pPr>
              <w:pStyle w:val="yTableNAm"/>
              <w:tabs>
                <w:tab w:val="clear" w:pos="567"/>
              </w:tabs>
              <w:ind w:left="226" w:hanging="226"/>
            </w:pPr>
            <w:r>
              <w:t>•</w:t>
            </w:r>
            <w:r>
              <w:tab/>
              <w:t>by a recreational vessel, an amount calculated using standard Rate 2</w:t>
            </w:r>
          </w:p>
        </w:tc>
        <w:tc>
          <w:tcPr>
            <w:tcW w:w="1371" w:type="dxa"/>
          </w:tcPr>
          <w:p>
            <w:pPr>
              <w:pStyle w:val="yTableNAm"/>
              <w:jc w:val="center"/>
            </w:pPr>
          </w:p>
        </w:tc>
      </w:tr>
      <w:tr>
        <w:trPr>
          <w:cantSplit/>
        </w:trPr>
        <w:tc>
          <w:tcPr>
            <w:tcW w:w="728" w:type="dxa"/>
            <w:tcBorders>
              <w:bottom w:val="single" w:sz="4" w:space="0" w:color="auto"/>
            </w:tcBorders>
          </w:tcPr>
          <w:p>
            <w:pPr>
              <w:pStyle w:val="yTableNAm"/>
            </w:pPr>
            <w:r>
              <w:t>4.</w:t>
            </w:r>
          </w:p>
        </w:tc>
        <w:tc>
          <w:tcPr>
            <w:tcW w:w="3640" w:type="dxa"/>
            <w:tcBorders>
              <w:bottom w:val="single" w:sz="4" w:space="0" w:color="auto"/>
            </w:tcBorders>
          </w:tcPr>
          <w:p>
            <w:pPr>
              <w:pStyle w:val="yTableNAm"/>
            </w:pPr>
            <w:r>
              <w:t>For the short term use of a service wharf or jetty by a vessel, an amount calculated using standard Rate 3</w:t>
            </w:r>
          </w:p>
        </w:tc>
        <w:tc>
          <w:tcPr>
            <w:tcW w:w="1371" w:type="dxa"/>
            <w:tcBorders>
              <w:bottom w:val="single" w:sz="4" w:space="0" w:color="auto"/>
            </w:tcBorders>
          </w:tcPr>
          <w:p>
            <w:pPr>
              <w:pStyle w:val="yTableNAm"/>
              <w:jc w:val="center"/>
            </w:pPr>
          </w:p>
        </w:tc>
      </w:tr>
    </w:tbl>
    <w:p>
      <w:pPr>
        <w:pStyle w:val="yFootnotesection"/>
      </w:pPr>
      <w:bookmarkStart w:id="239" w:name="_Toc402879125"/>
      <w:r>
        <w:tab/>
        <w:t>[Clause 18 inserted in Gazette 22 Jul 2015 p. 2972.]</w:t>
      </w:r>
    </w:p>
    <w:p>
      <w:pPr>
        <w:pStyle w:val="yHeading5"/>
      </w:pPr>
      <w:bookmarkStart w:id="240" w:name="_Toc425338092"/>
      <w:r>
        <w:rPr>
          <w:rStyle w:val="CharSClsNo"/>
        </w:rPr>
        <w:t>19</w:t>
      </w:r>
      <w:r>
        <w:t>.</w:t>
      </w:r>
      <w:r>
        <w:tab/>
        <w:t>Lancelin</w:t>
      </w:r>
      <w:bookmarkEnd w:id="239"/>
      <w:bookmarkEnd w:id="240"/>
    </w:p>
    <w:p>
      <w:pPr>
        <w:pStyle w:val="ySubsection"/>
      </w:pPr>
      <w:r>
        <w:tab/>
        <w:t>(1)</w:t>
      </w:r>
      <w:r>
        <w:tab/>
        <w:t>This clause applies to Lancelin.</w:t>
      </w:r>
    </w:p>
    <w:p>
      <w:pPr>
        <w:pStyle w:val="ySubsection"/>
      </w:pPr>
      <w:r>
        <w:tab/>
        <w:t>(2)</w:t>
      </w:r>
      <w:r>
        <w:tab/>
        <w:t>The berthing dues to be paid under these regulations are set out in Table 19.1.</w:t>
      </w:r>
    </w:p>
    <w:p>
      <w:pPr>
        <w:pStyle w:val="yTHeadingNAm"/>
      </w:pPr>
      <w:r>
        <w:t>Table 19.1 (Berthing)</w:t>
      </w:r>
    </w:p>
    <w:tbl>
      <w:tblPr>
        <w:tblW w:w="5739" w:type="dxa"/>
        <w:tblInd w:w="967" w:type="dxa"/>
        <w:tblLayout w:type="fixed"/>
        <w:tblCellMar>
          <w:top w:w="57" w:type="dxa"/>
          <w:left w:w="57" w:type="dxa"/>
          <w:right w:w="57" w:type="dxa"/>
        </w:tblCellMar>
        <w:tblLook w:val="0000" w:firstRow="0" w:lastRow="0" w:firstColumn="0" w:lastColumn="0" w:noHBand="0" w:noVBand="0"/>
      </w:tblPr>
      <w:tblGrid>
        <w:gridCol w:w="714"/>
        <w:gridCol w:w="3640"/>
        <w:gridCol w:w="1385"/>
      </w:tblGrid>
      <w:tr>
        <w:trPr>
          <w:cantSplit/>
          <w:tblHeader/>
        </w:trPr>
        <w:tc>
          <w:tcPr>
            <w:tcW w:w="714" w:type="dxa"/>
            <w:tcBorders>
              <w:top w:val="single" w:sz="4" w:space="0" w:color="auto"/>
              <w:bottom w:val="single" w:sz="4" w:space="0" w:color="auto"/>
            </w:tcBorders>
          </w:tcPr>
          <w:p>
            <w:pPr>
              <w:pStyle w:val="yTableNAm"/>
            </w:pPr>
            <w:r>
              <w:rPr>
                <w:b/>
              </w:rPr>
              <w:t>Item</w:t>
            </w:r>
          </w:p>
        </w:tc>
        <w:tc>
          <w:tcPr>
            <w:tcW w:w="3640" w:type="dxa"/>
            <w:tcBorders>
              <w:top w:val="single" w:sz="4" w:space="0" w:color="auto"/>
              <w:bottom w:val="single" w:sz="4" w:space="0" w:color="auto"/>
            </w:tcBorders>
          </w:tcPr>
          <w:p>
            <w:pPr>
              <w:pStyle w:val="yTableNAm"/>
            </w:pPr>
            <w:r>
              <w:rPr>
                <w:b/>
              </w:rPr>
              <w:t>Service</w:t>
            </w:r>
          </w:p>
        </w:tc>
        <w:tc>
          <w:tcPr>
            <w:tcW w:w="1385"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3640" w:type="dxa"/>
          </w:tcPr>
          <w:p>
            <w:pPr>
              <w:pStyle w:val="yTableNAm"/>
            </w:pPr>
            <w:r>
              <w:t>For the casual daily use of an alongside berth by a commercial vessel, an amount calculated using standard Rate 1</w:t>
            </w:r>
          </w:p>
        </w:tc>
        <w:tc>
          <w:tcPr>
            <w:tcW w:w="1385" w:type="dxa"/>
          </w:tcPr>
          <w:p>
            <w:pPr>
              <w:pStyle w:val="yTableNAm"/>
              <w:jc w:val="center"/>
            </w:pPr>
          </w:p>
        </w:tc>
      </w:tr>
      <w:tr>
        <w:trPr>
          <w:cantSplit/>
        </w:trPr>
        <w:tc>
          <w:tcPr>
            <w:tcW w:w="714" w:type="dxa"/>
          </w:tcPr>
          <w:p>
            <w:pPr>
              <w:pStyle w:val="yTableNAm"/>
            </w:pPr>
            <w:r>
              <w:t>2.</w:t>
            </w:r>
          </w:p>
        </w:tc>
        <w:tc>
          <w:tcPr>
            <w:tcW w:w="3640" w:type="dxa"/>
          </w:tcPr>
          <w:p>
            <w:pPr>
              <w:pStyle w:val="yTableNAm"/>
            </w:pPr>
            <w:r>
              <w:t>For the casual daily use of an alongside berth by a recreational vessel, an amount calculated using standard Rate 2</w:t>
            </w:r>
          </w:p>
        </w:tc>
        <w:tc>
          <w:tcPr>
            <w:tcW w:w="1385" w:type="dxa"/>
          </w:tcPr>
          <w:p>
            <w:pPr>
              <w:pStyle w:val="yTableNAm"/>
              <w:jc w:val="center"/>
            </w:pPr>
          </w:p>
        </w:tc>
      </w:tr>
      <w:tr>
        <w:trPr>
          <w:cantSplit/>
        </w:trPr>
        <w:tc>
          <w:tcPr>
            <w:tcW w:w="714" w:type="dxa"/>
            <w:tcBorders>
              <w:bottom w:val="single" w:sz="4" w:space="0" w:color="auto"/>
            </w:tcBorders>
          </w:tcPr>
          <w:p>
            <w:pPr>
              <w:pStyle w:val="yTableNAm"/>
            </w:pPr>
            <w:r>
              <w:t>3.</w:t>
            </w:r>
          </w:p>
        </w:tc>
        <w:tc>
          <w:tcPr>
            <w:tcW w:w="3640" w:type="dxa"/>
            <w:tcBorders>
              <w:bottom w:val="single" w:sz="4" w:space="0" w:color="auto"/>
            </w:tcBorders>
          </w:tcPr>
          <w:p>
            <w:pPr>
              <w:pStyle w:val="yTableNAm"/>
            </w:pPr>
            <w:r>
              <w:t>For the short term use of a service jetty by a vessel, an amount calculated using standard Rate 3</w:t>
            </w:r>
          </w:p>
        </w:tc>
        <w:tc>
          <w:tcPr>
            <w:tcW w:w="1385" w:type="dxa"/>
            <w:tcBorders>
              <w:bottom w:val="single" w:sz="4" w:space="0" w:color="auto"/>
            </w:tcBorders>
          </w:tcPr>
          <w:p>
            <w:pPr>
              <w:pStyle w:val="yTableNAm"/>
              <w:jc w:val="center"/>
            </w:pPr>
          </w:p>
        </w:tc>
      </w:tr>
    </w:tbl>
    <w:p>
      <w:pPr>
        <w:pStyle w:val="yFootnotesection"/>
      </w:pPr>
      <w:bookmarkStart w:id="241" w:name="_Toc402879126"/>
      <w:r>
        <w:tab/>
        <w:t>[Clause 19 inserted in Gazette 22 Jul 2015 p. 2973.]</w:t>
      </w:r>
    </w:p>
    <w:p>
      <w:pPr>
        <w:pStyle w:val="yHeading5"/>
      </w:pPr>
      <w:bookmarkStart w:id="242" w:name="_Toc425338093"/>
      <w:r>
        <w:rPr>
          <w:rStyle w:val="CharSClsNo"/>
        </w:rPr>
        <w:t>20</w:t>
      </w:r>
      <w:r>
        <w:t>.</w:t>
      </w:r>
      <w:r>
        <w:tab/>
        <w:t>Leeman</w:t>
      </w:r>
      <w:bookmarkEnd w:id="241"/>
      <w:bookmarkEnd w:id="242"/>
    </w:p>
    <w:p>
      <w:pPr>
        <w:pStyle w:val="ySubsection"/>
      </w:pPr>
      <w:r>
        <w:tab/>
        <w:t>(1)</w:t>
      </w:r>
      <w:r>
        <w:tab/>
        <w:t>This clause applies to Leeman.</w:t>
      </w:r>
    </w:p>
    <w:p>
      <w:pPr>
        <w:pStyle w:val="ySubsection"/>
      </w:pPr>
      <w:r>
        <w:tab/>
        <w:t>(2)</w:t>
      </w:r>
      <w:r>
        <w:tab/>
        <w:t>The berthing dues to be paid under these regulations are set out in Table 20.1.</w:t>
      </w:r>
    </w:p>
    <w:p>
      <w:pPr>
        <w:pStyle w:val="yTHeadingNAm"/>
      </w:pPr>
      <w:r>
        <w:t>Table 20.1 (Berthing)</w:t>
      </w:r>
    </w:p>
    <w:tbl>
      <w:tblPr>
        <w:tblW w:w="5739" w:type="dxa"/>
        <w:tblInd w:w="967" w:type="dxa"/>
        <w:tblLayout w:type="fixed"/>
        <w:tblCellMar>
          <w:top w:w="57" w:type="dxa"/>
          <w:left w:w="57" w:type="dxa"/>
          <w:right w:w="57" w:type="dxa"/>
        </w:tblCellMar>
        <w:tblLook w:val="0000" w:firstRow="0" w:lastRow="0" w:firstColumn="0" w:lastColumn="0" w:noHBand="0" w:noVBand="0"/>
      </w:tblPr>
      <w:tblGrid>
        <w:gridCol w:w="700"/>
        <w:gridCol w:w="3640"/>
        <w:gridCol w:w="1399"/>
      </w:tblGrid>
      <w:tr>
        <w:trPr>
          <w:cantSplit/>
          <w:tblHeader/>
        </w:trPr>
        <w:tc>
          <w:tcPr>
            <w:tcW w:w="700" w:type="dxa"/>
            <w:tcBorders>
              <w:top w:val="single" w:sz="4" w:space="0" w:color="auto"/>
              <w:bottom w:val="single" w:sz="4" w:space="0" w:color="auto"/>
            </w:tcBorders>
          </w:tcPr>
          <w:p>
            <w:pPr>
              <w:pStyle w:val="yTableNAm"/>
            </w:pPr>
            <w:r>
              <w:rPr>
                <w:b/>
              </w:rPr>
              <w:t>Item</w:t>
            </w:r>
          </w:p>
        </w:tc>
        <w:tc>
          <w:tcPr>
            <w:tcW w:w="3640" w:type="dxa"/>
            <w:tcBorders>
              <w:top w:val="single" w:sz="4" w:space="0" w:color="auto"/>
              <w:bottom w:val="single" w:sz="4" w:space="0" w:color="auto"/>
            </w:tcBorders>
          </w:tcPr>
          <w:p>
            <w:pPr>
              <w:pStyle w:val="yTableNAm"/>
            </w:pPr>
            <w:r>
              <w:rPr>
                <w:b/>
              </w:rPr>
              <w:t>Service</w:t>
            </w:r>
          </w:p>
        </w:tc>
        <w:tc>
          <w:tcPr>
            <w:tcW w:w="1399"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3640" w:type="dxa"/>
          </w:tcPr>
          <w:p>
            <w:pPr>
              <w:pStyle w:val="yTableNAm"/>
            </w:pPr>
            <w:r>
              <w:t xml:space="preserve">For the casual daily use of an alongside berth — </w:t>
            </w:r>
          </w:p>
        </w:tc>
        <w:tc>
          <w:tcPr>
            <w:tcW w:w="1399" w:type="dxa"/>
          </w:tcPr>
          <w:p>
            <w:pPr>
              <w:pStyle w:val="yTableNAm"/>
              <w:jc w:val="center"/>
            </w:pPr>
          </w:p>
        </w:tc>
      </w:tr>
      <w:tr>
        <w:trPr>
          <w:cantSplit/>
        </w:trPr>
        <w:tc>
          <w:tcPr>
            <w:tcW w:w="700" w:type="dxa"/>
          </w:tcPr>
          <w:p>
            <w:pPr>
              <w:pStyle w:val="zyTableNAm"/>
            </w:pPr>
          </w:p>
        </w:tc>
        <w:tc>
          <w:tcPr>
            <w:tcW w:w="3640" w:type="dxa"/>
          </w:tcPr>
          <w:p>
            <w:pPr>
              <w:pStyle w:val="yTableNAm"/>
              <w:tabs>
                <w:tab w:val="clear" w:pos="567"/>
              </w:tabs>
              <w:ind w:left="226" w:hanging="226"/>
            </w:pPr>
            <w:r>
              <w:t>•</w:t>
            </w:r>
            <w:r>
              <w:tab/>
              <w:t>by a commercial vessel, an amount calculated using standard Rate 1</w:t>
            </w:r>
          </w:p>
        </w:tc>
        <w:tc>
          <w:tcPr>
            <w:tcW w:w="1399" w:type="dxa"/>
          </w:tcPr>
          <w:p>
            <w:pPr>
              <w:pStyle w:val="yTableNAm"/>
              <w:jc w:val="center"/>
            </w:pPr>
          </w:p>
        </w:tc>
      </w:tr>
      <w:tr>
        <w:trPr>
          <w:cantSplit/>
        </w:trPr>
        <w:tc>
          <w:tcPr>
            <w:tcW w:w="700" w:type="dxa"/>
          </w:tcPr>
          <w:p>
            <w:pPr>
              <w:pStyle w:val="zyTableNAm"/>
            </w:pPr>
          </w:p>
        </w:tc>
        <w:tc>
          <w:tcPr>
            <w:tcW w:w="3640" w:type="dxa"/>
          </w:tcPr>
          <w:p>
            <w:pPr>
              <w:pStyle w:val="yTableNAm"/>
              <w:tabs>
                <w:tab w:val="clear" w:pos="567"/>
              </w:tabs>
              <w:ind w:left="226" w:hanging="226"/>
            </w:pPr>
            <w:r>
              <w:t>•</w:t>
            </w:r>
            <w:r>
              <w:tab/>
              <w:t>by a recreational vessel, an amount calculated using standard Rate 2</w:t>
            </w:r>
          </w:p>
        </w:tc>
        <w:tc>
          <w:tcPr>
            <w:tcW w:w="1399" w:type="dxa"/>
          </w:tcPr>
          <w:p>
            <w:pPr>
              <w:pStyle w:val="yTableNAm"/>
              <w:jc w:val="center"/>
            </w:pPr>
          </w:p>
        </w:tc>
      </w:tr>
      <w:tr>
        <w:trPr>
          <w:cantSplit/>
        </w:trPr>
        <w:tc>
          <w:tcPr>
            <w:tcW w:w="700" w:type="dxa"/>
            <w:tcBorders>
              <w:bottom w:val="single" w:sz="4" w:space="0" w:color="auto"/>
            </w:tcBorders>
          </w:tcPr>
          <w:p>
            <w:pPr>
              <w:pStyle w:val="yTableNAm"/>
            </w:pPr>
            <w:r>
              <w:t>2.</w:t>
            </w:r>
          </w:p>
        </w:tc>
        <w:tc>
          <w:tcPr>
            <w:tcW w:w="3640" w:type="dxa"/>
            <w:tcBorders>
              <w:bottom w:val="single" w:sz="4" w:space="0" w:color="auto"/>
            </w:tcBorders>
          </w:tcPr>
          <w:p>
            <w:pPr>
              <w:pStyle w:val="yTableNAm"/>
            </w:pPr>
            <w:r>
              <w:t>For the short term use of a service jetty by a vessel, an amount calculated using standard Rate 3</w:t>
            </w:r>
          </w:p>
        </w:tc>
        <w:tc>
          <w:tcPr>
            <w:tcW w:w="1399" w:type="dxa"/>
            <w:tcBorders>
              <w:bottom w:val="single" w:sz="4" w:space="0" w:color="auto"/>
            </w:tcBorders>
          </w:tcPr>
          <w:p>
            <w:pPr>
              <w:pStyle w:val="yTableNAm"/>
              <w:jc w:val="center"/>
            </w:pPr>
          </w:p>
        </w:tc>
      </w:tr>
    </w:tbl>
    <w:p>
      <w:pPr>
        <w:pStyle w:val="yFootnotesection"/>
      </w:pPr>
      <w:bookmarkStart w:id="243" w:name="_Toc402879127"/>
      <w:r>
        <w:tab/>
        <w:t>[Clause 20 inserted in Gazette 22 Jul 2015 p. 2973.]</w:t>
      </w:r>
    </w:p>
    <w:p>
      <w:pPr>
        <w:pStyle w:val="yHeading5"/>
      </w:pPr>
      <w:bookmarkStart w:id="244" w:name="_Toc425338094"/>
      <w:r>
        <w:rPr>
          <w:rStyle w:val="CharSClsNo"/>
        </w:rPr>
        <w:t>21</w:t>
      </w:r>
      <w:r>
        <w:t>.</w:t>
      </w:r>
      <w:r>
        <w:tab/>
        <w:t xml:space="preserve">Onslow,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243"/>
      <w:bookmarkEnd w:id="244"/>
    </w:p>
    <w:p>
      <w:pPr>
        <w:pStyle w:val="ySubsection"/>
      </w:pPr>
      <w:r>
        <w:tab/>
        <w:t>(1)</w:t>
      </w:r>
      <w:r>
        <w:tab/>
        <w:t xml:space="preserve">This clause applies to the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Onslow.</w:t>
      </w:r>
    </w:p>
    <w:p>
      <w:pPr>
        <w:pStyle w:val="ySubsection"/>
      </w:pPr>
      <w:r>
        <w:tab/>
        <w:t>(2)</w:t>
      </w:r>
      <w:r>
        <w:tab/>
        <w:t xml:space="preserve">In this clause a reference to a </w:t>
      </w:r>
      <w:r>
        <w:rPr>
          <w:rStyle w:val="CharDefText"/>
        </w:rPr>
        <w:t>service vessel</w:t>
      </w:r>
      <w:r>
        <w:t xml:space="preserve"> is a reference to any vessel other than a recreational vessel, tourism vessel or fishing vessel.</w:t>
      </w:r>
    </w:p>
    <w:p>
      <w:pPr>
        <w:pStyle w:val="ySubsection"/>
      </w:pPr>
      <w:r>
        <w:tab/>
        <w:t>(3)</w:t>
      </w:r>
      <w:r>
        <w:tab/>
        <w:t>The dues and charges to be paid under these regulations are set out in Table 21.1.</w:t>
      </w:r>
    </w:p>
    <w:p>
      <w:pPr>
        <w:pStyle w:val="yTHeadingNAm"/>
      </w:pPr>
      <w:r>
        <w:t>Table 21.1 (Pen use, alongside berthing and mooring)</w:t>
      </w:r>
    </w:p>
    <w:tbl>
      <w:tblPr>
        <w:tblW w:w="5725" w:type="dxa"/>
        <w:tblInd w:w="995" w:type="dxa"/>
        <w:tblLayout w:type="fixed"/>
        <w:tblCellMar>
          <w:top w:w="57" w:type="dxa"/>
          <w:left w:w="57" w:type="dxa"/>
          <w:right w:w="57" w:type="dxa"/>
        </w:tblCellMar>
        <w:tblLook w:val="0000" w:firstRow="0" w:lastRow="0" w:firstColumn="0" w:lastColumn="0" w:noHBand="0" w:noVBand="0"/>
      </w:tblPr>
      <w:tblGrid>
        <w:gridCol w:w="686"/>
        <w:gridCol w:w="3654"/>
        <w:gridCol w:w="1385"/>
      </w:tblGrid>
      <w:tr>
        <w:trPr>
          <w:cantSplit/>
          <w:tblHeader/>
        </w:trPr>
        <w:tc>
          <w:tcPr>
            <w:tcW w:w="686" w:type="dxa"/>
            <w:tcBorders>
              <w:top w:val="single" w:sz="4" w:space="0" w:color="auto"/>
              <w:bottom w:val="single" w:sz="4" w:space="0" w:color="auto"/>
            </w:tcBorders>
          </w:tcPr>
          <w:p>
            <w:pPr>
              <w:pStyle w:val="yTableNAm"/>
            </w:pPr>
            <w:r>
              <w:rPr>
                <w:b/>
              </w:rPr>
              <w:t>Item</w:t>
            </w:r>
          </w:p>
        </w:tc>
        <w:tc>
          <w:tcPr>
            <w:tcW w:w="3654" w:type="dxa"/>
            <w:tcBorders>
              <w:top w:val="single" w:sz="4" w:space="0" w:color="auto"/>
              <w:bottom w:val="single" w:sz="4" w:space="0" w:color="auto"/>
            </w:tcBorders>
          </w:tcPr>
          <w:p>
            <w:pPr>
              <w:pStyle w:val="yTableNAm"/>
            </w:pPr>
            <w:r>
              <w:rPr>
                <w:b/>
              </w:rPr>
              <w:t>Service</w:t>
            </w:r>
          </w:p>
        </w:tc>
        <w:tc>
          <w:tcPr>
            <w:tcW w:w="1385" w:type="dxa"/>
            <w:tcBorders>
              <w:top w:val="single" w:sz="4" w:space="0" w:color="auto"/>
              <w:bottom w:val="single" w:sz="4" w:space="0" w:color="auto"/>
            </w:tcBorders>
          </w:tcPr>
          <w:p>
            <w:pPr>
              <w:pStyle w:val="yTableNAm"/>
              <w:jc w:val="center"/>
            </w:pPr>
            <w:r>
              <w:rPr>
                <w:b/>
              </w:rPr>
              <w:t>$</w:t>
            </w:r>
          </w:p>
        </w:tc>
      </w:tr>
      <w:tr>
        <w:trPr>
          <w:cantSplit/>
        </w:trPr>
        <w:tc>
          <w:tcPr>
            <w:tcW w:w="686" w:type="dxa"/>
            <w:tcBorders>
              <w:top w:val="single" w:sz="4" w:space="0" w:color="auto"/>
            </w:tcBorders>
          </w:tcPr>
          <w:p>
            <w:pPr>
              <w:pStyle w:val="yTableNAm"/>
            </w:pPr>
            <w:r>
              <w:t>1.</w:t>
            </w:r>
          </w:p>
        </w:tc>
        <w:tc>
          <w:tcPr>
            <w:tcW w:w="3654" w:type="dxa"/>
            <w:tcBorders>
              <w:top w:val="single" w:sz="4" w:space="0" w:color="auto"/>
            </w:tcBorders>
          </w:tcPr>
          <w:p>
            <w:pPr>
              <w:pStyle w:val="yTableNAm"/>
            </w:pPr>
            <w:r>
              <w:t>For the use, other than casual daily use, of a pile mooring by a recreational vessel, fishing vessel or tourism vessel, an amount calculated per metre of the vessel’s length using the annual rate of</w:t>
            </w:r>
          </w:p>
        </w:tc>
        <w:tc>
          <w:tcPr>
            <w:tcW w:w="1385" w:type="dxa"/>
            <w:tcBorders>
              <w:top w:val="single" w:sz="4" w:space="0" w:color="auto"/>
            </w:tcBorders>
          </w:tcPr>
          <w:p>
            <w:pPr>
              <w:pStyle w:val="yTableNAm"/>
              <w:jc w:val="center"/>
            </w:pPr>
            <w:r>
              <w:br/>
            </w:r>
            <w:r>
              <w:br/>
            </w:r>
            <w:r>
              <w:br/>
            </w:r>
            <w:r>
              <w:br/>
              <w:t>334.38</w:t>
            </w:r>
          </w:p>
        </w:tc>
      </w:tr>
      <w:tr>
        <w:trPr>
          <w:cantSplit/>
        </w:trPr>
        <w:tc>
          <w:tcPr>
            <w:tcW w:w="686" w:type="dxa"/>
          </w:tcPr>
          <w:p>
            <w:pPr>
              <w:pStyle w:val="yTableNAm"/>
            </w:pPr>
            <w:r>
              <w:t>2.</w:t>
            </w:r>
          </w:p>
        </w:tc>
        <w:tc>
          <w:tcPr>
            <w:tcW w:w="3654" w:type="dxa"/>
          </w:tcPr>
          <w:p>
            <w:pPr>
              <w:pStyle w:val="yTableNAm"/>
            </w:pPr>
            <w:r>
              <w:t>For the use, other than casual daily use, of a pile mooring by a service vessel, an amount calculated per metre of the vessel’s length using the annual rate of</w:t>
            </w:r>
          </w:p>
        </w:tc>
        <w:tc>
          <w:tcPr>
            <w:tcW w:w="1385" w:type="dxa"/>
          </w:tcPr>
          <w:p>
            <w:pPr>
              <w:pStyle w:val="yTableNAm"/>
              <w:jc w:val="center"/>
            </w:pPr>
            <w:r>
              <w:br/>
            </w:r>
            <w:r>
              <w:br/>
            </w:r>
            <w:r>
              <w:br/>
              <w:t>356.65</w:t>
            </w:r>
          </w:p>
        </w:tc>
      </w:tr>
      <w:tr>
        <w:trPr>
          <w:cantSplit/>
        </w:trPr>
        <w:tc>
          <w:tcPr>
            <w:tcW w:w="686" w:type="dxa"/>
          </w:tcPr>
          <w:p>
            <w:pPr>
              <w:pStyle w:val="yTableNAm"/>
            </w:pPr>
            <w:r>
              <w:t>3.</w:t>
            </w:r>
          </w:p>
        </w:tc>
        <w:tc>
          <w:tcPr>
            <w:tcW w:w="3654" w:type="dxa"/>
          </w:tcPr>
          <w:p>
            <w:pPr>
              <w:pStyle w:val="yTableNAm"/>
            </w:pPr>
            <w:r>
              <w:t>For the casual daily use of an alongside berth or pile mooring, by a tourism vessel or fishing vessel (but not a service vessel), an amount calculated using standard Rate 1</w:t>
            </w:r>
          </w:p>
        </w:tc>
        <w:tc>
          <w:tcPr>
            <w:tcW w:w="1385" w:type="dxa"/>
          </w:tcPr>
          <w:p>
            <w:pPr>
              <w:pStyle w:val="yTableNAm"/>
              <w:jc w:val="center"/>
            </w:pPr>
          </w:p>
        </w:tc>
      </w:tr>
      <w:tr>
        <w:trPr>
          <w:cantSplit/>
        </w:trPr>
        <w:tc>
          <w:tcPr>
            <w:tcW w:w="686" w:type="dxa"/>
          </w:tcPr>
          <w:p>
            <w:pPr>
              <w:pStyle w:val="yTableNAm"/>
            </w:pPr>
            <w:r>
              <w:t>4.</w:t>
            </w:r>
          </w:p>
        </w:tc>
        <w:tc>
          <w:tcPr>
            <w:tcW w:w="3654" w:type="dxa"/>
          </w:tcPr>
          <w:p>
            <w:pPr>
              <w:pStyle w:val="yTableNAm"/>
            </w:pPr>
            <w:r>
              <w:t>For the casual daily use of an alongside berth on a service jetty by a commercial vessel (but not a service vessel), an amount calculated using standard Rate 1</w:t>
            </w:r>
          </w:p>
        </w:tc>
        <w:tc>
          <w:tcPr>
            <w:tcW w:w="1385" w:type="dxa"/>
          </w:tcPr>
          <w:p>
            <w:pPr>
              <w:pStyle w:val="yTableNAm"/>
              <w:jc w:val="center"/>
            </w:pPr>
          </w:p>
        </w:tc>
      </w:tr>
      <w:tr>
        <w:trPr>
          <w:cantSplit/>
        </w:trPr>
        <w:tc>
          <w:tcPr>
            <w:tcW w:w="686" w:type="dxa"/>
          </w:tcPr>
          <w:p>
            <w:pPr>
              <w:pStyle w:val="yTableNAm"/>
            </w:pPr>
            <w:r>
              <w:t>5.</w:t>
            </w:r>
          </w:p>
        </w:tc>
        <w:tc>
          <w:tcPr>
            <w:tcW w:w="3654" w:type="dxa"/>
          </w:tcPr>
          <w:p>
            <w:pPr>
              <w:pStyle w:val="yTableNAm"/>
            </w:pPr>
            <w:r>
              <w:t>For the short term use of a service jetty by a vessel (but not a service vessel), an amount calculated using standard Rate 3</w:t>
            </w:r>
          </w:p>
        </w:tc>
        <w:tc>
          <w:tcPr>
            <w:tcW w:w="1385" w:type="dxa"/>
          </w:tcPr>
          <w:p>
            <w:pPr>
              <w:pStyle w:val="yTableNAm"/>
              <w:jc w:val="center"/>
            </w:pPr>
          </w:p>
        </w:tc>
      </w:tr>
      <w:tr>
        <w:trPr>
          <w:cantSplit/>
        </w:trPr>
        <w:tc>
          <w:tcPr>
            <w:tcW w:w="686" w:type="dxa"/>
          </w:tcPr>
          <w:p>
            <w:pPr>
              <w:pStyle w:val="yTableNAm"/>
            </w:pPr>
            <w:r>
              <w:t>6.</w:t>
            </w:r>
          </w:p>
        </w:tc>
        <w:tc>
          <w:tcPr>
            <w:tcW w:w="3654" w:type="dxa"/>
          </w:tcPr>
          <w:p>
            <w:pPr>
              <w:pStyle w:val="yTableNAm"/>
            </w:pPr>
            <w:r>
              <w:t>For the casual daily use of a pile mooring by a service vessel, an amount calculated per metre of the vessel’s length at the daily rate of</w:t>
            </w:r>
          </w:p>
        </w:tc>
        <w:tc>
          <w:tcPr>
            <w:tcW w:w="1385" w:type="dxa"/>
          </w:tcPr>
          <w:p>
            <w:pPr>
              <w:pStyle w:val="yTableNAm"/>
              <w:jc w:val="center"/>
            </w:pPr>
            <w:r>
              <w:br/>
            </w:r>
            <w:r>
              <w:br/>
            </w:r>
            <w:r>
              <w:rPr>
                <w:szCs w:val="24"/>
              </w:rPr>
              <w:br/>
              <w:t>8.90</w:t>
            </w:r>
          </w:p>
        </w:tc>
      </w:tr>
      <w:tr>
        <w:trPr>
          <w:cantSplit/>
        </w:trPr>
        <w:tc>
          <w:tcPr>
            <w:tcW w:w="686" w:type="dxa"/>
          </w:tcPr>
          <w:p>
            <w:pPr>
              <w:pStyle w:val="yTableNAm"/>
            </w:pPr>
            <w:r>
              <w:t>7.</w:t>
            </w:r>
          </w:p>
        </w:tc>
        <w:tc>
          <w:tcPr>
            <w:tcW w:w="3654" w:type="dxa"/>
          </w:tcPr>
          <w:p>
            <w:pPr>
              <w:pStyle w:val="yTableNAm"/>
            </w:pPr>
            <w:r>
              <w:t>For the casual daily use of an alongside berth or pile mooring by a recreational vessel, an amount calculated using standard Rate 2</w:t>
            </w:r>
          </w:p>
        </w:tc>
        <w:tc>
          <w:tcPr>
            <w:tcW w:w="1385" w:type="dxa"/>
          </w:tcPr>
          <w:p>
            <w:pPr>
              <w:pStyle w:val="yTableNAm"/>
              <w:jc w:val="center"/>
            </w:pPr>
          </w:p>
        </w:tc>
      </w:tr>
      <w:tr>
        <w:trPr>
          <w:cantSplit/>
        </w:trPr>
        <w:tc>
          <w:tcPr>
            <w:tcW w:w="686" w:type="dxa"/>
          </w:tcPr>
          <w:p>
            <w:pPr>
              <w:pStyle w:val="yTableNAm"/>
            </w:pPr>
            <w:r>
              <w:t>8.</w:t>
            </w:r>
          </w:p>
        </w:tc>
        <w:tc>
          <w:tcPr>
            <w:tcW w:w="3654" w:type="dxa"/>
          </w:tcPr>
          <w:p>
            <w:pPr>
              <w:pStyle w:val="yTableNAm"/>
            </w:pPr>
            <w:r>
              <w:t>For the use, other than casual daily use, of an alongside berth by a recreational vessel, tourism vessel or fishing vessel, an amount calculated per metre of the vessel’s length at the monthly rate of</w:t>
            </w:r>
          </w:p>
        </w:tc>
        <w:tc>
          <w:tcPr>
            <w:tcW w:w="1385" w:type="dxa"/>
          </w:tcPr>
          <w:p>
            <w:pPr>
              <w:pStyle w:val="yTableNAm"/>
              <w:jc w:val="center"/>
            </w:pPr>
            <w:r>
              <w:br/>
            </w:r>
            <w:r>
              <w:br/>
            </w:r>
            <w:r>
              <w:br/>
            </w:r>
            <w:r>
              <w:br/>
              <w:t>67.07</w:t>
            </w:r>
          </w:p>
        </w:tc>
      </w:tr>
      <w:tr>
        <w:trPr>
          <w:cantSplit/>
        </w:trPr>
        <w:tc>
          <w:tcPr>
            <w:tcW w:w="686" w:type="dxa"/>
          </w:tcPr>
          <w:p>
            <w:pPr>
              <w:pStyle w:val="yTableNAm"/>
            </w:pPr>
            <w:r>
              <w:t>9.</w:t>
            </w:r>
          </w:p>
        </w:tc>
        <w:tc>
          <w:tcPr>
            <w:tcW w:w="3654" w:type="dxa"/>
          </w:tcPr>
          <w:p>
            <w:pPr>
              <w:pStyle w:val="yTableNAm"/>
            </w:pPr>
            <w:r>
              <w:t>For the use, other than casual daily use, of an alongside berth by a recreational vessel, tourism vessel or fishing vessel, an amount calculated per metre of the vessel’s length at the weekly rate of</w:t>
            </w:r>
          </w:p>
        </w:tc>
        <w:tc>
          <w:tcPr>
            <w:tcW w:w="1385" w:type="dxa"/>
          </w:tcPr>
          <w:p>
            <w:pPr>
              <w:pStyle w:val="yTableNAm"/>
              <w:jc w:val="center"/>
            </w:pPr>
            <w:r>
              <w:br/>
            </w:r>
            <w:r>
              <w:br/>
            </w:r>
            <w:r>
              <w:br/>
            </w:r>
            <w:r>
              <w:br/>
              <w:t>20.12</w:t>
            </w:r>
          </w:p>
        </w:tc>
      </w:tr>
      <w:tr>
        <w:trPr>
          <w:cantSplit/>
        </w:trPr>
        <w:tc>
          <w:tcPr>
            <w:tcW w:w="686" w:type="dxa"/>
          </w:tcPr>
          <w:p>
            <w:pPr>
              <w:pStyle w:val="yTableNAm"/>
            </w:pPr>
            <w:r>
              <w:t>10.</w:t>
            </w:r>
          </w:p>
        </w:tc>
        <w:tc>
          <w:tcPr>
            <w:tcW w:w="3654" w:type="dxa"/>
          </w:tcPr>
          <w:p>
            <w:pPr>
              <w:pStyle w:val="yTableNAm"/>
            </w:pPr>
            <w:r>
              <w:t>For the use of the service wharf by a service vessel, an amount calculated per metre of the vessel’s length at the 6</w:t>
            </w:r>
            <w:r>
              <w:noBreakHyphen/>
              <w:t>hourly rate of</w:t>
            </w:r>
          </w:p>
        </w:tc>
        <w:tc>
          <w:tcPr>
            <w:tcW w:w="1385" w:type="dxa"/>
          </w:tcPr>
          <w:p>
            <w:pPr>
              <w:pStyle w:val="yTableNAm"/>
              <w:jc w:val="center"/>
            </w:pPr>
            <w:r>
              <w:br/>
            </w:r>
            <w:r>
              <w:br/>
            </w:r>
            <w:r>
              <w:br/>
              <w:t>8.41</w:t>
            </w:r>
          </w:p>
        </w:tc>
      </w:tr>
      <w:tr>
        <w:trPr>
          <w:cantSplit/>
        </w:trPr>
        <w:tc>
          <w:tcPr>
            <w:tcW w:w="686" w:type="dxa"/>
            <w:tcBorders>
              <w:bottom w:val="single" w:sz="4" w:space="0" w:color="auto"/>
            </w:tcBorders>
          </w:tcPr>
          <w:p>
            <w:pPr>
              <w:pStyle w:val="yTableNAm"/>
            </w:pPr>
            <w:r>
              <w:t>11.</w:t>
            </w:r>
          </w:p>
        </w:tc>
        <w:tc>
          <w:tcPr>
            <w:tcW w:w="3654"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385" w:type="dxa"/>
            <w:tcBorders>
              <w:bottom w:val="single" w:sz="4" w:space="0" w:color="auto"/>
            </w:tcBorders>
          </w:tcPr>
          <w:p>
            <w:pPr>
              <w:pStyle w:val="yTableNAm"/>
              <w:jc w:val="center"/>
            </w:pPr>
            <w:r>
              <w:br/>
            </w:r>
            <w:r>
              <w:br/>
            </w:r>
            <w:r>
              <w:br/>
              <w:t>1.65</w:t>
            </w:r>
          </w:p>
        </w:tc>
      </w:tr>
    </w:tbl>
    <w:p>
      <w:pPr>
        <w:pStyle w:val="yFootnotesection"/>
      </w:pPr>
      <w:bookmarkStart w:id="245" w:name="_Toc402879128"/>
      <w:r>
        <w:tab/>
        <w:t>[Clause 21 inserted in Gazette 22 Jul 2015 p. 2974</w:t>
      </w:r>
      <w:r>
        <w:noBreakHyphen/>
        <w:t>5.]</w:t>
      </w:r>
    </w:p>
    <w:p>
      <w:pPr>
        <w:pStyle w:val="yHeading5"/>
      </w:pPr>
      <w:bookmarkStart w:id="246" w:name="_Toc425338095"/>
      <w:r>
        <w:rPr>
          <w:rStyle w:val="CharSClsNo"/>
        </w:rPr>
        <w:t>22</w:t>
      </w:r>
      <w:r>
        <w:t>.</w:t>
      </w:r>
      <w:r>
        <w:tab/>
        <w:t xml:space="preserve">Point Samson,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245"/>
      <w:bookmarkEnd w:id="246"/>
    </w:p>
    <w:p>
      <w:pPr>
        <w:pStyle w:val="ySubsection"/>
      </w:pPr>
      <w:r>
        <w:tab/>
        <w:t>(1)</w:t>
      </w:r>
      <w:r>
        <w:tab/>
        <w:t xml:space="preserve">This clause applies to the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Point Samson.</w:t>
      </w:r>
    </w:p>
    <w:p>
      <w:pPr>
        <w:pStyle w:val="ySubsection"/>
      </w:pPr>
      <w:r>
        <w:tab/>
        <w:t>(2)</w:t>
      </w:r>
      <w:r>
        <w:tab/>
        <w:t xml:space="preserve">In this clause a reference to a </w:t>
      </w:r>
      <w:r>
        <w:rPr>
          <w:rStyle w:val="CharDefText"/>
        </w:rPr>
        <w:t>service vessel</w:t>
      </w:r>
      <w:r>
        <w:t xml:space="preserve"> is a reference to any vessel other than a recreational vessel, tourism vessel or fishing vessel.</w:t>
      </w:r>
    </w:p>
    <w:p>
      <w:pPr>
        <w:pStyle w:val="ySubsection"/>
      </w:pPr>
      <w:r>
        <w:tab/>
        <w:t>(3)</w:t>
      </w:r>
      <w:r>
        <w:tab/>
        <w:t>The dues and charges to be paid under these regulations (other than charges under regulation 96) are set out in Table 22.1.</w:t>
      </w:r>
    </w:p>
    <w:p>
      <w:pPr>
        <w:pStyle w:val="yTHeadingNAm"/>
      </w:pPr>
      <w:r>
        <w:t>Table 22.1 (Pen use and berthing)</w:t>
      </w:r>
    </w:p>
    <w:tbl>
      <w:tblPr>
        <w:tblW w:w="5669" w:type="dxa"/>
        <w:tblInd w:w="1009" w:type="dxa"/>
        <w:tblLayout w:type="fixed"/>
        <w:tblCellMar>
          <w:top w:w="57" w:type="dxa"/>
          <w:left w:w="57" w:type="dxa"/>
          <w:right w:w="57" w:type="dxa"/>
        </w:tblCellMar>
        <w:tblLook w:val="0000" w:firstRow="0" w:lastRow="0" w:firstColumn="0" w:lastColumn="0" w:noHBand="0" w:noVBand="0"/>
      </w:tblPr>
      <w:tblGrid>
        <w:gridCol w:w="700"/>
        <w:gridCol w:w="3598"/>
        <w:gridCol w:w="1371"/>
      </w:tblGrid>
      <w:tr>
        <w:trPr>
          <w:cantSplit/>
          <w:tblHeader/>
        </w:trPr>
        <w:tc>
          <w:tcPr>
            <w:tcW w:w="700" w:type="dxa"/>
            <w:tcBorders>
              <w:top w:val="single" w:sz="4" w:space="0" w:color="auto"/>
              <w:bottom w:val="single" w:sz="4" w:space="0" w:color="auto"/>
            </w:tcBorders>
          </w:tcPr>
          <w:p>
            <w:pPr>
              <w:pStyle w:val="yTableNAm"/>
            </w:pPr>
            <w:r>
              <w:rPr>
                <w:b/>
              </w:rPr>
              <w:t>Item</w:t>
            </w:r>
          </w:p>
        </w:tc>
        <w:tc>
          <w:tcPr>
            <w:tcW w:w="3598" w:type="dxa"/>
            <w:tcBorders>
              <w:top w:val="single" w:sz="4" w:space="0" w:color="auto"/>
              <w:bottom w:val="single" w:sz="4" w:space="0" w:color="auto"/>
            </w:tcBorders>
          </w:tcPr>
          <w:p>
            <w:pPr>
              <w:pStyle w:val="yTableNAm"/>
            </w:pPr>
            <w:r>
              <w:rPr>
                <w:b/>
              </w:rPr>
              <w:t>Service</w:t>
            </w:r>
          </w:p>
        </w:tc>
        <w:tc>
          <w:tcPr>
            <w:tcW w:w="1371"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3598" w:type="dxa"/>
          </w:tcPr>
          <w:p>
            <w:pPr>
              <w:pStyle w:val="yTableNAm"/>
            </w:pPr>
            <w:r>
              <w:t>For the use, other than casual daily use, of a berth at a land</w:t>
            </w:r>
            <w:r>
              <w:noBreakHyphen/>
              <w:t>backed wharf or alongside berth by a recreational vessel, tourism vessel or fishing vessel, an amount calculated per metre of the vessel’s length using the annual rate of</w:t>
            </w:r>
          </w:p>
        </w:tc>
        <w:tc>
          <w:tcPr>
            <w:tcW w:w="1371" w:type="dxa"/>
          </w:tcPr>
          <w:p>
            <w:pPr>
              <w:pStyle w:val="yTableNAm"/>
              <w:jc w:val="center"/>
            </w:pPr>
            <w:r>
              <w:br/>
            </w:r>
            <w:r>
              <w:br/>
            </w:r>
            <w:r>
              <w:br/>
            </w:r>
            <w:r>
              <w:br/>
            </w:r>
            <w:r>
              <w:br/>
              <w:t>496.79</w:t>
            </w:r>
          </w:p>
        </w:tc>
      </w:tr>
      <w:tr>
        <w:trPr>
          <w:cantSplit/>
        </w:trPr>
        <w:tc>
          <w:tcPr>
            <w:tcW w:w="700" w:type="dxa"/>
          </w:tcPr>
          <w:p>
            <w:pPr>
              <w:pStyle w:val="yTableNAm"/>
            </w:pPr>
            <w:r>
              <w:t>2.</w:t>
            </w:r>
          </w:p>
        </w:tc>
        <w:tc>
          <w:tcPr>
            <w:tcW w:w="3598" w:type="dxa"/>
          </w:tcPr>
          <w:p>
            <w:pPr>
              <w:pStyle w:val="yTableNAm"/>
            </w:pPr>
            <w:r>
              <w:t>For the use, other than casual daily use, of a berth at a land</w:t>
            </w:r>
            <w:r>
              <w:noBreakHyphen/>
              <w:t>backed wharf or alongside berth by a service vessel, an amount calculated per metre of the vessel’s length using the annual rate of</w:t>
            </w:r>
          </w:p>
        </w:tc>
        <w:tc>
          <w:tcPr>
            <w:tcW w:w="1371" w:type="dxa"/>
          </w:tcPr>
          <w:p>
            <w:pPr>
              <w:pStyle w:val="yTableNAm"/>
              <w:jc w:val="center"/>
            </w:pPr>
            <w:r>
              <w:br/>
            </w:r>
            <w:r>
              <w:br/>
            </w:r>
            <w:r>
              <w:br/>
            </w:r>
            <w:r>
              <w:br/>
              <w:t>1 091.60</w:t>
            </w:r>
          </w:p>
        </w:tc>
      </w:tr>
      <w:tr>
        <w:trPr>
          <w:cantSplit/>
        </w:trPr>
        <w:tc>
          <w:tcPr>
            <w:tcW w:w="700" w:type="dxa"/>
          </w:tcPr>
          <w:p>
            <w:pPr>
              <w:pStyle w:val="yTableNAm"/>
            </w:pPr>
            <w:r>
              <w:t>3.</w:t>
            </w:r>
          </w:p>
        </w:tc>
        <w:tc>
          <w:tcPr>
            <w:tcW w:w="3598" w:type="dxa"/>
          </w:tcPr>
          <w:p>
            <w:pPr>
              <w:pStyle w:val="yTableNAm"/>
            </w:pPr>
            <w:r>
              <w:t>For the casual daily use of a berth at a land</w:t>
            </w:r>
            <w:r>
              <w:noBreakHyphen/>
              <w:t>backed wharf or alongside berth by a tourism vessel or fishing vessel (but not a service vessel), an amount calculated using standard Rate 1</w:t>
            </w:r>
          </w:p>
        </w:tc>
        <w:tc>
          <w:tcPr>
            <w:tcW w:w="1371" w:type="dxa"/>
          </w:tcPr>
          <w:p>
            <w:pPr>
              <w:pStyle w:val="yTableNAm"/>
              <w:jc w:val="center"/>
            </w:pPr>
          </w:p>
        </w:tc>
      </w:tr>
      <w:tr>
        <w:trPr>
          <w:cantSplit/>
        </w:trPr>
        <w:tc>
          <w:tcPr>
            <w:tcW w:w="700" w:type="dxa"/>
          </w:tcPr>
          <w:p>
            <w:pPr>
              <w:pStyle w:val="yTableNAm"/>
            </w:pPr>
            <w:r>
              <w:t>4.</w:t>
            </w:r>
          </w:p>
        </w:tc>
        <w:tc>
          <w:tcPr>
            <w:tcW w:w="3598" w:type="dxa"/>
          </w:tcPr>
          <w:p>
            <w:pPr>
              <w:pStyle w:val="yTableNAm"/>
            </w:pPr>
            <w:r>
              <w:t>For the short term use of a service jetty by a vessel (but not a service vessel), an amount calculated using standard Rate 3</w:t>
            </w:r>
          </w:p>
        </w:tc>
        <w:tc>
          <w:tcPr>
            <w:tcW w:w="1371" w:type="dxa"/>
          </w:tcPr>
          <w:p>
            <w:pPr>
              <w:pStyle w:val="yTableNAm"/>
              <w:jc w:val="center"/>
            </w:pPr>
          </w:p>
        </w:tc>
      </w:tr>
      <w:tr>
        <w:trPr>
          <w:cantSplit/>
        </w:trPr>
        <w:tc>
          <w:tcPr>
            <w:tcW w:w="700" w:type="dxa"/>
          </w:tcPr>
          <w:p>
            <w:pPr>
              <w:pStyle w:val="yTableNAm"/>
            </w:pPr>
            <w:r>
              <w:t>5.</w:t>
            </w:r>
          </w:p>
        </w:tc>
        <w:tc>
          <w:tcPr>
            <w:tcW w:w="3598" w:type="dxa"/>
          </w:tcPr>
          <w:p>
            <w:pPr>
              <w:pStyle w:val="yTableNAm"/>
            </w:pPr>
            <w:r>
              <w:t>For the casual daily use of a berth at a land</w:t>
            </w:r>
            <w:r>
              <w:noBreakHyphen/>
              <w:t>backed wharf or alongside berth by a recreational vessel, an amount calculated using standard Rate 2</w:t>
            </w:r>
          </w:p>
        </w:tc>
        <w:tc>
          <w:tcPr>
            <w:tcW w:w="1371" w:type="dxa"/>
          </w:tcPr>
          <w:p>
            <w:pPr>
              <w:pStyle w:val="yTableNAm"/>
              <w:jc w:val="center"/>
            </w:pPr>
          </w:p>
        </w:tc>
      </w:tr>
      <w:tr>
        <w:trPr>
          <w:cantSplit/>
        </w:trPr>
        <w:tc>
          <w:tcPr>
            <w:tcW w:w="700" w:type="dxa"/>
          </w:tcPr>
          <w:p>
            <w:pPr>
              <w:pStyle w:val="yTableNAm"/>
            </w:pPr>
            <w:r>
              <w:t>6.</w:t>
            </w:r>
          </w:p>
        </w:tc>
        <w:tc>
          <w:tcPr>
            <w:tcW w:w="3598" w:type="dxa"/>
          </w:tcPr>
          <w:p>
            <w:pPr>
              <w:pStyle w:val="yTableNAm"/>
            </w:pPr>
            <w:r>
              <w:t>For the use of a berth at a land</w:t>
            </w:r>
            <w:r>
              <w:noBreakHyphen/>
              <w:t>backed wharf or alongside berth by a service vessel, an amount calculated per metre of the vessel’s length at the 6</w:t>
            </w:r>
            <w:r>
              <w:noBreakHyphen/>
              <w:t>hourly rate of</w:t>
            </w:r>
          </w:p>
        </w:tc>
        <w:tc>
          <w:tcPr>
            <w:tcW w:w="1371" w:type="dxa"/>
          </w:tcPr>
          <w:p>
            <w:pPr>
              <w:pStyle w:val="yTableNAm"/>
              <w:jc w:val="center"/>
            </w:pPr>
            <w:r>
              <w:br/>
            </w:r>
            <w:r>
              <w:br/>
            </w:r>
            <w:r>
              <w:br/>
              <w:t>8.41</w:t>
            </w:r>
          </w:p>
        </w:tc>
      </w:tr>
      <w:tr>
        <w:trPr>
          <w:cantSplit/>
        </w:trPr>
        <w:tc>
          <w:tcPr>
            <w:tcW w:w="700" w:type="dxa"/>
          </w:tcPr>
          <w:p>
            <w:pPr>
              <w:pStyle w:val="yTableNAm"/>
            </w:pPr>
            <w:r>
              <w:t>7.</w:t>
            </w:r>
          </w:p>
        </w:tc>
        <w:tc>
          <w:tcPr>
            <w:tcW w:w="3598" w:type="dxa"/>
          </w:tcPr>
          <w:p>
            <w:pPr>
              <w:pStyle w:val="yTableNAm"/>
            </w:pPr>
            <w:r>
              <w:t>For the use, other than casual daily use, of an alongside berth and mooring within area adjacent to causeway by a recreational vessel, tourism vessel or fishing vessel, an amount calculated per metre of the vessel’s length using the annual rate of</w:t>
            </w:r>
          </w:p>
        </w:tc>
        <w:tc>
          <w:tcPr>
            <w:tcW w:w="1371" w:type="dxa"/>
          </w:tcPr>
          <w:p>
            <w:pPr>
              <w:pStyle w:val="yTableNAm"/>
              <w:jc w:val="center"/>
            </w:pPr>
            <w:r>
              <w:br/>
            </w:r>
            <w:r>
              <w:br/>
            </w:r>
            <w:r>
              <w:br/>
            </w:r>
            <w:r>
              <w:br/>
            </w:r>
            <w:r>
              <w:br/>
              <w:t>397.43</w:t>
            </w:r>
          </w:p>
        </w:tc>
      </w:tr>
      <w:tr>
        <w:trPr>
          <w:cantSplit/>
        </w:trPr>
        <w:tc>
          <w:tcPr>
            <w:tcW w:w="700" w:type="dxa"/>
          </w:tcPr>
          <w:p>
            <w:pPr>
              <w:pStyle w:val="yTableNAm"/>
            </w:pPr>
            <w:r>
              <w:t>8.</w:t>
            </w:r>
          </w:p>
        </w:tc>
        <w:tc>
          <w:tcPr>
            <w:tcW w:w="3598" w:type="dxa"/>
          </w:tcPr>
          <w:p>
            <w:pPr>
              <w:pStyle w:val="yTableNAm"/>
            </w:pPr>
            <w:r>
              <w:t>For the use, other than casual daily use, of an alongside berth and mooring within area adjacent to causeway by a service vessel, an amount calculated per metre of the vessel’s length using the annual rate of</w:t>
            </w:r>
          </w:p>
        </w:tc>
        <w:tc>
          <w:tcPr>
            <w:tcW w:w="1371" w:type="dxa"/>
          </w:tcPr>
          <w:p>
            <w:pPr>
              <w:pStyle w:val="yTableNAm"/>
              <w:jc w:val="center"/>
            </w:pPr>
            <w:r>
              <w:br/>
            </w:r>
            <w:r>
              <w:br/>
            </w:r>
            <w:r>
              <w:br/>
            </w:r>
            <w:r>
              <w:br/>
              <w:t>873.27</w:t>
            </w:r>
          </w:p>
        </w:tc>
      </w:tr>
      <w:tr>
        <w:trPr>
          <w:cantSplit/>
        </w:trPr>
        <w:tc>
          <w:tcPr>
            <w:tcW w:w="700" w:type="dxa"/>
          </w:tcPr>
          <w:p>
            <w:pPr>
              <w:pStyle w:val="yTableNAm"/>
            </w:pPr>
            <w:r>
              <w:t>9.</w:t>
            </w:r>
          </w:p>
        </w:tc>
        <w:tc>
          <w:tcPr>
            <w:tcW w:w="3598" w:type="dxa"/>
          </w:tcPr>
          <w:p>
            <w:pPr>
              <w:pStyle w:val="yTableNAm"/>
            </w:pPr>
            <w:r>
              <w:t>For the casual daily use of an alongside berth and mooring within area adjacent to causeway by a tourism vessel or fishing vessel (but not a service vessel), an amount calculated using standard Rate 1</w:t>
            </w:r>
          </w:p>
        </w:tc>
        <w:tc>
          <w:tcPr>
            <w:tcW w:w="1371" w:type="dxa"/>
          </w:tcPr>
          <w:p>
            <w:pPr>
              <w:pStyle w:val="yTableNAm"/>
              <w:jc w:val="center"/>
            </w:pPr>
          </w:p>
        </w:tc>
      </w:tr>
      <w:tr>
        <w:trPr>
          <w:cantSplit/>
        </w:trPr>
        <w:tc>
          <w:tcPr>
            <w:tcW w:w="700" w:type="dxa"/>
          </w:tcPr>
          <w:p>
            <w:pPr>
              <w:pStyle w:val="yTableNAm"/>
            </w:pPr>
            <w:r>
              <w:t>10.</w:t>
            </w:r>
          </w:p>
        </w:tc>
        <w:tc>
          <w:tcPr>
            <w:tcW w:w="3598" w:type="dxa"/>
          </w:tcPr>
          <w:p>
            <w:pPr>
              <w:pStyle w:val="yTableNAm"/>
            </w:pPr>
            <w:r>
              <w:t>For the use of an alongside berth and mooring within area adjacent to causeway by a service vessel, an amount calculated per metre of the vessel’s length at the 6</w:t>
            </w:r>
            <w:r>
              <w:noBreakHyphen/>
              <w:t>hourly rate of</w:t>
            </w:r>
          </w:p>
        </w:tc>
        <w:tc>
          <w:tcPr>
            <w:tcW w:w="1371" w:type="dxa"/>
          </w:tcPr>
          <w:p>
            <w:pPr>
              <w:pStyle w:val="yTableNAm"/>
              <w:jc w:val="center"/>
            </w:pPr>
            <w:r>
              <w:br/>
            </w:r>
            <w:r>
              <w:br/>
            </w:r>
            <w:r>
              <w:br/>
            </w:r>
            <w:r>
              <w:br/>
              <w:t>6.72</w:t>
            </w:r>
          </w:p>
        </w:tc>
      </w:tr>
      <w:tr>
        <w:trPr>
          <w:cantSplit/>
        </w:trPr>
        <w:tc>
          <w:tcPr>
            <w:tcW w:w="700" w:type="dxa"/>
            <w:tcBorders>
              <w:bottom w:val="single" w:sz="4" w:space="0" w:color="auto"/>
            </w:tcBorders>
          </w:tcPr>
          <w:p>
            <w:pPr>
              <w:pStyle w:val="yTableNAm"/>
            </w:pPr>
            <w:r>
              <w:t>11.</w:t>
            </w:r>
          </w:p>
        </w:tc>
        <w:tc>
          <w:tcPr>
            <w:tcW w:w="3598"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371" w:type="dxa"/>
            <w:tcBorders>
              <w:bottom w:val="single" w:sz="4" w:space="0" w:color="auto"/>
            </w:tcBorders>
          </w:tcPr>
          <w:p>
            <w:pPr>
              <w:pStyle w:val="yTableNAm"/>
              <w:jc w:val="center"/>
            </w:pPr>
            <w:r>
              <w:br/>
            </w:r>
            <w:r>
              <w:br/>
            </w:r>
            <w:r>
              <w:br/>
              <w:t>1.65</w:t>
            </w:r>
          </w:p>
        </w:tc>
      </w:tr>
    </w:tbl>
    <w:p>
      <w:pPr>
        <w:pStyle w:val="ySubsection"/>
      </w:pPr>
      <w:r>
        <w:tab/>
        <w:t>(4)</w:t>
      </w:r>
      <w:r>
        <w:tab/>
        <w:t>The charges to be paid under regulation 96 are set out in Table 22.2.</w:t>
      </w:r>
    </w:p>
    <w:p>
      <w:pPr>
        <w:pStyle w:val="yTHeadingNAm"/>
      </w:pPr>
      <w:r>
        <w:t>Table 22.2 (Use of careening pad)</w:t>
      </w:r>
    </w:p>
    <w:tbl>
      <w:tblPr>
        <w:tblW w:w="5655" w:type="dxa"/>
        <w:tblInd w:w="1009" w:type="dxa"/>
        <w:tblLayout w:type="fixed"/>
        <w:tblCellMar>
          <w:top w:w="57" w:type="dxa"/>
          <w:left w:w="57" w:type="dxa"/>
          <w:right w:w="57" w:type="dxa"/>
        </w:tblCellMar>
        <w:tblLook w:val="0000" w:firstRow="0" w:lastRow="0" w:firstColumn="0" w:lastColumn="0" w:noHBand="0" w:noVBand="0"/>
      </w:tblPr>
      <w:tblGrid>
        <w:gridCol w:w="672"/>
        <w:gridCol w:w="3626"/>
        <w:gridCol w:w="1357"/>
      </w:tblGrid>
      <w:tr>
        <w:trPr>
          <w:cantSplit/>
          <w:tblHeader/>
        </w:trPr>
        <w:tc>
          <w:tcPr>
            <w:tcW w:w="672" w:type="dxa"/>
            <w:tcBorders>
              <w:top w:val="single" w:sz="4" w:space="0" w:color="auto"/>
              <w:bottom w:val="single" w:sz="4" w:space="0" w:color="auto"/>
            </w:tcBorders>
          </w:tcPr>
          <w:p>
            <w:pPr>
              <w:pStyle w:val="yTableNAm"/>
              <w:keepNext/>
            </w:pPr>
            <w:r>
              <w:rPr>
                <w:b/>
              </w:rPr>
              <w:t>Item</w:t>
            </w:r>
          </w:p>
        </w:tc>
        <w:tc>
          <w:tcPr>
            <w:tcW w:w="3626" w:type="dxa"/>
            <w:tcBorders>
              <w:top w:val="single" w:sz="4" w:space="0" w:color="auto"/>
              <w:bottom w:val="single" w:sz="4" w:space="0" w:color="auto"/>
            </w:tcBorders>
          </w:tcPr>
          <w:p>
            <w:pPr>
              <w:pStyle w:val="yTableNAm"/>
            </w:pPr>
            <w:r>
              <w:rPr>
                <w:b/>
              </w:rPr>
              <w:t>Service</w:t>
            </w:r>
          </w:p>
        </w:tc>
        <w:tc>
          <w:tcPr>
            <w:tcW w:w="1357"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3626" w:type="dxa"/>
          </w:tcPr>
          <w:p>
            <w:pPr>
              <w:pStyle w:val="yTableNAm"/>
            </w:pPr>
            <w:r>
              <w:t xml:space="preserve">For the use of a careening pad by a vessel for which the annual charge in Table 22.1 has been paid, an amount calculated per metre of the vessel’s length at the daily rate of — </w:t>
            </w:r>
          </w:p>
        </w:tc>
        <w:tc>
          <w:tcPr>
            <w:tcW w:w="1357" w:type="dxa"/>
          </w:tcPr>
          <w:p>
            <w:pPr>
              <w:pStyle w:val="yTableNAm"/>
              <w:jc w:val="center"/>
            </w:pPr>
          </w:p>
        </w:tc>
      </w:tr>
      <w:tr>
        <w:trPr>
          <w:cantSplit/>
        </w:trPr>
        <w:tc>
          <w:tcPr>
            <w:tcW w:w="672" w:type="dxa"/>
          </w:tcPr>
          <w:p>
            <w:pPr>
              <w:pStyle w:val="zyTableNAm"/>
            </w:pPr>
          </w:p>
        </w:tc>
        <w:tc>
          <w:tcPr>
            <w:tcW w:w="3626" w:type="dxa"/>
          </w:tcPr>
          <w:p>
            <w:pPr>
              <w:pStyle w:val="yTableNAm"/>
              <w:tabs>
                <w:tab w:val="clear" w:pos="567"/>
              </w:tabs>
              <w:ind w:left="226" w:hanging="226"/>
            </w:pPr>
            <w:r>
              <w:t>•</w:t>
            </w:r>
            <w:r>
              <w:tab/>
              <w:t>if the vessel is 15 m or less in length</w:t>
            </w:r>
          </w:p>
        </w:tc>
        <w:tc>
          <w:tcPr>
            <w:tcW w:w="1357" w:type="dxa"/>
            <w:vAlign w:val="bottom"/>
          </w:tcPr>
          <w:p>
            <w:pPr>
              <w:pStyle w:val="yTableNAm"/>
              <w:tabs>
                <w:tab w:val="clear" w:pos="567"/>
              </w:tabs>
              <w:ind w:left="368" w:hanging="368"/>
              <w:jc w:val="center"/>
            </w:pPr>
            <w:r>
              <w:rPr>
                <w:szCs w:val="22"/>
              </w:rPr>
              <w:t>165.59</w:t>
            </w:r>
          </w:p>
        </w:tc>
      </w:tr>
      <w:tr>
        <w:trPr>
          <w:cantSplit/>
        </w:trPr>
        <w:tc>
          <w:tcPr>
            <w:tcW w:w="672" w:type="dxa"/>
          </w:tcPr>
          <w:p>
            <w:pPr>
              <w:pStyle w:val="zyTableNAm"/>
            </w:pPr>
          </w:p>
        </w:tc>
        <w:tc>
          <w:tcPr>
            <w:tcW w:w="3626" w:type="dxa"/>
          </w:tcPr>
          <w:p>
            <w:pPr>
              <w:pStyle w:val="yTableNAm"/>
              <w:tabs>
                <w:tab w:val="clear" w:pos="567"/>
              </w:tabs>
              <w:ind w:left="226" w:hanging="226"/>
            </w:pPr>
            <w:r>
              <w:t>•</w:t>
            </w:r>
            <w:r>
              <w:tab/>
              <w:t>if the vessel is over 15 m in length</w:t>
            </w:r>
          </w:p>
        </w:tc>
        <w:tc>
          <w:tcPr>
            <w:tcW w:w="1357" w:type="dxa"/>
            <w:vAlign w:val="bottom"/>
          </w:tcPr>
          <w:p>
            <w:pPr>
              <w:pStyle w:val="yTableNAm"/>
              <w:tabs>
                <w:tab w:val="clear" w:pos="567"/>
              </w:tabs>
              <w:ind w:left="368" w:hanging="368"/>
              <w:jc w:val="center"/>
            </w:pPr>
            <w:r>
              <w:rPr>
                <w:szCs w:val="22"/>
              </w:rPr>
              <w:t>235.14</w:t>
            </w:r>
          </w:p>
        </w:tc>
      </w:tr>
      <w:tr>
        <w:trPr>
          <w:cantSplit/>
        </w:trPr>
        <w:tc>
          <w:tcPr>
            <w:tcW w:w="672" w:type="dxa"/>
          </w:tcPr>
          <w:p>
            <w:pPr>
              <w:pStyle w:val="yTableNAm"/>
            </w:pPr>
            <w:r>
              <w:t>2.</w:t>
            </w:r>
          </w:p>
        </w:tc>
        <w:tc>
          <w:tcPr>
            <w:tcW w:w="3626" w:type="dxa"/>
          </w:tcPr>
          <w:p>
            <w:pPr>
              <w:pStyle w:val="yTableNAm"/>
            </w:pPr>
            <w:r>
              <w:t xml:space="preserve">For the use of a careening pad by any other vessel, an amount per day of — </w:t>
            </w:r>
          </w:p>
        </w:tc>
        <w:tc>
          <w:tcPr>
            <w:tcW w:w="1357" w:type="dxa"/>
            <w:vAlign w:val="bottom"/>
          </w:tcPr>
          <w:p>
            <w:pPr>
              <w:pStyle w:val="yTableNAm"/>
              <w:jc w:val="center"/>
            </w:pPr>
          </w:p>
        </w:tc>
      </w:tr>
      <w:tr>
        <w:trPr>
          <w:cantSplit/>
        </w:trPr>
        <w:tc>
          <w:tcPr>
            <w:tcW w:w="672" w:type="dxa"/>
          </w:tcPr>
          <w:p>
            <w:pPr>
              <w:pStyle w:val="zyTableNAm"/>
            </w:pPr>
          </w:p>
        </w:tc>
        <w:tc>
          <w:tcPr>
            <w:tcW w:w="3626" w:type="dxa"/>
          </w:tcPr>
          <w:p>
            <w:pPr>
              <w:pStyle w:val="yTableNAm"/>
              <w:tabs>
                <w:tab w:val="clear" w:pos="567"/>
              </w:tabs>
              <w:ind w:left="226" w:hanging="226"/>
            </w:pPr>
            <w:r>
              <w:t>•</w:t>
            </w:r>
            <w:r>
              <w:tab/>
              <w:t>if the vessel is 15 m or less in length</w:t>
            </w:r>
          </w:p>
        </w:tc>
        <w:tc>
          <w:tcPr>
            <w:tcW w:w="1357" w:type="dxa"/>
            <w:vAlign w:val="bottom"/>
          </w:tcPr>
          <w:p>
            <w:pPr>
              <w:pStyle w:val="yTableNAm"/>
              <w:jc w:val="center"/>
            </w:pPr>
            <w:r>
              <w:rPr>
                <w:szCs w:val="22"/>
              </w:rPr>
              <w:t>198.71</w:t>
            </w:r>
          </w:p>
        </w:tc>
      </w:tr>
      <w:tr>
        <w:trPr>
          <w:cantSplit/>
        </w:trPr>
        <w:tc>
          <w:tcPr>
            <w:tcW w:w="672" w:type="dxa"/>
            <w:tcBorders>
              <w:bottom w:val="single" w:sz="4" w:space="0" w:color="auto"/>
            </w:tcBorders>
          </w:tcPr>
          <w:p>
            <w:pPr>
              <w:pStyle w:val="zyTableNAm"/>
            </w:pPr>
          </w:p>
        </w:tc>
        <w:tc>
          <w:tcPr>
            <w:tcW w:w="3626" w:type="dxa"/>
            <w:tcBorders>
              <w:bottom w:val="single" w:sz="4" w:space="0" w:color="auto"/>
            </w:tcBorders>
          </w:tcPr>
          <w:p>
            <w:pPr>
              <w:pStyle w:val="yTableNAm"/>
              <w:tabs>
                <w:tab w:val="clear" w:pos="567"/>
              </w:tabs>
              <w:ind w:left="226" w:hanging="226"/>
            </w:pPr>
            <w:r>
              <w:t>•</w:t>
            </w:r>
            <w:r>
              <w:tab/>
              <w:t>if the vessel is over 15 m in length</w:t>
            </w:r>
          </w:p>
        </w:tc>
        <w:tc>
          <w:tcPr>
            <w:tcW w:w="1357" w:type="dxa"/>
            <w:tcBorders>
              <w:bottom w:val="single" w:sz="4" w:space="0" w:color="auto"/>
            </w:tcBorders>
            <w:vAlign w:val="bottom"/>
          </w:tcPr>
          <w:p>
            <w:pPr>
              <w:pStyle w:val="yTableNAm"/>
              <w:jc w:val="center"/>
            </w:pPr>
            <w:r>
              <w:rPr>
                <w:szCs w:val="22"/>
              </w:rPr>
              <w:t>289.77</w:t>
            </w:r>
          </w:p>
        </w:tc>
      </w:tr>
    </w:tbl>
    <w:p>
      <w:pPr>
        <w:pStyle w:val="yFootnotesection"/>
      </w:pPr>
      <w:bookmarkStart w:id="247" w:name="_Toc402879129"/>
      <w:r>
        <w:tab/>
        <w:t>[Clause 22 inserted in Gazette 22 Jul 2015 p. 2975</w:t>
      </w:r>
      <w:r>
        <w:noBreakHyphen/>
        <w:t>8.]</w:t>
      </w:r>
    </w:p>
    <w:p>
      <w:pPr>
        <w:pStyle w:val="yHeading5"/>
      </w:pPr>
      <w:bookmarkStart w:id="248" w:name="_Toc425338096"/>
      <w:r>
        <w:rPr>
          <w:rStyle w:val="CharSClsNo"/>
        </w:rPr>
        <w:t>23</w:t>
      </w:r>
      <w:r>
        <w:t>.</w:t>
      </w:r>
      <w:r>
        <w:tab/>
        <w:t xml:space="preserve">Port </w:t>
      </w:r>
      <w:smartTag w:uri="urn:schemas-microsoft-com:office:smarttags" w:element="place">
        <w:smartTag w:uri="urn:schemas-microsoft-com:office:smarttags" w:element="City">
          <w:r>
            <w:t>Denison</w:t>
          </w:r>
        </w:smartTag>
      </w:smartTag>
      <w:bookmarkEnd w:id="247"/>
      <w:bookmarkEnd w:id="248"/>
    </w:p>
    <w:p>
      <w:pPr>
        <w:pStyle w:val="ySubsection"/>
      </w:pPr>
      <w:r>
        <w:tab/>
        <w:t>(1)</w:t>
      </w:r>
      <w:r>
        <w:tab/>
        <w:t>This clause applies to Port Denison.</w:t>
      </w:r>
    </w:p>
    <w:p>
      <w:pPr>
        <w:pStyle w:val="ySubsection"/>
      </w:pPr>
      <w:r>
        <w:tab/>
        <w:t>(2)</w:t>
      </w:r>
      <w:r>
        <w:tab/>
        <w:t>The dues (other than wharfage dues) and charges to be paid under these regulations are set out in Table 23.1.</w:t>
      </w:r>
    </w:p>
    <w:p>
      <w:pPr>
        <w:pStyle w:val="yTHeadingNAm"/>
      </w:pPr>
      <w:r>
        <w:t>Table 23.1 (Pen use and berthing)</w:t>
      </w:r>
    </w:p>
    <w:tbl>
      <w:tblPr>
        <w:tblW w:w="5627" w:type="dxa"/>
        <w:tblInd w:w="1037" w:type="dxa"/>
        <w:tblLayout w:type="fixed"/>
        <w:tblCellMar>
          <w:top w:w="57" w:type="dxa"/>
          <w:left w:w="57" w:type="dxa"/>
          <w:right w:w="57" w:type="dxa"/>
        </w:tblCellMar>
        <w:tblLook w:val="0000" w:firstRow="0" w:lastRow="0" w:firstColumn="0" w:lastColumn="0" w:noHBand="0" w:noVBand="0"/>
      </w:tblPr>
      <w:tblGrid>
        <w:gridCol w:w="630"/>
        <w:gridCol w:w="3626"/>
        <w:gridCol w:w="1371"/>
      </w:tblGrid>
      <w:tr>
        <w:trPr>
          <w:cantSplit/>
          <w:tblHeader/>
        </w:trPr>
        <w:tc>
          <w:tcPr>
            <w:tcW w:w="630" w:type="dxa"/>
            <w:tcBorders>
              <w:top w:val="single" w:sz="4" w:space="0" w:color="auto"/>
              <w:bottom w:val="single" w:sz="4" w:space="0" w:color="auto"/>
            </w:tcBorders>
          </w:tcPr>
          <w:p>
            <w:pPr>
              <w:pStyle w:val="yTableNAm"/>
            </w:pPr>
            <w:r>
              <w:rPr>
                <w:b/>
              </w:rPr>
              <w:t>Item</w:t>
            </w:r>
          </w:p>
        </w:tc>
        <w:tc>
          <w:tcPr>
            <w:tcW w:w="3626" w:type="dxa"/>
            <w:tcBorders>
              <w:top w:val="single" w:sz="4" w:space="0" w:color="auto"/>
              <w:bottom w:val="single" w:sz="4" w:space="0" w:color="auto"/>
            </w:tcBorders>
          </w:tcPr>
          <w:p>
            <w:pPr>
              <w:pStyle w:val="yTableNAm"/>
            </w:pPr>
            <w:r>
              <w:rPr>
                <w:b/>
              </w:rPr>
              <w:t>Service</w:t>
            </w:r>
          </w:p>
        </w:tc>
        <w:tc>
          <w:tcPr>
            <w:tcW w:w="1371"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3626" w:type="dxa"/>
          </w:tcPr>
          <w:p>
            <w:pPr>
              <w:pStyle w:val="yTableNAm"/>
            </w:pPr>
            <w:r>
              <w:t>For the use, other than casual daily use, of a pen, an amount calculated per metre of the pen’s length at the annual rate of</w:t>
            </w:r>
          </w:p>
        </w:tc>
        <w:tc>
          <w:tcPr>
            <w:tcW w:w="1371" w:type="dxa"/>
          </w:tcPr>
          <w:p>
            <w:pPr>
              <w:pStyle w:val="yTableNAm"/>
              <w:jc w:val="center"/>
            </w:pPr>
            <w:r>
              <w:br/>
            </w:r>
            <w:r>
              <w:br/>
              <w:t>133.43</w:t>
            </w:r>
          </w:p>
        </w:tc>
      </w:tr>
      <w:tr>
        <w:trPr>
          <w:cantSplit/>
        </w:trPr>
        <w:tc>
          <w:tcPr>
            <w:tcW w:w="630" w:type="dxa"/>
          </w:tcPr>
          <w:p>
            <w:pPr>
              <w:pStyle w:val="yTableNAm"/>
            </w:pPr>
            <w:r>
              <w:t>2.</w:t>
            </w:r>
          </w:p>
        </w:tc>
        <w:tc>
          <w:tcPr>
            <w:tcW w:w="3626" w:type="dxa"/>
          </w:tcPr>
          <w:p>
            <w:pPr>
              <w:pStyle w:val="yTableNAm"/>
            </w:pPr>
            <w:r>
              <w:t>For the casual daily use of an alongside berth by a commercial vessel, an amount calculated using standard Rate 1</w:t>
            </w:r>
          </w:p>
        </w:tc>
        <w:tc>
          <w:tcPr>
            <w:tcW w:w="1371" w:type="dxa"/>
          </w:tcPr>
          <w:p>
            <w:pPr>
              <w:pStyle w:val="yTableNAm"/>
              <w:jc w:val="center"/>
            </w:pPr>
          </w:p>
        </w:tc>
      </w:tr>
      <w:tr>
        <w:trPr>
          <w:cantSplit/>
        </w:trPr>
        <w:tc>
          <w:tcPr>
            <w:tcW w:w="630" w:type="dxa"/>
          </w:tcPr>
          <w:p>
            <w:pPr>
              <w:pStyle w:val="yTableNAm"/>
            </w:pPr>
            <w:r>
              <w:t>3.</w:t>
            </w:r>
          </w:p>
        </w:tc>
        <w:tc>
          <w:tcPr>
            <w:tcW w:w="3626" w:type="dxa"/>
          </w:tcPr>
          <w:p>
            <w:pPr>
              <w:pStyle w:val="yTableNAm"/>
            </w:pPr>
            <w:r>
              <w:t>For the short term use of a service wharf or jetty by a vessel for which neither a swing mooring fee nor charge in item 1 has been paid, an amount calculated using standard Rate 3</w:t>
            </w:r>
          </w:p>
        </w:tc>
        <w:tc>
          <w:tcPr>
            <w:tcW w:w="1371" w:type="dxa"/>
          </w:tcPr>
          <w:p>
            <w:pPr>
              <w:pStyle w:val="yTableNAm"/>
              <w:jc w:val="center"/>
            </w:pPr>
          </w:p>
        </w:tc>
      </w:tr>
      <w:tr>
        <w:trPr>
          <w:cantSplit/>
        </w:trPr>
        <w:tc>
          <w:tcPr>
            <w:tcW w:w="630" w:type="dxa"/>
            <w:tcBorders>
              <w:bottom w:val="single" w:sz="4" w:space="0" w:color="auto"/>
            </w:tcBorders>
          </w:tcPr>
          <w:p>
            <w:pPr>
              <w:pStyle w:val="yTableNAm"/>
            </w:pPr>
            <w:r>
              <w:t>4.</w:t>
            </w:r>
          </w:p>
        </w:tc>
        <w:tc>
          <w:tcPr>
            <w:tcW w:w="3626" w:type="dxa"/>
            <w:tcBorders>
              <w:bottom w:val="single" w:sz="4" w:space="0" w:color="auto"/>
            </w:tcBorders>
          </w:tcPr>
          <w:p>
            <w:pPr>
              <w:pStyle w:val="yTableNAm"/>
            </w:pPr>
            <w:r>
              <w:t>For the casual daily use of a pen or alongside berth by a recreational vessel, an amount calculated using standard Rate 2</w:t>
            </w:r>
          </w:p>
        </w:tc>
        <w:tc>
          <w:tcPr>
            <w:tcW w:w="1371" w:type="dxa"/>
            <w:tcBorders>
              <w:bottom w:val="single" w:sz="4" w:space="0" w:color="auto"/>
            </w:tcBorders>
          </w:tcPr>
          <w:p>
            <w:pPr>
              <w:pStyle w:val="yTableNAm"/>
              <w:jc w:val="center"/>
            </w:pPr>
          </w:p>
        </w:tc>
      </w:tr>
    </w:tbl>
    <w:p>
      <w:pPr>
        <w:pStyle w:val="ySubsection"/>
      </w:pPr>
      <w:r>
        <w:tab/>
        <w:t>(3)</w:t>
      </w:r>
      <w:r>
        <w:tab/>
        <w:t>The wharfage dues to be paid under these regulations are set out in Table 23.2.</w:t>
      </w:r>
    </w:p>
    <w:p>
      <w:pPr>
        <w:pStyle w:val="yTHeadingNAm"/>
      </w:pPr>
      <w:r>
        <w:t>Table 23.2 (Wharfage)</w:t>
      </w:r>
    </w:p>
    <w:tbl>
      <w:tblPr>
        <w:tblW w:w="5627" w:type="dxa"/>
        <w:tblInd w:w="1037" w:type="dxa"/>
        <w:tblLayout w:type="fixed"/>
        <w:tblCellMar>
          <w:top w:w="57" w:type="dxa"/>
          <w:left w:w="57" w:type="dxa"/>
          <w:right w:w="57" w:type="dxa"/>
        </w:tblCellMar>
        <w:tblLook w:val="0000" w:firstRow="0" w:lastRow="0" w:firstColumn="0" w:lastColumn="0" w:noHBand="0" w:noVBand="0"/>
      </w:tblPr>
      <w:tblGrid>
        <w:gridCol w:w="644"/>
        <w:gridCol w:w="3612"/>
        <w:gridCol w:w="1371"/>
      </w:tblGrid>
      <w:tr>
        <w:trPr>
          <w:cantSplit/>
          <w:tblHeader/>
        </w:trPr>
        <w:tc>
          <w:tcPr>
            <w:tcW w:w="644" w:type="dxa"/>
            <w:tcBorders>
              <w:top w:val="single" w:sz="4" w:space="0" w:color="auto"/>
              <w:bottom w:val="single" w:sz="4" w:space="0" w:color="auto"/>
            </w:tcBorders>
          </w:tcPr>
          <w:p>
            <w:pPr>
              <w:pStyle w:val="yTableNAm"/>
            </w:pPr>
            <w:r>
              <w:rPr>
                <w:b/>
              </w:rPr>
              <w:t>Item</w:t>
            </w:r>
          </w:p>
        </w:tc>
        <w:tc>
          <w:tcPr>
            <w:tcW w:w="3612" w:type="dxa"/>
            <w:tcBorders>
              <w:top w:val="single" w:sz="4" w:space="0" w:color="auto"/>
              <w:bottom w:val="single" w:sz="4" w:space="0" w:color="auto"/>
            </w:tcBorders>
          </w:tcPr>
          <w:p>
            <w:pPr>
              <w:pStyle w:val="yTableNAm"/>
            </w:pPr>
            <w:r>
              <w:rPr>
                <w:b/>
              </w:rPr>
              <w:t>Service</w:t>
            </w:r>
          </w:p>
        </w:tc>
        <w:tc>
          <w:tcPr>
            <w:tcW w:w="1371" w:type="dxa"/>
            <w:tcBorders>
              <w:top w:val="single" w:sz="4" w:space="0" w:color="auto"/>
              <w:bottom w:val="single" w:sz="4" w:space="0" w:color="auto"/>
            </w:tcBorders>
          </w:tcPr>
          <w:p>
            <w:pPr>
              <w:pStyle w:val="yTableNAm"/>
              <w:jc w:val="center"/>
            </w:pPr>
            <w:r>
              <w:rPr>
                <w:b/>
              </w:rPr>
              <w:t>$</w:t>
            </w:r>
          </w:p>
        </w:tc>
      </w:tr>
      <w:tr>
        <w:trPr>
          <w:cantSplit/>
        </w:trPr>
        <w:tc>
          <w:tcPr>
            <w:tcW w:w="644" w:type="dxa"/>
            <w:tcBorders>
              <w:top w:val="single" w:sz="4" w:space="0" w:color="auto"/>
              <w:bottom w:val="single" w:sz="4" w:space="0" w:color="auto"/>
            </w:tcBorders>
          </w:tcPr>
          <w:p>
            <w:pPr>
              <w:pStyle w:val="yTableNAm"/>
            </w:pPr>
            <w:r>
              <w:t>1.</w:t>
            </w:r>
          </w:p>
        </w:tc>
        <w:tc>
          <w:tcPr>
            <w:tcW w:w="3612" w:type="dxa"/>
            <w:tcBorders>
              <w:top w:val="single" w:sz="4" w:space="0" w:color="auto"/>
              <w:bottom w:val="single" w:sz="4" w:space="0" w:color="auto"/>
            </w:tcBorders>
          </w:tcPr>
          <w:p>
            <w:pPr>
              <w:pStyle w:val="yTableNAm"/>
            </w:pPr>
            <w:r>
              <w:t>Wharfage for general cargo if loaded from or into a vessel, per vessel, for 12 months (excludes fishing product, fishing equipment and bait)</w:t>
            </w:r>
          </w:p>
        </w:tc>
        <w:tc>
          <w:tcPr>
            <w:tcW w:w="1371" w:type="dxa"/>
            <w:tcBorders>
              <w:top w:val="single" w:sz="4" w:space="0" w:color="auto"/>
              <w:bottom w:val="single" w:sz="4" w:space="0" w:color="auto"/>
            </w:tcBorders>
          </w:tcPr>
          <w:p>
            <w:pPr>
              <w:pStyle w:val="yTableNAm"/>
              <w:jc w:val="center"/>
            </w:pPr>
            <w:r>
              <w:br/>
            </w:r>
            <w:r>
              <w:br/>
            </w:r>
            <w:r>
              <w:br/>
              <w:t>600.38</w:t>
            </w:r>
          </w:p>
        </w:tc>
      </w:tr>
    </w:tbl>
    <w:p>
      <w:pPr>
        <w:pStyle w:val="yFootnotesection"/>
      </w:pPr>
      <w:bookmarkStart w:id="249" w:name="_Toc402879130"/>
      <w:r>
        <w:tab/>
        <w:t>[Clause 23 inserted in Gazette 22 Jul 2015 p. 2978</w:t>
      </w:r>
      <w:r>
        <w:noBreakHyphen/>
        <w:t>9.]</w:t>
      </w:r>
    </w:p>
    <w:p>
      <w:pPr>
        <w:pStyle w:val="yHeading5"/>
      </w:pPr>
      <w:bookmarkStart w:id="250" w:name="_Toc425338097"/>
      <w:r>
        <w:rPr>
          <w:rStyle w:val="CharSClsNo"/>
        </w:rPr>
        <w:t>24</w:t>
      </w:r>
      <w:r>
        <w:t>.</w:t>
      </w:r>
      <w:r>
        <w:tab/>
        <w:t>Port Gregory</w:t>
      </w:r>
      <w:bookmarkEnd w:id="249"/>
      <w:bookmarkEnd w:id="250"/>
    </w:p>
    <w:p>
      <w:pPr>
        <w:pStyle w:val="ySubsection"/>
      </w:pPr>
      <w:r>
        <w:tab/>
        <w:t>(1)</w:t>
      </w:r>
      <w:r>
        <w:tab/>
        <w:t>This clause applies to Port Gregory.</w:t>
      </w:r>
    </w:p>
    <w:p>
      <w:pPr>
        <w:pStyle w:val="ySubsection"/>
      </w:pPr>
      <w:r>
        <w:tab/>
        <w:t>(2)</w:t>
      </w:r>
      <w:r>
        <w:tab/>
        <w:t>The berthing dues to be paid under these regulations are set out in Table 24.1.</w:t>
      </w:r>
    </w:p>
    <w:p>
      <w:pPr>
        <w:pStyle w:val="yTHeadingNAm"/>
      </w:pPr>
      <w:r>
        <w:t>Table 24.1 (Berthing)</w:t>
      </w:r>
    </w:p>
    <w:tbl>
      <w:tblPr>
        <w:tblW w:w="5641" w:type="dxa"/>
        <w:tblInd w:w="1037" w:type="dxa"/>
        <w:tblLayout w:type="fixed"/>
        <w:tblCellMar>
          <w:top w:w="57" w:type="dxa"/>
          <w:left w:w="57" w:type="dxa"/>
          <w:right w:w="57" w:type="dxa"/>
        </w:tblCellMar>
        <w:tblLook w:val="0000" w:firstRow="0" w:lastRow="0" w:firstColumn="0" w:lastColumn="0" w:noHBand="0" w:noVBand="0"/>
      </w:tblPr>
      <w:tblGrid>
        <w:gridCol w:w="644"/>
        <w:gridCol w:w="3626"/>
        <w:gridCol w:w="1371"/>
      </w:tblGrid>
      <w:tr>
        <w:trPr>
          <w:cantSplit/>
          <w:tblHeader/>
        </w:trPr>
        <w:tc>
          <w:tcPr>
            <w:tcW w:w="644" w:type="dxa"/>
            <w:tcBorders>
              <w:top w:val="single" w:sz="4" w:space="0" w:color="auto"/>
              <w:bottom w:val="single" w:sz="4" w:space="0" w:color="auto"/>
            </w:tcBorders>
          </w:tcPr>
          <w:p>
            <w:pPr>
              <w:pStyle w:val="yTableNAm"/>
            </w:pPr>
            <w:r>
              <w:rPr>
                <w:b/>
              </w:rPr>
              <w:t>Item</w:t>
            </w:r>
          </w:p>
        </w:tc>
        <w:tc>
          <w:tcPr>
            <w:tcW w:w="3626" w:type="dxa"/>
            <w:tcBorders>
              <w:top w:val="single" w:sz="4" w:space="0" w:color="auto"/>
              <w:bottom w:val="single" w:sz="4" w:space="0" w:color="auto"/>
            </w:tcBorders>
          </w:tcPr>
          <w:p>
            <w:pPr>
              <w:pStyle w:val="yTableNAm"/>
            </w:pPr>
            <w:r>
              <w:rPr>
                <w:b/>
              </w:rPr>
              <w:t>Service</w:t>
            </w:r>
          </w:p>
        </w:tc>
        <w:tc>
          <w:tcPr>
            <w:tcW w:w="1371" w:type="dxa"/>
            <w:tcBorders>
              <w:top w:val="single" w:sz="4" w:space="0" w:color="auto"/>
              <w:bottom w:val="single" w:sz="4" w:space="0" w:color="auto"/>
            </w:tcBorders>
          </w:tcPr>
          <w:p>
            <w:pPr>
              <w:pStyle w:val="yTableNAm"/>
              <w:jc w:val="center"/>
            </w:pPr>
            <w:r>
              <w:rPr>
                <w:b/>
              </w:rPr>
              <w:t>$</w:t>
            </w:r>
          </w:p>
        </w:tc>
      </w:tr>
      <w:tr>
        <w:trPr>
          <w:cantSplit/>
        </w:trPr>
        <w:tc>
          <w:tcPr>
            <w:tcW w:w="644" w:type="dxa"/>
          </w:tcPr>
          <w:p>
            <w:pPr>
              <w:pStyle w:val="yTableNAm"/>
            </w:pPr>
            <w:r>
              <w:t>1.</w:t>
            </w:r>
          </w:p>
        </w:tc>
        <w:tc>
          <w:tcPr>
            <w:tcW w:w="3626" w:type="dxa"/>
          </w:tcPr>
          <w:p>
            <w:pPr>
              <w:pStyle w:val="yTableNAm"/>
            </w:pPr>
            <w:r>
              <w:t xml:space="preserve">For the casual daily use of an alongside berth — </w:t>
            </w:r>
          </w:p>
        </w:tc>
        <w:tc>
          <w:tcPr>
            <w:tcW w:w="1371" w:type="dxa"/>
          </w:tcPr>
          <w:p>
            <w:pPr>
              <w:pStyle w:val="yTableNAm"/>
              <w:jc w:val="center"/>
            </w:pPr>
          </w:p>
        </w:tc>
      </w:tr>
      <w:tr>
        <w:trPr>
          <w:cantSplit/>
        </w:trPr>
        <w:tc>
          <w:tcPr>
            <w:tcW w:w="644" w:type="dxa"/>
          </w:tcPr>
          <w:p>
            <w:pPr>
              <w:pStyle w:val="zyTableNAm"/>
              <w:tabs>
                <w:tab w:val="clear" w:pos="567"/>
              </w:tabs>
            </w:pPr>
          </w:p>
        </w:tc>
        <w:tc>
          <w:tcPr>
            <w:tcW w:w="3626" w:type="dxa"/>
          </w:tcPr>
          <w:p>
            <w:pPr>
              <w:pStyle w:val="yTableNAm"/>
              <w:tabs>
                <w:tab w:val="clear" w:pos="567"/>
              </w:tabs>
              <w:ind w:left="226" w:hanging="226"/>
            </w:pPr>
            <w:r>
              <w:t>•</w:t>
            </w:r>
            <w:r>
              <w:tab/>
              <w:t>by a commercial vessel, an amount calculated using standard Rate 1</w:t>
            </w:r>
          </w:p>
        </w:tc>
        <w:tc>
          <w:tcPr>
            <w:tcW w:w="1371" w:type="dxa"/>
          </w:tcPr>
          <w:p>
            <w:pPr>
              <w:pStyle w:val="yTableNAm"/>
              <w:jc w:val="center"/>
            </w:pPr>
          </w:p>
        </w:tc>
      </w:tr>
      <w:tr>
        <w:trPr>
          <w:cantSplit/>
        </w:trPr>
        <w:tc>
          <w:tcPr>
            <w:tcW w:w="644" w:type="dxa"/>
          </w:tcPr>
          <w:p>
            <w:pPr>
              <w:pStyle w:val="zyTableNAm"/>
              <w:tabs>
                <w:tab w:val="clear" w:pos="567"/>
              </w:tabs>
            </w:pPr>
          </w:p>
        </w:tc>
        <w:tc>
          <w:tcPr>
            <w:tcW w:w="3626" w:type="dxa"/>
          </w:tcPr>
          <w:p>
            <w:pPr>
              <w:pStyle w:val="yTableNAm"/>
              <w:tabs>
                <w:tab w:val="clear" w:pos="567"/>
              </w:tabs>
              <w:ind w:left="226" w:hanging="226"/>
            </w:pPr>
            <w:r>
              <w:t>•</w:t>
            </w:r>
            <w:r>
              <w:tab/>
              <w:t>by a recreational vessel, an amount calculated using standard Rate 2</w:t>
            </w:r>
          </w:p>
        </w:tc>
        <w:tc>
          <w:tcPr>
            <w:tcW w:w="1371" w:type="dxa"/>
          </w:tcPr>
          <w:p>
            <w:pPr>
              <w:pStyle w:val="yTableNAm"/>
              <w:jc w:val="center"/>
            </w:pPr>
          </w:p>
        </w:tc>
      </w:tr>
      <w:tr>
        <w:trPr>
          <w:cantSplit/>
        </w:trPr>
        <w:tc>
          <w:tcPr>
            <w:tcW w:w="644" w:type="dxa"/>
            <w:tcBorders>
              <w:bottom w:val="single" w:sz="4" w:space="0" w:color="auto"/>
            </w:tcBorders>
          </w:tcPr>
          <w:p>
            <w:pPr>
              <w:pStyle w:val="yTableNAm"/>
            </w:pPr>
            <w:r>
              <w:t>2.</w:t>
            </w:r>
          </w:p>
        </w:tc>
        <w:tc>
          <w:tcPr>
            <w:tcW w:w="3626" w:type="dxa"/>
            <w:tcBorders>
              <w:bottom w:val="single" w:sz="4" w:space="0" w:color="auto"/>
            </w:tcBorders>
          </w:tcPr>
          <w:p>
            <w:pPr>
              <w:pStyle w:val="yTableNAm"/>
            </w:pPr>
            <w:r>
              <w:t>For the short term use of a service wharf or jetty by a vessel, an amount calculated using standard Rate 3</w:t>
            </w:r>
          </w:p>
        </w:tc>
        <w:tc>
          <w:tcPr>
            <w:tcW w:w="1371" w:type="dxa"/>
            <w:tcBorders>
              <w:bottom w:val="single" w:sz="4" w:space="0" w:color="auto"/>
            </w:tcBorders>
          </w:tcPr>
          <w:p>
            <w:pPr>
              <w:pStyle w:val="yTableNAm"/>
              <w:jc w:val="center"/>
            </w:pPr>
          </w:p>
        </w:tc>
      </w:tr>
    </w:tbl>
    <w:p>
      <w:pPr>
        <w:pStyle w:val="yFootnotesection"/>
      </w:pPr>
      <w:bookmarkStart w:id="251" w:name="_Toc402879131"/>
      <w:r>
        <w:tab/>
        <w:t>[Clause 24 inserted in Gazette 22 Jul 2015 p. 2979</w:t>
      </w:r>
      <w:r>
        <w:noBreakHyphen/>
        <w:t>80.]</w:t>
      </w:r>
    </w:p>
    <w:p>
      <w:pPr>
        <w:pStyle w:val="yHeading5"/>
      </w:pPr>
      <w:bookmarkStart w:id="252" w:name="_Toc425338098"/>
      <w:r>
        <w:rPr>
          <w:rStyle w:val="CharSClsNo"/>
        </w:rPr>
        <w:t>25A</w:t>
      </w:r>
      <w:r>
        <w:t>.</w:t>
      </w:r>
      <w:r>
        <w:tab/>
        <w:t>Two Rocks Marina</w:t>
      </w:r>
      <w:bookmarkEnd w:id="252"/>
    </w:p>
    <w:p>
      <w:pPr>
        <w:pStyle w:val="ySubsection"/>
      </w:pPr>
      <w:r>
        <w:tab/>
        <w:t>(1)</w:t>
      </w:r>
      <w:r>
        <w:tab/>
        <w:t>This clause applies to the Two Rocks Marina.</w:t>
      </w:r>
    </w:p>
    <w:p>
      <w:pPr>
        <w:pStyle w:val="ySubsection"/>
      </w:pPr>
      <w:r>
        <w:tab/>
        <w:t>(2)</w:t>
      </w:r>
      <w:r>
        <w:tab/>
        <w:t>The dues and charges to be paid under these regulations are set out in Table 25A.1.</w:t>
      </w:r>
    </w:p>
    <w:p>
      <w:pPr>
        <w:pStyle w:val="yTHeadingNAm"/>
      </w:pPr>
      <w:r>
        <w:t>Table 25A.1 (Pen use and alongside berthing)</w:t>
      </w:r>
    </w:p>
    <w:tbl>
      <w:tblPr>
        <w:tblW w:w="5627" w:type="dxa"/>
        <w:tblInd w:w="1037" w:type="dxa"/>
        <w:tblLayout w:type="fixed"/>
        <w:tblCellMar>
          <w:top w:w="57" w:type="dxa"/>
          <w:left w:w="57" w:type="dxa"/>
          <w:right w:w="57" w:type="dxa"/>
        </w:tblCellMar>
        <w:tblLook w:val="0000" w:firstRow="0" w:lastRow="0" w:firstColumn="0" w:lastColumn="0" w:noHBand="0" w:noVBand="0"/>
      </w:tblPr>
      <w:tblGrid>
        <w:gridCol w:w="672"/>
        <w:gridCol w:w="3598"/>
        <w:gridCol w:w="1357"/>
      </w:tblGrid>
      <w:tr>
        <w:trPr>
          <w:cantSplit/>
          <w:tblHeader/>
        </w:trPr>
        <w:tc>
          <w:tcPr>
            <w:tcW w:w="672" w:type="dxa"/>
            <w:tcBorders>
              <w:top w:val="single" w:sz="4" w:space="0" w:color="auto"/>
              <w:bottom w:val="single" w:sz="4" w:space="0" w:color="auto"/>
            </w:tcBorders>
          </w:tcPr>
          <w:p>
            <w:pPr>
              <w:pStyle w:val="yTableNAm"/>
            </w:pPr>
            <w:r>
              <w:rPr>
                <w:b/>
              </w:rPr>
              <w:t>Item</w:t>
            </w:r>
          </w:p>
        </w:tc>
        <w:tc>
          <w:tcPr>
            <w:tcW w:w="3598" w:type="dxa"/>
            <w:tcBorders>
              <w:top w:val="single" w:sz="4" w:space="0" w:color="auto"/>
              <w:bottom w:val="single" w:sz="4" w:space="0" w:color="auto"/>
            </w:tcBorders>
          </w:tcPr>
          <w:p>
            <w:pPr>
              <w:pStyle w:val="yTableNAm"/>
            </w:pPr>
            <w:r>
              <w:rPr>
                <w:b/>
              </w:rPr>
              <w:t>Service</w:t>
            </w:r>
          </w:p>
        </w:tc>
        <w:tc>
          <w:tcPr>
            <w:tcW w:w="1357"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3598" w:type="dxa"/>
          </w:tcPr>
          <w:p>
            <w:pPr>
              <w:pStyle w:val="yTableNAm"/>
            </w:pPr>
            <w:r>
              <w:t>For the use, other than casual daily use, of a pen (whether it has a walkway or not), an amount calculated per metre of the pen’s length using the annual rate of</w:t>
            </w:r>
          </w:p>
        </w:tc>
        <w:tc>
          <w:tcPr>
            <w:tcW w:w="1357" w:type="dxa"/>
          </w:tcPr>
          <w:p>
            <w:pPr>
              <w:pStyle w:val="yTableNAm"/>
              <w:jc w:val="center"/>
            </w:pPr>
            <w:r>
              <w:br/>
            </w:r>
            <w:r>
              <w:br/>
            </w:r>
            <w:r>
              <w:br/>
            </w:r>
            <w:r>
              <w:br/>
              <w:t>406.79</w:t>
            </w:r>
          </w:p>
        </w:tc>
      </w:tr>
      <w:tr>
        <w:trPr>
          <w:cantSplit/>
        </w:trPr>
        <w:tc>
          <w:tcPr>
            <w:tcW w:w="672" w:type="dxa"/>
          </w:tcPr>
          <w:p>
            <w:pPr>
              <w:pStyle w:val="yTableNAm"/>
            </w:pPr>
            <w:r>
              <w:t>2.</w:t>
            </w:r>
          </w:p>
        </w:tc>
        <w:tc>
          <w:tcPr>
            <w:tcW w:w="3598" w:type="dxa"/>
          </w:tcPr>
          <w:p>
            <w:pPr>
              <w:pStyle w:val="yTableNAm"/>
            </w:pPr>
            <w:r>
              <w:t>For the casual daily use of a pen or alongside berth by a commercial vessel, an amount calculated using standard Rate 1</w:t>
            </w:r>
          </w:p>
        </w:tc>
        <w:tc>
          <w:tcPr>
            <w:tcW w:w="1357" w:type="dxa"/>
          </w:tcPr>
          <w:p>
            <w:pPr>
              <w:pStyle w:val="yTableNAm"/>
              <w:jc w:val="center"/>
            </w:pPr>
          </w:p>
        </w:tc>
      </w:tr>
      <w:tr>
        <w:trPr>
          <w:cantSplit/>
        </w:trPr>
        <w:tc>
          <w:tcPr>
            <w:tcW w:w="672" w:type="dxa"/>
          </w:tcPr>
          <w:p>
            <w:pPr>
              <w:pStyle w:val="yTableNAm"/>
            </w:pPr>
            <w:r>
              <w:t>3.</w:t>
            </w:r>
          </w:p>
        </w:tc>
        <w:tc>
          <w:tcPr>
            <w:tcW w:w="3598" w:type="dxa"/>
          </w:tcPr>
          <w:p>
            <w:pPr>
              <w:pStyle w:val="yTableNAm"/>
            </w:pPr>
            <w:r>
              <w:t>For the casual daily use of an alongside berth on the service wharf or service jetty, an amount calculated using standard Rate 1</w:t>
            </w:r>
          </w:p>
        </w:tc>
        <w:tc>
          <w:tcPr>
            <w:tcW w:w="1357" w:type="dxa"/>
          </w:tcPr>
          <w:p>
            <w:pPr>
              <w:pStyle w:val="yTableNAm"/>
              <w:jc w:val="center"/>
            </w:pPr>
          </w:p>
        </w:tc>
      </w:tr>
      <w:tr>
        <w:trPr>
          <w:cantSplit/>
        </w:trPr>
        <w:tc>
          <w:tcPr>
            <w:tcW w:w="672" w:type="dxa"/>
          </w:tcPr>
          <w:p>
            <w:pPr>
              <w:pStyle w:val="yTableNAm"/>
            </w:pPr>
            <w:r>
              <w:t>4.</w:t>
            </w:r>
          </w:p>
        </w:tc>
        <w:tc>
          <w:tcPr>
            <w:tcW w:w="3598" w:type="dxa"/>
          </w:tcPr>
          <w:p>
            <w:pPr>
              <w:pStyle w:val="yTableNAm"/>
            </w:pPr>
            <w:r>
              <w:t>For the casual daily use of a pen or alongside berth by a recreational vessel, an amount calculated using standard Rate 2</w:t>
            </w:r>
          </w:p>
        </w:tc>
        <w:tc>
          <w:tcPr>
            <w:tcW w:w="1357" w:type="dxa"/>
          </w:tcPr>
          <w:p>
            <w:pPr>
              <w:pStyle w:val="yTableNAm"/>
              <w:jc w:val="center"/>
            </w:pPr>
          </w:p>
        </w:tc>
      </w:tr>
      <w:tr>
        <w:trPr>
          <w:cantSplit/>
        </w:trPr>
        <w:tc>
          <w:tcPr>
            <w:tcW w:w="672" w:type="dxa"/>
            <w:tcBorders>
              <w:bottom w:val="single" w:sz="4" w:space="0" w:color="auto"/>
            </w:tcBorders>
          </w:tcPr>
          <w:p>
            <w:pPr>
              <w:pStyle w:val="yTableNAm"/>
            </w:pPr>
            <w:r>
              <w:t>5.</w:t>
            </w:r>
          </w:p>
        </w:tc>
        <w:tc>
          <w:tcPr>
            <w:tcW w:w="3598" w:type="dxa"/>
            <w:tcBorders>
              <w:bottom w:val="single" w:sz="4" w:space="0" w:color="auto"/>
            </w:tcBorders>
          </w:tcPr>
          <w:p>
            <w:pPr>
              <w:pStyle w:val="yTableNAm"/>
            </w:pPr>
            <w:r>
              <w:t>For the short term use of a service wharf or jetty by a vessel, an amount calculated using standard Rate 3</w:t>
            </w:r>
          </w:p>
        </w:tc>
        <w:tc>
          <w:tcPr>
            <w:tcW w:w="1357" w:type="dxa"/>
            <w:tcBorders>
              <w:bottom w:val="single" w:sz="4" w:space="0" w:color="auto"/>
            </w:tcBorders>
          </w:tcPr>
          <w:p>
            <w:pPr>
              <w:pStyle w:val="yTableNAm"/>
              <w:jc w:val="center"/>
            </w:pPr>
          </w:p>
        </w:tc>
      </w:tr>
    </w:tbl>
    <w:p>
      <w:pPr>
        <w:pStyle w:val="yFootnotesection"/>
      </w:pPr>
      <w:r>
        <w:tab/>
        <w:t>[Clause 25A inserted in Gazette 22 Jul 2015 p. 2980.]</w:t>
      </w:r>
    </w:p>
    <w:p>
      <w:pPr>
        <w:pStyle w:val="yHeading5"/>
      </w:pPr>
      <w:bookmarkStart w:id="253" w:name="_Toc425338099"/>
      <w:r>
        <w:rPr>
          <w:rStyle w:val="CharSClsNo"/>
        </w:rPr>
        <w:t>25</w:t>
      </w:r>
      <w:r>
        <w:t>.</w:t>
      </w:r>
      <w:r>
        <w:tab/>
        <w:t>Wyndham</w:t>
      </w:r>
      <w:bookmarkEnd w:id="251"/>
      <w:bookmarkEnd w:id="253"/>
    </w:p>
    <w:p>
      <w:pPr>
        <w:pStyle w:val="ySubsection"/>
      </w:pPr>
      <w:r>
        <w:tab/>
        <w:t>(1)</w:t>
      </w:r>
      <w:r>
        <w:tab/>
        <w:t xml:space="preserve">This clause applies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Wyndham</w:t>
          </w:r>
        </w:smartTag>
      </w:smartTag>
      <w:r>
        <w:t>.</w:t>
      </w:r>
    </w:p>
    <w:p>
      <w:pPr>
        <w:pStyle w:val="ySubsection"/>
      </w:pPr>
      <w:r>
        <w:tab/>
        <w:t>(2)</w:t>
      </w:r>
      <w:r>
        <w:tab/>
        <w:t>The berthing dues to be paid under these regulations are set out in Table 25.1.</w:t>
      </w:r>
    </w:p>
    <w:p>
      <w:pPr>
        <w:pStyle w:val="yTHeadingNAm"/>
      </w:pPr>
      <w:r>
        <w:t>Table 25.1 (Berthing)</w:t>
      </w:r>
    </w:p>
    <w:tbl>
      <w:tblPr>
        <w:tblW w:w="5599" w:type="dxa"/>
        <w:tblInd w:w="1037" w:type="dxa"/>
        <w:tblLayout w:type="fixed"/>
        <w:tblCellMar>
          <w:top w:w="57" w:type="dxa"/>
          <w:left w:w="57" w:type="dxa"/>
          <w:right w:w="57" w:type="dxa"/>
        </w:tblCellMar>
        <w:tblLook w:val="0000" w:firstRow="0" w:lastRow="0" w:firstColumn="0" w:lastColumn="0" w:noHBand="0" w:noVBand="0"/>
      </w:tblPr>
      <w:tblGrid>
        <w:gridCol w:w="672"/>
        <w:gridCol w:w="1750"/>
        <w:gridCol w:w="1843"/>
        <w:gridCol w:w="1334"/>
      </w:tblGrid>
      <w:tr>
        <w:trPr>
          <w:cantSplit/>
          <w:tblHeader/>
        </w:trPr>
        <w:tc>
          <w:tcPr>
            <w:tcW w:w="672" w:type="dxa"/>
            <w:tcBorders>
              <w:top w:val="single" w:sz="4" w:space="0" w:color="auto"/>
              <w:bottom w:val="single" w:sz="4" w:space="0" w:color="auto"/>
            </w:tcBorders>
          </w:tcPr>
          <w:p>
            <w:pPr>
              <w:pStyle w:val="yTableNAm"/>
            </w:pPr>
            <w:r>
              <w:rPr>
                <w:b/>
              </w:rPr>
              <w:t>Item</w:t>
            </w:r>
          </w:p>
        </w:tc>
        <w:tc>
          <w:tcPr>
            <w:tcW w:w="1750" w:type="dxa"/>
            <w:tcBorders>
              <w:top w:val="single" w:sz="4" w:space="0" w:color="auto"/>
              <w:bottom w:val="single" w:sz="4" w:space="0" w:color="auto"/>
            </w:tcBorders>
          </w:tcPr>
          <w:p>
            <w:pPr>
              <w:pStyle w:val="yTableNAm"/>
            </w:pPr>
            <w:r>
              <w:rPr>
                <w:b/>
              </w:rPr>
              <w:t>Vessel or cargo</w:t>
            </w:r>
          </w:p>
        </w:tc>
        <w:tc>
          <w:tcPr>
            <w:tcW w:w="1843" w:type="dxa"/>
            <w:tcBorders>
              <w:top w:val="single" w:sz="4" w:space="0" w:color="auto"/>
              <w:bottom w:val="single" w:sz="4" w:space="0" w:color="auto"/>
            </w:tcBorders>
          </w:tcPr>
          <w:p>
            <w:pPr>
              <w:pStyle w:val="yTableNAm"/>
            </w:pPr>
            <w:r>
              <w:rPr>
                <w:b/>
              </w:rPr>
              <w:t>Dues</w:t>
            </w:r>
          </w:p>
        </w:tc>
        <w:tc>
          <w:tcPr>
            <w:tcW w:w="1334" w:type="dxa"/>
            <w:tcBorders>
              <w:top w:val="single" w:sz="4" w:space="0" w:color="auto"/>
              <w:bottom w:val="single" w:sz="4" w:space="0" w:color="auto"/>
            </w:tcBorders>
          </w:tcPr>
          <w:p>
            <w:pPr>
              <w:pStyle w:val="yTableNAm"/>
              <w:jc w:val="center"/>
            </w:pPr>
            <w:r>
              <w:rPr>
                <w:b/>
              </w:rPr>
              <w:t>Minimum per day ($)</w:t>
            </w:r>
          </w:p>
        </w:tc>
      </w:tr>
      <w:tr>
        <w:trPr>
          <w:cantSplit/>
        </w:trPr>
        <w:tc>
          <w:tcPr>
            <w:tcW w:w="672" w:type="dxa"/>
          </w:tcPr>
          <w:p>
            <w:pPr>
              <w:pStyle w:val="yTableNAm"/>
            </w:pPr>
            <w:r>
              <w:t>1.</w:t>
            </w:r>
          </w:p>
        </w:tc>
        <w:tc>
          <w:tcPr>
            <w:tcW w:w="1750" w:type="dxa"/>
          </w:tcPr>
          <w:p>
            <w:pPr>
              <w:pStyle w:val="yTableNAm"/>
            </w:pPr>
            <w:r>
              <w:t>Vessel of 300 gross registered tonnes or over</w:t>
            </w:r>
          </w:p>
        </w:tc>
        <w:tc>
          <w:tcPr>
            <w:tcW w:w="1843" w:type="dxa"/>
          </w:tcPr>
          <w:p>
            <w:pPr>
              <w:pStyle w:val="yTableNAm"/>
            </w:pPr>
            <w:r>
              <w:t>$1.19 per tonne, per cubic metre, or per kilolitre, at option of officer in charge, on all cargo landed or shipped</w:t>
            </w:r>
          </w:p>
        </w:tc>
        <w:tc>
          <w:tcPr>
            <w:tcW w:w="1334" w:type="dxa"/>
          </w:tcPr>
          <w:p>
            <w:pPr>
              <w:pStyle w:val="yTableNAm"/>
              <w:jc w:val="center"/>
            </w:pPr>
            <w:r>
              <w:br/>
            </w:r>
            <w:r>
              <w:br/>
            </w:r>
            <w:r>
              <w:br/>
            </w:r>
            <w:r>
              <w:br/>
            </w:r>
            <w:r>
              <w:br/>
            </w:r>
            <w:r>
              <w:br/>
              <w:t>178.05</w:t>
            </w:r>
          </w:p>
        </w:tc>
      </w:tr>
      <w:tr>
        <w:trPr>
          <w:cantSplit/>
        </w:trPr>
        <w:tc>
          <w:tcPr>
            <w:tcW w:w="672" w:type="dxa"/>
          </w:tcPr>
          <w:p>
            <w:pPr>
              <w:pStyle w:val="yTableNAm"/>
            </w:pPr>
            <w:r>
              <w:t>2.</w:t>
            </w:r>
          </w:p>
        </w:tc>
        <w:tc>
          <w:tcPr>
            <w:tcW w:w="1750" w:type="dxa"/>
          </w:tcPr>
          <w:p>
            <w:pPr>
              <w:pStyle w:val="yTableNAm"/>
            </w:pPr>
            <w:r>
              <w:t>Vessel under 300 gross registered tonnes</w:t>
            </w:r>
          </w:p>
        </w:tc>
        <w:tc>
          <w:tcPr>
            <w:tcW w:w="1843" w:type="dxa"/>
          </w:tcPr>
          <w:p>
            <w:pPr>
              <w:pStyle w:val="yTableNAm"/>
            </w:pPr>
            <w:r>
              <w:t>$6.44 per metre of the vessel’s length, per day</w:t>
            </w:r>
          </w:p>
        </w:tc>
        <w:tc>
          <w:tcPr>
            <w:tcW w:w="1334" w:type="dxa"/>
          </w:tcPr>
          <w:p>
            <w:pPr>
              <w:pStyle w:val="yTableNAm"/>
              <w:jc w:val="center"/>
            </w:pPr>
            <w:r>
              <w:br/>
            </w:r>
            <w:r>
              <w:br/>
              <w:t>118.65</w:t>
            </w:r>
          </w:p>
        </w:tc>
      </w:tr>
      <w:tr>
        <w:trPr>
          <w:cantSplit/>
        </w:trPr>
        <w:tc>
          <w:tcPr>
            <w:tcW w:w="672" w:type="dxa"/>
          </w:tcPr>
          <w:p>
            <w:pPr>
              <w:pStyle w:val="yTableNAm"/>
            </w:pPr>
            <w:r>
              <w:t>3.</w:t>
            </w:r>
          </w:p>
        </w:tc>
        <w:tc>
          <w:tcPr>
            <w:tcW w:w="1750" w:type="dxa"/>
          </w:tcPr>
          <w:p>
            <w:pPr>
              <w:pStyle w:val="yTableNAm"/>
            </w:pPr>
            <w:r>
              <w:t>Vessel using berth for purposes other than handling cargo</w:t>
            </w:r>
          </w:p>
        </w:tc>
        <w:tc>
          <w:tcPr>
            <w:tcW w:w="1843" w:type="dxa"/>
          </w:tcPr>
          <w:p>
            <w:pPr>
              <w:pStyle w:val="yTableNAm"/>
            </w:pPr>
            <w:r>
              <w:t>$6.44 per metre of the vessel’s length, per day</w:t>
            </w:r>
          </w:p>
        </w:tc>
        <w:tc>
          <w:tcPr>
            <w:tcW w:w="1334" w:type="dxa"/>
          </w:tcPr>
          <w:p>
            <w:pPr>
              <w:pStyle w:val="yTableNAm"/>
              <w:jc w:val="center"/>
            </w:pPr>
            <w:r>
              <w:br/>
            </w:r>
            <w:r>
              <w:br/>
            </w:r>
            <w:r>
              <w:br/>
              <w:t>118.65</w:t>
            </w:r>
          </w:p>
        </w:tc>
      </w:tr>
      <w:tr>
        <w:trPr>
          <w:cantSplit/>
        </w:trPr>
        <w:tc>
          <w:tcPr>
            <w:tcW w:w="672" w:type="dxa"/>
          </w:tcPr>
          <w:p>
            <w:pPr>
              <w:pStyle w:val="yTableNAm"/>
            </w:pPr>
            <w:r>
              <w:t>4.</w:t>
            </w:r>
          </w:p>
        </w:tc>
        <w:tc>
          <w:tcPr>
            <w:tcW w:w="1750" w:type="dxa"/>
          </w:tcPr>
          <w:p>
            <w:pPr>
              <w:pStyle w:val="yTableNAm"/>
            </w:pPr>
            <w:r>
              <w:t>Container, empty</w:t>
            </w:r>
          </w:p>
        </w:tc>
        <w:tc>
          <w:tcPr>
            <w:tcW w:w="1843" w:type="dxa"/>
          </w:tcPr>
          <w:p>
            <w:pPr>
              <w:pStyle w:val="yTableNAm"/>
            </w:pPr>
            <w:r>
              <w:t>$9.25 per container</w:t>
            </w:r>
          </w:p>
        </w:tc>
        <w:tc>
          <w:tcPr>
            <w:tcW w:w="1334" w:type="dxa"/>
          </w:tcPr>
          <w:p>
            <w:pPr>
              <w:pStyle w:val="yTableNAm"/>
              <w:jc w:val="center"/>
            </w:pPr>
          </w:p>
        </w:tc>
      </w:tr>
      <w:tr>
        <w:trPr>
          <w:cantSplit/>
        </w:trPr>
        <w:tc>
          <w:tcPr>
            <w:tcW w:w="672" w:type="dxa"/>
            <w:tcBorders>
              <w:bottom w:val="single" w:sz="4" w:space="0" w:color="auto"/>
            </w:tcBorders>
          </w:tcPr>
          <w:p>
            <w:pPr>
              <w:pStyle w:val="yTableNAm"/>
            </w:pPr>
            <w:r>
              <w:t>5.</w:t>
            </w:r>
          </w:p>
        </w:tc>
        <w:tc>
          <w:tcPr>
            <w:tcW w:w="1750" w:type="dxa"/>
            <w:tcBorders>
              <w:bottom w:val="single" w:sz="4" w:space="0" w:color="auto"/>
            </w:tcBorders>
          </w:tcPr>
          <w:p>
            <w:pPr>
              <w:pStyle w:val="yTableNAm"/>
            </w:pPr>
            <w:r>
              <w:t>Container, loaded</w:t>
            </w:r>
          </w:p>
        </w:tc>
        <w:tc>
          <w:tcPr>
            <w:tcW w:w="1843" w:type="dxa"/>
            <w:tcBorders>
              <w:bottom w:val="single" w:sz="4" w:space="0" w:color="auto"/>
            </w:tcBorders>
          </w:tcPr>
          <w:p>
            <w:pPr>
              <w:pStyle w:val="yTableNAm"/>
            </w:pPr>
            <w:r>
              <w:t>$29.74 per container</w:t>
            </w:r>
          </w:p>
        </w:tc>
        <w:tc>
          <w:tcPr>
            <w:tcW w:w="1334" w:type="dxa"/>
            <w:tcBorders>
              <w:bottom w:val="single" w:sz="4" w:space="0" w:color="auto"/>
            </w:tcBorders>
          </w:tcPr>
          <w:p>
            <w:pPr>
              <w:pStyle w:val="yTableNAm"/>
              <w:jc w:val="center"/>
            </w:pPr>
          </w:p>
        </w:tc>
      </w:tr>
    </w:tbl>
    <w:p>
      <w:pPr>
        <w:pStyle w:val="ySubsection"/>
      </w:pPr>
      <w:r>
        <w:tab/>
        <w:t>(3)</w:t>
      </w:r>
      <w:r>
        <w:tab/>
        <w:t>The wharfage dues to be paid under these regulations are set out in Table 25.2.</w:t>
      </w:r>
    </w:p>
    <w:p>
      <w:pPr>
        <w:pStyle w:val="yTHeadingNAm"/>
      </w:pPr>
      <w:r>
        <w:t>Table 25.2 (Wharfage)</w:t>
      </w:r>
    </w:p>
    <w:tbl>
      <w:tblPr>
        <w:tblW w:w="5628" w:type="dxa"/>
        <w:tblInd w:w="1050" w:type="dxa"/>
        <w:tblLayout w:type="fixed"/>
        <w:tblCellMar>
          <w:top w:w="57" w:type="dxa"/>
          <w:left w:w="57" w:type="dxa"/>
          <w:right w:w="57" w:type="dxa"/>
        </w:tblCellMar>
        <w:tblLook w:val="0000" w:firstRow="0" w:lastRow="0" w:firstColumn="0" w:lastColumn="0" w:noHBand="0" w:noVBand="0"/>
      </w:tblPr>
      <w:tblGrid>
        <w:gridCol w:w="673"/>
        <w:gridCol w:w="319"/>
        <w:gridCol w:w="425"/>
        <w:gridCol w:w="2868"/>
        <w:gridCol w:w="1343"/>
      </w:tblGrid>
      <w:tr>
        <w:trPr>
          <w:cantSplit/>
          <w:tblHeader/>
        </w:trPr>
        <w:tc>
          <w:tcPr>
            <w:tcW w:w="673" w:type="dxa"/>
            <w:tcBorders>
              <w:top w:val="single" w:sz="4" w:space="0" w:color="auto"/>
              <w:bottom w:val="single" w:sz="4" w:space="0" w:color="auto"/>
            </w:tcBorders>
          </w:tcPr>
          <w:p>
            <w:pPr>
              <w:pStyle w:val="yTableNAm"/>
            </w:pPr>
            <w:r>
              <w:rPr>
                <w:b/>
              </w:rPr>
              <w:t>Item</w:t>
            </w:r>
          </w:p>
        </w:tc>
        <w:tc>
          <w:tcPr>
            <w:tcW w:w="3612" w:type="dxa"/>
            <w:gridSpan w:val="3"/>
            <w:tcBorders>
              <w:top w:val="single" w:sz="4" w:space="0" w:color="auto"/>
              <w:bottom w:val="single" w:sz="4" w:space="0" w:color="auto"/>
            </w:tcBorders>
          </w:tcPr>
          <w:p>
            <w:pPr>
              <w:pStyle w:val="yTableNAm"/>
            </w:pPr>
            <w:r>
              <w:rPr>
                <w:b/>
              </w:rPr>
              <w:t>Goods</w:t>
            </w:r>
          </w:p>
        </w:tc>
        <w:tc>
          <w:tcPr>
            <w:tcW w:w="1343" w:type="dxa"/>
            <w:tcBorders>
              <w:top w:val="single" w:sz="4" w:space="0" w:color="auto"/>
              <w:bottom w:val="single" w:sz="4" w:space="0" w:color="auto"/>
            </w:tcBorders>
          </w:tcPr>
          <w:p>
            <w:pPr>
              <w:pStyle w:val="yTableNAm"/>
              <w:jc w:val="center"/>
            </w:pPr>
            <w:r>
              <w:rPr>
                <w:b/>
              </w:rPr>
              <w:t>$</w:t>
            </w:r>
          </w:p>
        </w:tc>
      </w:tr>
      <w:tr>
        <w:trPr>
          <w:cantSplit/>
        </w:trPr>
        <w:tc>
          <w:tcPr>
            <w:tcW w:w="673" w:type="dxa"/>
          </w:tcPr>
          <w:p>
            <w:pPr>
              <w:pStyle w:val="yTableNAm"/>
            </w:pPr>
            <w:r>
              <w:t>1.</w:t>
            </w:r>
          </w:p>
        </w:tc>
        <w:tc>
          <w:tcPr>
            <w:tcW w:w="3612" w:type="dxa"/>
            <w:gridSpan w:val="3"/>
          </w:tcPr>
          <w:p>
            <w:pPr>
              <w:pStyle w:val="yTableNAm"/>
            </w:pPr>
            <w:r>
              <w:t xml:space="preserve">Cargo in 20 feet equivalent unit (TEU) containers — </w:t>
            </w:r>
          </w:p>
        </w:tc>
        <w:tc>
          <w:tcPr>
            <w:tcW w:w="1343" w:type="dxa"/>
            <w:vAlign w:val="bottom"/>
          </w:tcPr>
          <w:p>
            <w:pPr>
              <w:pStyle w:val="yTableNAm"/>
              <w:jc w:val="center"/>
            </w:pPr>
          </w:p>
        </w:tc>
      </w:tr>
      <w:tr>
        <w:trPr>
          <w:cantSplit/>
        </w:trPr>
        <w:tc>
          <w:tcPr>
            <w:tcW w:w="673" w:type="dxa"/>
          </w:tcPr>
          <w:p>
            <w:pPr>
              <w:pStyle w:val="zyTableNAm"/>
            </w:pPr>
          </w:p>
        </w:tc>
        <w:tc>
          <w:tcPr>
            <w:tcW w:w="3612" w:type="dxa"/>
            <w:gridSpan w:val="3"/>
          </w:tcPr>
          <w:p>
            <w:pPr>
              <w:pStyle w:val="yTableNAm"/>
              <w:tabs>
                <w:tab w:val="clear" w:pos="567"/>
              </w:tabs>
              <w:ind w:left="226" w:hanging="226"/>
            </w:pPr>
            <w:r>
              <w:t>•</w:t>
            </w:r>
            <w:r>
              <w:tab/>
              <w:t>fertiliser, per TEU</w:t>
            </w:r>
          </w:p>
        </w:tc>
        <w:tc>
          <w:tcPr>
            <w:tcW w:w="1343" w:type="dxa"/>
            <w:vAlign w:val="bottom"/>
          </w:tcPr>
          <w:p>
            <w:pPr>
              <w:pStyle w:val="yTableNAm"/>
              <w:jc w:val="center"/>
            </w:pPr>
            <w:r>
              <w:t>103.22</w:t>
            </w:r>
          </w:p>
        </w:tc>
      </w:tr>
      <w:tr>
        <w:trPr>
          <w:cantSplit/>
        </w:trPr>
        <w:tc>
          <w:tcPr>
            <w:tcW w:w="673" w:type="dxa"/>
          </w:tcPr>
          <w:p>
            <w:pPr>
              <w:pStyle w:val="zyTableNAm"/>
            </w:pPr>
          </w:p>
        </w:tc>
        <w:tc>
          <w:tcPr>
            <w:tcW w:w="3612" w:type="dxa"/>
            <w:gridSpan w:val="3"/>
          </w:tcPr>
          <w:p>
            <w:pPr>
              <w:pStyle w:val="yTableNAm"/>
              <w:tabs>
                <w:tab w:val="clear" w:pos="567"/>
              </w:tabs>
              <w:ind w:left="226" w:hanging="226"/>
            </w:pPr>
            <w:r>
              <w:t>•</w:t>
            </w:r>
            <w:r>
              <w:tab/>
              <w:t>explosives, per TEU</w:t>
            </w:r>
          </w:p>
        </w:tc>
        <w:tc>
          <w:tcPr>
            <w:tcW w:w="1343" w:type="dxa"/>
            <w:vAlign w:val="bottom"/>
          </w:tcPr>
          <w:p>
            <w:pPr>
              <w:pStyle w:val="yTableNAm"/>
              <w:jc w:val="center"/>
            </w:pPr>
            <w:r>
              <w:t>127.70</w:t>
            </w:r>
          </w:p>
        </w:tc>
      </w:tr>
      <w:tr>
        <w:trPr>
          <w:cantSplit/>
        </w:trPr>
        <w:tc>
          <w:tcPr>
            <w:tcW w:w="673" w:type="dxa"/>
          </w:tcPr>
          <w:p>
            <w:pPr>
              <w:pStyle w:val="zyTableNAm"/>
            </w:pPr>
          </w:p>
        </w:tc>
        <w:tc>
          <w:tcPr>
            <w:tcW w:w="3612" w:type="dxa"/>
            <w:gridSpan w:val="3"/>
          </w:tcPr>
          <w:p>
            <w:pPr>
              <w:pStyle w:val="yTableNAm"/>
              <w:tabs>
                <w:tab w:val="clear" w:pos="567"/>
              </w:tabs>
              <w:ind w:left="226" w:hanging="226"/>
            </w:pPr>
            <w:r>
              <w:t>•</w:t>
            </w:r>
            <w:r>
              <w:tab/>
              <w:t>products of the soil (not otherwise specified), per TEU</w:t>
            </w:r>
          </w:p>
        </w:tc>
        <w:tc>
          <w:tcPr>
            <w:tcW w:w="1343" w:type="dxa"/>
            <w:vAlign w:val="bottom"/>
          </w:tcPr>
          <w:p>
            <w:pPr>
              <w:pStyle w:val="yTableNAm"/>
              <w:jc w:val="center"/>
            </w:pPr>
            <w:r>
              <w:t>64.80</w:t>
            </w:r>
          </w:p>
        </w:tc>
      </w:tr>
      <w:tr>
        <w:trPr>
          <w:cantSplit/>
        </w:trPr>
        <w:tc>
          <w:tcPr>
            <w:tcW w:w="673" w:type="dxa"/>
          </w:tcPr>
          <w:p>
            <w:pPr>
              <w:pStyle w:val="zyTableNAm"/>
            </w:pPr>
          </w:p>
        </w:tc>
        <w:tc>
          <w:tcPr>
            <w:tcW w:w="3612" w:type="dxa"/>
            <w:gridSpan w:val="3"/>
          </w:tcPr>
          <w:p>
            <w:pPr>
              <w:pStyle w:val="yTableNAm"/>
              <w:tabs>
                <w:tab w:val="clear" w:pos="567"/>
              </w:tabs>
              <w:ind w:left="226" w:hanging="226"/>
            </w:pPr>
            <w:r>
              <w:t>•</w:t>
            </w:r>
            <w:r>
              <w:tab/>
              <w:t>not otherwise specified in this item, per TEU</w:t>
            </w:r>
          </w:p>
        </w:tc>
        <w:tc>
          <w:tcPr>
            <w:tcW w:w="1343" w:type="dxa"/>
            <w:vAlign w:val="bottom"/>
          </w:tcPr>
          <w:p>
            <w:pPr>
              <w:pStyle w:val="yTableNAm"/>
              <w:jc w:val="center"/>
            </w:pPr>
            <w:r>
              <w:t>204.67</w:t>
            </w:r>
          </w:p>
        </w:tc>
      </w:tr>
      <w:tr>
        <w:trPr>
          <w:cantSplit/>
        </w:trPr>
        <w:tc>
          <w:tcPr>
            <w:tcW w:w="673" w:type="dxa"/>
          </w:tcPr>
          <w:p>
            <w:pPr>
              <w:pStyle w:val="yTableNAm"/>
            </w:pPr>
            <w:r>
              <w:t>2.</w:t>
            </w:r>
          </w:p>
        </w:tc>
        <w:tc>
          <w:tcPr>
            <w:tcW w:w="3612" w:type="dxa"/>
            <w:gridSpan w:val="3"/>
          </w:tcPr>
          <w:p>
            <w:pPr>
              <w:pStyle w:val="yTableNAm"/>
            </w:pPr>
            <w:r>
              <w:t>Empty TEU containers, per TEU</w:t>
            </w:r>
          </w:p>
        </w:tc>
        <w:tc>
          <w:tcPr>
            <w:tcW w:w="1343" w:type="dxa"/>
            <w:vAlign w:val="bottom"/>
          </w:tcPr>
          <w:p>
            <w:pPr>
              <w:pStyle w:val="yTableNAm"/>
              <w:jc w:val="center"/>
            </w:pPr>
            <w:r>
              <w:t>59.48</w:t>
            </w:r>
          </w:p>
        </w:tc>
      </w:tr>
      <w:tr>
        <w:trPr>
          <w:cantSplit/>
        </w:trPr>
        <w:tc>
          <w:tcPr>
            <w:tcW w:w="673" w:type="dxa"/>
          </w:tcPr>
          <w:p>
            <w:pPr>
              <w:pStyle w:val="yTableNAm"/>
            </w:pPr>
            <w:r>
              <w:t>3.</w:t>
            </w:r>
          </w:p>
        </w:tc>
        <w:tc>
          <w:tcPr>
            <w:tcW w:w="3612" w:type="dxa"/>
            <w:gridSpan w:val="3"/>
          </w:tcPr>
          <w:p>
            <w:pPr>
              <w:pStyle w:val="yTableNAm"/>
            </w:pPr>
            <w:r>
              <w:t>Cargo, whether in containers (not TEU containers) or otherwise —</w:t>
            </w:r>
          </w:p>
        </w:tc>
        <w:tc>
          <w:tcPr>
            <w:tcW w:w="1343" w:type="dxa"/>
            <w:vAlign w:val="bottom"/>
          </w:tcPr>
          <w:p>
            <w:pPr>
              <w:pStyle w:val="yTableNAm"/>
              <w:jc w:val="center"/>
            </w:pPr>
          </w:p>
        </w:tc>
      </w:tr>
      <w:tr>
        <w:trPr>
          <w:cantSplit/>
        </w:trPr>
        <w:tc>
          <w:tcPr>
            <w:tcW w:w="673" w:type="dxa"/>
          </w:tcPr>
          <w:p>
            <w:pPr>
              <w:pStyle w:val="zyTableNAm"/>
            </w:pPr>
          </w:p>
        </w:tc>
        <w:tc>
          <w:tcPr>
            <w:tcW w:w="3612" w:type="dxa"/>
            <w:gridSpan w:val="3"/>
          </w:tcPr>
          <w:p>
            <w:pPr>
              <w:pStyle w:val="yTableNAm"/>
              <w:tabs>
                <w:tab w:val="clear" w:pos="567"/>
              </w:tabs>
              <w:ind w:left="226" w:hanging="226"/>
            </w:pPr>
            <w:r>
              <w:t>•</w:t>
            </w:r>
            <w:r>
              <w:tab/>
              <w:t xml:space="preserve">animals, live — </w:t>
            </w:r>
          </w:p>
        </w:tc>
        <w:tc>
          <w:tcPr>
            <w:tcW w:w="1343" w:type="dxa"/>
            <w:vAlign w:val="bottom"/>
          </w:tcPr>
          <w:p>
            <w:pPr>
              <w:pStyle w:val="yTableNAm"/>
              <w:jc w:val="center"/>
            </w:pPr>
          </w:p>
        </w:tc>
      </w:tr>
      <w:tr>
        <w:trPr>
          <w:cantSplit/>
        </w:trPr>
        <w:tc>
          <w:tcPr>
            <w:tcW w:w="1417" w:type="dxa"/>
            <w:gridSpan w:val="3"/>
          </w:tcPr>
          <w:p>
            <w:pPr>
              <w:pStyle w:val="zyTableNAm"/>
            </w:pPr>
          </w:p>
        </w:tc>
        <w:tc>
          <w:tcPr>
            <w:tcW w:w="2868" w:type="dxa"/>
          </w:tcPr>
          <w:p>
            <w:pPr>
              <w:pStyle w:val="yTableNAm"/>
              <w:tabs>
                <w:tab w:val="clear" w:pos="567"/>
              </w:tabs>
              <w:ind w:left="227" w:hanging="227"/>
            </w:pPr>
            <w:r>
              <w:t>•</w:t>
            </w:r>
            <w:r>
              <w:tab/>
              <w:t>cattle (bullocks, cows, etc.), per head</w:t>
            </w:r>
          </w:p>
        </w:tc>
        <w:tc>
          <w:tcPr>
            <w:tcW w:w="1343" w:type="dxa"/>
            <w:vAlign w:val="bottom"/>
          </w:tcPr>
          <w:p>
            <w:pPr>
              <w:pStyle w:val="yTableNAm"/>
              <w:jc w:val="center"/>
            </w:pPr>
            <w:r>
              <w:t>2.54</w:t>
            </w:r>
          </w:p>
        </w:tc>
      </w:tr>
      <w:tr>
        <w:trPr>
          <w:cantSplit/>
        </w:trPr>
        <w:tc>
          <w:tcPr>
            <w:tcW w:w="1417" w:type="dxa"/>
            <w:gridSpan w:val="3"/>
          </w:tcPr>
          <w:p>
            <w:pPr>
              <w:pStyle w:val="zyTableNAm"/>
            </w:pPr>
          </w:p>
        </w:tc>
        <w:tc>
          <w:tcPr>
            <w:tcW w:w="2868" w:type="dxa"/>
          </w:tcPr>
          <w:p>
            <w:pPr>
              <w:pStyle w:val="yTableNAm"/>
              <w:tabs>
                <w:tab w:val="clear" w:pos="567"/>
              </w:tabs>
              <w:ind w:left="227" w:hanging="227"/>
            </w:pPr>
            <w:r>
              <w:t>•</w:t>
            </w:r>
            <w:r>
              <w:tab/>
              <w:t>dogs, goats, pigs, sheep, per head</w:t>
            </w:r>
          </w:p>
        </w:tc>
        <w:tc>
          <w:tcPr>
            <w:tcW w:w="1343" w:type="dxa"/>
            <w:vAlign w:val="bottom"/>
          </w:tcPr>
          <w:p>
            <w:pPr>
              <w:pStyle w:val="yTableNAm"/>
              <w:jc w:val="center"/>
            </w:pPr>
            <w:r>
              <w:t>0.52</w:t>
            </w:r>
          </w:p>
        </w:tc>
      </w:tr>
      <w:tr>
        <w:trPr>
          <w:cantSplit/>
        </w:trPr>
        <w:tc>
          <w:tcPr>
            <w:tcW w:w="992" w:type="dxa"/>
            <w:gridSpan w:val="2"/>
          </w:tcPr>
          <w:p>
            <w:pPr>
              <w:pStyle w:val="zyTableNAm"/>
            </w:pPr>
          </w:p>
        </w:tc>
        <w:tc>
          <w:tcPr>
            <w:tcW w:w="3293" w:type="dxa"/>
            <w:gridSpan w:val="2"/>
          </w:tcPr>
          <w:p>
            <w:pPr>
              <w:pStyle w:val="yTableNAm"/>
              <w:tabs>
                <w:tab w:val="clear" w:pos="567"/>
              </w:tabs>
              <w:ind w:left="226" w:hanging="226"/>
            </w:pPr>
            <w:r>
              <w:t>•</w:t>
            </w:r>
            <w:r>
              <w:tab/>
              <w:t>bulk, by pipeline, per kilolitre</w:t>
            </w:r>
          </w:p>
        </w:tc>
        <w:tc>
          <w:tcPr>
            <w:tcW w:w="1343" w:type="dxa"/>
            <w:vAlign w:val="bottom"/>
          </w:tcPr>
          <w:p>
            <w:pPr>
              <w:pStyle w:val="yTableNAm"/>
              <w:jc w:val="center"/>
            </w:pPr>
            <w:r>
              <w:t>10.82</w:t>
            </w:r>
          </w:p>
        </w:tc>
      </w:tr>
      <w:tr>
        <w:trPr>
          <w:cantSplit/>
        </w:trPr>
        <w:tc>
          <w:tcPr>
            <w:tcW w:w="992" w:type="dxa"/>
            <w:gridSpan w:val="2"/>
          </w:tcPr>
          <w:p>
            <w:pPr>
              <w:pStyle w:val="zyTableNAm"/>
            </w:pPr>
          </w:p>
        </w:tc>
        <w:tc>
          <w:tcPr>
            <w:tcW w:w="3293" w:type="dxa"/>
            <w:gridSpan w:val="2"/>
          </w:tcPr>
          <w:p>
            <w:pPr>
              <w:pStyle w:val="yTableNAm"/>
              <w:tabs>
                <w:tab w:val="clear" w:pos="567"/>
              </w:tabs>
              <w:ind w:left="226" w:hanging="226"/>
            </w:pPr>
            <w:r>
              <w:t>•</w:t>
            </w:r>
            <w:r>
              <w:tab/>
              <w:t>bulk, by pipeline using road tanker on jetty, per kilolitre</w:t>
            </w:r>
          </w:p>
        </w:tc>
        <w:tc>
          <w:tcPr>
            <w:tcW w:w="1343" w:type="dxa"/>
            <w:vAlign w:val="bottom"/>
          </w:tcPr>
          <w:p>
            <w:pPr>
              <w:pStyle w:val="yTableNAm"/>
              <w:jc w:val="center"/>
            </w:pPr>
            <w:r>
              <w:t>11.28</w:t>
            </w:r>
          </w:p>
        </w:tc>
      </w:tr>
      <w:tr>
        <w:trPr>
          <w:cantSplit/>
        </w:trPr>
        <w:tc>
          <w:tcPr>
            <w:tcW w:w="992" w:type="dxa"/>
            <w:gridSpan w:val="2"/>
          </w:tcPr>
          <w:p>
            <w:pPr>
              <w:pStyle w:val="zyTableNAm"/>
            </w:pPr>
          </w:p>
        </w:tc>
        <w:tc>
          <w:tcPr>
            <w:tcW w:w="3293" w:type="dxa"/>
            <w:gridSpan w:val="2"/>
          </w:tcPr>
          <w:p>
            <w:pPr>
              <w:pStyle w:val="yTableNAm"/>
              <w:tabs>
                <w:tab w:val="clear" w:pos="567"/>
              </w:tabs>
              <w:ind w:left="226" w:hanging="226"/>
            </w:pPr>
            <w:r>
              <w:t>•</w:t>
            </w:r>
            <w:r>
              <w:tab/>
              <w:t>containers (not TEU containers), empty, per tonne, per cubic metre</w:t>
            </w:r>
          </w:p>
        </w:tc>
        <w:tc>
          <w:tcPr>
            <w:tcW w:w="1343" w:type="dxa"/>
            <w:vAlign w:val="bottom"/>
          </w:tcPr>
          <w:p>
            <w:pPr>
              <w:pStyle w:val="yTableNAm"/>
              <w:jc w:val="center"/>
            </w:pPr>
            <w:r>
              <w:t>2.54</w:t>
            </w:r>
          </w:p>
        </w:tc>
      </w:tr>
      <w:tr>
        <w:trPr>
          <w:cantSplit/>
        </w:trPr>
        <w:tc>
          <w:tcPr>
            <w:tcW w:w="992" w:type="dxa"/>
            <w:gridSpan w:val="2"/>
          </w:tcPr>
          <w:p>
            <w:pPr>
              <w:pStyle w:val="zyTableNAm"/>
            </w:pPr>
          </w:p>
        </w:tc>
        <w:tc>
          <w:tcPr>
            <w:tcW w:w="3293" w:type="dxa"/>
            <w:gridSpan w:val="2"/>
          </w:tcPr>
          <w:p>
            <w:pPr>
              <w:pStyle w:val="yTableNAm"/>
              <w:tabs>
                <w:tab w:val="clear" w:pos="567"/>
              </w:tabs>
              <w:ind w:left="226" w:hanging="226"/>
            </w:pPr>
            <w:r>
              <w:t>•</w:t>
            </w:r>
            <w:r>
              <w:tab/>
              <w:t>explosives, per tonne, per cubic metre</w:t>
            </w:r>
          </w:p>
        </w:tc>
        <w:tc>
          <w:tcPr>
            <w:tcW w:w="1343" w:type="dxa"/>
            <w:vAlign w:val="bottom"/>
          </w:tcPr>
          <w:p>
            <w:pPr>
              <w:pStyle w:val="yTableNAm"/>
              <w:jc w:val="center"/>
            </w:pPr>
            <w:r>
              <w:t>4.39</w:t>
            </w:r>
          </w:p>
        </w:tc>
      </w:tr>
      <w:tr>
        <w:trPr>
          <w:cantSplit/>
        </w:trPr>
        <w:tc>
          <w:tcPr>
            <w:tcW w:w="992" w:type="dxa"/>
            <w:gridSpan w:val="2"/>
          </w:tcPr>
          <w:p>
            <w:pPr>
              <w:pStyle w:val="zyTableNAm"/>
            </w:pPr>
          </w:p>
        </w:tc>
        <w:tc>
          <w:tcPr>
            <w:tcW w:w="3293" w:type="dxa"/>
            <w:gridSpan w:val="2"/>
          </w:tcPr>
          <w:p>
            <w:pPr>
              <w:pStyle w:val="yTableNAm"/>
              <w:tabs>
                <w:tab w:val="clear" w:pos="567"/>
              </w:tabs>
              <w:ind w:left="226" w:hanging="226"/>
            </w:pPr>
            <w:r>
              <w:t>•</w:t>
            </w:r>
            <w:r>
              <w:tab/>
              <w:t>fertiliser, per tonne, per cubic metre</w:t>
            </w:r>
          </w:p>
        </w:tc>
        <w:tc>
          <w:tcPr>
            <w:tcW w:w="1343" w:type="dxa"/>
            <w:vAlign w:val="bottom"/>
          </w:tcPr>
          <w:p>
            <w:pPr>
              <w:pStyle w:val="yTableNAm"/>
              <w:jc w:val="center"/>
            </w:pPr>
            <w:r>
              <w:t>3.57</w:t>
            </w:r>
          </w:p>
        </w:tc>
      </w:tr>
      <w:tr>
        <w:trPr>
          <w:cantSplit/>
        </w:trPr>
        <w:tc>
          <w:tcPr>
            <w:tcW w:w="992" w:type="dxa"/>
            <w:gridSpan w:val="2"/>
          </w:tcPr>
          <w:p>
            <w:pPr>
              <w:pStyle w:val="zyTableNAm"/>
            </w:pPr>
          </w:p>
        </w:tc>
        <w:tc>
          <w:tcPr>
            <w:tcW w:w="3293" w:type="dxa"/>
            <w:gridSpan w:val="2"/>
          </w:tcPr>
          <w:p>
            <w:pPr>
              <w:pStyle w:val="yTableNAm"/>
              <w:tabs>
                <w:tab w:val="clear" w:pos="567"/>
              </w:tabs>
              <w:ind w:left="226" w:hanging="226"/>
            </w:pPr>
            <w:r>
              <w:t>•</w:t>
            </w:r>
            <w:r>
              <w:tab/>
              <w:t>meat, chilled or frozen, per tonne, per cubic metre</w:t>
            </w:r>
          </w:p>
        </w:tc>
        <w:tc>
          <w:tcPr>
            <w:tcW w:w="1343" w:type="dxa"/>
            <w:vAlign w:val="bottom"/>
          </w:tcPr>
          <w:p>
            <w:pPr>
              <w:pStyle w:val="yTableNAm"/>
              <w:jc w:val="center"/>
            </w:pPr>
            <w:r>
              <w:t>4.20</w:t>
            </w:r>
          </w:p>
        </w:tc>
      </w:tr>
      <w:tr>
        <w:trPr>
          <w:cantSplit/>
        </w:trPr>
        <w:tc>
          <w:tcPr>
            <w:tcW w:w="992" w:type="dxa"/>
            <w:gridSpan w:val="2"/>
          </w:tcPr>
          <w:p>
            <w:pPr>
              <w:pStyle w:val="zyTableNAm"/>
            </w:pPr>
          </w:p>
        </w:tc>
        <w:tc>
          <w:tcPr>
            <w:tcW w:w="3293" w:type="dxa"/>
            <w:gridSpan w:val="2"/>
          </w:tcPr>
          <w:p>
            <w:pPr>
              <w:pStyle w:val="yTableNAm"/>
              <w:tabs>
                <w:tab w:val="clear" w:pos="567"/>
              </w:tabs>
              <w:ind w:left="226" w:hanging="226"/>
            </w:pPr>
            <w:r>
              <w:t>•</w:t>
            </w:r>
            <w:r>
              <w:tab/>
              <w:t>ore, per tonne</w:t>
            </w:r>
          </w:p>
        </w:tc>
        <w:tc>
          <w:tcPr>
            <w:tcW w:w="1343" w:type="dxa"/>
            <w:vAlign w:val="bottom"/>
          </w:tcPr>
          <w:p>
            <w:pPr>
              <w:pStyle w:val="yTableNAm"/>
              <w:jc w:val="center"/>
            </w:pPr>
            <w:r>
              <w:t>3.47</w:t>
            </w:r>
          </w:p>
        </w:tc>
      </w:tr>
      <w:tr>
        <w:trPr>
          <w:cantSplit/>
        </w:trPr>
        <w:tc>
          <w:tcPr>
            <w:tcW w:w="992" w:type="dxa"/>
            <w:gridSpan w:val="2"/>
          </w:tcPr>
          <w:p>
            <w:pPr>
              <w:pStyle w:val="zyTableNAm"/>
            </w:pPr>
          </w:p>
        </w:tc>
        <w:tc>
          <w:tcPr>
            <w:tcW w:w="3293" w:type="dxa"/>
            <w:gridSpan w:val="2"/>
          </w:tcPr>
          <w:p>
            <w:pPr>
              <w:pStyle w:val="yTableNAm"/>
              <w:tabs>
                <w:tab w:val="clear" w:pos="567"/>
              </w:tabs>
              <w:ind w:left="226" w:hanging="226"/>
            </w:pPr>
            <w:r>
              <w:t>•</w:t>
            </w:r>
            <w:r>
              <w:tab/>
              <w:t>products of the soil (not otherwise specified), per tonne, per cubic metre</w:t>
            </w:r>
          </w:p>
        </w:tc>
        <w:tc>
          <w:tcPr>
            <w:tcW w:w="1343" w:type="dxa"/>
            <w:vAlign w:val="bottom"/>
          </w:tcPr>
          <w:p>
            <w:pPr>
              <w:pStyle w:val="yTableNAm"/>
              <w:jc w:val="center"/>
            </w:pPr>
            <w:r>
              <w:t>2.39</w:t>
            </w:r>
          </w:p>
        </w:tc>
      </w:tr>
      <w:tr>
        <w:trPr>
          <w:cantSplit/>
        </w:trPr>
        <w:tc>
          <w:tcPr>
            <w:tcW w:w="992" w:type="dxa"/>
            <w:gridSpan w:val="2"/>
          </w:tcPr>
          <w:p>
            <w:pPr>
              <w:pStyle w:val="zyTableNAm"/>
            </w:pPr>
          </w:p>
        </w:tc>
        <w:tc>
          <w:tcPr>
            <w:tcW w:w="3293" w:type="dxa"/>
            <w:gridSpan w:val="2"/>
          </w:tcPr>
          <w:p>
            <w:pPr>
              <w:pStyle w:val="yTableNAm"/>
              <w:tabs>
                <w:tab w:val="clear" w:pos="567"/>
              </w:tabs>
              <w:ind w:left="226" w:hanging="226"/>
            </w:pPr>
            <w:r>
              <w:t>•</w:t>
            </w:r>
            <w:r>
              <w:tab/>
              <w:t xml:space="preserve">vehicles — </w:t>
            </w:r>
          </w:p>
        </w:tc>
        <w:tc>
          <w:tcPr>
            <w:tcW w:w="1343" w:type="dxa"/>
            <w:vAlign w:val="bottom"/>
          </w:tcPr>
          <w:p>
            <w:pPr>
              <w:pStyle w:val="yTableNAm"/>
              <w:jc w:val="center"/>
            </w:pPr>
          </w:p>
        </w:tc>
      </w:tr>
      <w:tr>
        <w:trPr>
          <w:cantSplit/>
        </w:trPr>
        <w:tc>
          <w:tcPr>
            <w:tcW w:w="1417" w:type="dxa"/>
            <w:gridSpan w:val="3"/>
          </w:tcPr>
          <w:p>
            <w:pPr>
              <w:pStyle w:val="zyTableNAm"/>
            </w:pPr>
          </w:p>
        </w:tc>
        <w:tc>
          <w:tcPr>
            <w:tcW w:w="2868" w:type="dxa"/>
          </w:tcPr>
          <w:p>
            <w:pPr>
              <w:pStyle w:val="yTableNAm"/>
              <w:tabs>
                <w:tab w:val="clear" w:pos="567"/>
              </w:tabs>
              <w:ind w:left="227" w:hanging="227"/>
            </w:pPr>
            <w:r>
              <w:t>•</w:t>
            </w:r>
            <w:r>
              <w:tab/>
              <w:t>commercial vehicles on own wheels, per tonne, per cubic metre</w:t>
            </w:r>
          </w:p>
        </w:tc>
        <w:tc>
          <w:tcPr>
            <w:tcW w:w="1343" w:type="dxa"/>
            <w:vAlign w:val="bottom"/>
          </w:tcPr>
          <w:p>
            <w:pPr>
              <w:pStyle w:val="yTableNAm"/>
              <w:jc w:val="center"/>
            </w:pPr>
            <w:r>
              <w:t>4.19</w:t>
            </w:r>
          </w:p>
        </w:tc>
      </w:tr>
      <w:tr>
        <w:trPr>
          <w:cantSplit/>
        </w:trPr>
        <w:tc>
          <w:tcPr>
            <w:tcW w:w="1417" w:type="dxa"/>
            <w:gridSpan w:val="3"/>
          </w:tcPr>
          <w:p>
            <w:pPr>
              <w:pStyle w:val="zyTableNAm"/>
            </w:pPr>
          </w:p>
        </w:tc>
        <w:tc>
          <w:tcPr>
            <w:tcW w:w="2868" w:type="dxa"/>
          </w:tcPr>
          <w:p>
            <w:pPr>
              <w:pStyle w:val="yTableNAm"/>
              <w:tabs>
                <w:tab w:val="clear" w:pos="567"/>
              </w:tabs>
              <w:ind w:left="227" w:hanging="227"/>
            </w:pPr>
            <w:r>
              <w:t>•</w:t>
            </w:r>
            <w:r>
              <w:tab/>
              <w:t>other vehicles on own wheels, per tonne, per cubic metre</w:t>
            </w:r>
          </w:p>
        </w:tc>
        <w:tc>
          <w:tcPr>
            <w:tcW w:w="1343" w:type="dxa"/>
            <w:vAlign w:val="bottom"/>
          </w:tcPr>
          <w:p>
            <w:pPr>
              <w:pStyle w:val="yTableNAm"/>
              <w:jc w:val="center"/>
            </w:pPr>
            <w:r>
              <w:t>4.00</w:t>
            </w:r>
          </w:p>
        </w:tc>
      </w:tr>
      <w:tr>
        <w:trPr>
          <w:cantSplit/>
        </w:trPr>
        <w:tc>
          <w:tcPr>
            <w:tcW w:w="992" w:type="dxa"/>
            <w:gridSpan w:val="2"/>
          </w:tcPr>
          <w:p>
            <w:pPr>
              <w:pStyle w:val="zyTableNAm"/>
            </w:pPr>
          </w:p>
        </w:tc>
        <w:tc>
          <w:tcPr>
            <w:tcW w:w="3293" w:type="dxa"/>
            <w:gridSpan w:val="2"/>
          </w:tcPr>
          <w:p>
            <w:pPr>
              <w:pStyle w:val="yTableNAm"/>
              <w:tabs>
                <w:tab w:val="clear" w:pos="567"/>
              </w:tabs>
              <w:ind w:left="226" w:hanging="226"/>
            </w:pPr>
            <w:r>
              <w:t>•</w:t>
            </w:r>
            <w:r>
              <w:tab/>
              <w:t>recreational vessel, per metre of the vessel’s length</w:t>
            </w:r>
          </w:p>
        </w:tc>
        <w:tc>
          <w:tcPr>
            <w:tcW w:w="1343" w:type="dxa"/>
            <w:vAlign w:val="bottom"/>
          </w:tcPr>
          <w:p>
            <w:pPr>
              <w:pStyle w:val="yTableNAm"/>
              <w:jc w:val="center"/>
            </w:pPr>
            <w:r>
              <w:t>15.84</w:t>
            </w:r>
          </w:p>
        </w:tc>
      </w:tr>
      <w:tr>
        <w:trPr>
          <w:cantSplit/>
        </w:trPr>
        <w:tc>
          <w:tcPr>
            <w:tcW w:w="992" w:type="dxa"/>
            <w:gridSpan w:val="2"/>
            <w:tcBorders>
              <w:bottom w:val="single" w:sz="4" w:space="0" w:color="auto"/>
            </w:tcBorders>
          </w:tcPr>
          <w:p>
            <w:pPr>
              <w:pStyle w:val="zyTableNAm"/>
            </w:pPr>
          </w:p>
        </w:tc>
        <w:tc>
          <w:tcPr>
            <w:tcW w:w="3293" w:type="dxa"/>
            <w:gridSpan w:val="2"/>
            <w:tcBorders>
              <w:bottom w:val="single" w:sz="4" w:space="0" w:color="auto"/>
            </w:tcBorders>
          </w:tcPr>
          <w:p>
            <w:pPr>
              <w:pStyle w:val="yTableNAm"/>
              <w:tabs>
                <w:tab w:val="clear" w:pos="567"/>
              </w:tabs>
              <w:ind w:left="226" w:hanging="226"/>
            </w:pPr>
            <w:r>
              <w:t>•</w:t>
            </w:r>
            <w:r>
              <w:tab/>
              <w:t>not otherwise specified in this item, per tonne, per cubic metre</w:t>
            </w:r>
          </w:p>
        </w:tc>
        <w:tc>
          <w:tcPr>
            <w:tcW w:w="1343" w:type="dxa"/>
            <w:tcBorders>
              <w:bottom w:val="single" w:sz="4" w:space="0" w:color="auto"/>
            </w:tcBorders>
            <w:vAlign w:val="bottom"/>
          </w:tcPr>
          <w:p>
            <w:pPr>
              <w:pStyle w:val="yTableNAm"/>
              <w:jc w:val="center"/>
            </w:pPr>
            <w:r>
              <w:t>6.91</w:t>
            </w:r>
          </w:p>
        </w:tc>
      </w:tr>
    </w:tbl>
    <w:p>
      <w:pPr>
        <w:pStyle w:val="ySubsection"/>
      </w:pPr>
      <w:r>
        <w:tab/>
        <w:t>(4)</w:t>
      </w:r>
      <w:r>
        <w:tab/>
        <w:t>The dues to be paid under regulation 11 are set out in Table 25.3.</w:t>
      </w:r>
    </w:p>
    <w:p>
      <w:pPr>
        <w:pStyle w:val="yTHeadingNAm"/>
      </w:pPr>
      <w:r>
        <w:t>Table 25.3 (Transhipment)</w:t>
      </w:r>
    </w:p>
    <w:tbl>
      <w:tblPr>
        <w:tblW w:w="5627" w:type="dxa"/>
        <w:tblInd w:w="1051" w:type="dxa"/>
        <w:tblLayout w:type="fixed"/>
        <w:tblCellMar>
          <w:top w:w="57" w:type="dxa"/>
          <w:left w:w="57" w:type="dxa"/>
          <w:right w:w="57" w:type="dxa"/>
        </w:tblCellMar>
        <w:tblLook w:val="0000" w:firstRow="0" w:lastRow="0" w:firstColumn="0" w:lastColumn="0" w:noHBand="0" w:noVBand="0"/>
      </w:tblPr>
      <w:tblGrid>
        <w:gridCol w:w="1008"/>
        <w:gridCol w:w="3276"/>
        <w:gridCol w:w="1343"/>
      </w:tblGrid>
      <w:tr>
        <w:trPr>
          <w:cantSplit/>
          <w:tblHeader/>
        </w:trPr>
        <w:tc>
          <w:tcPr>
            <w:tcW w:w="1008" w:type="dxa"/>
            <w:tcBorders>
              <w:top w:val="single" w:sz="4" w:space="0" w:color="auto"/>
              <w:bottom w:val="single" w:sz="4" w:space="0" w:color="auto"/>
            </w:tcBorders>
          </w:tcPr>
          <w:p>
            <w:pPr>
              <w:pStyle w:val="yTableNAm"/>
            </w:pPr>
            <w:r>
              <w:rPr>
                <w:b/>
              </w:rPr>
              <w:t>Item</w:t>
            </w:r>
          </w:p>
        </w:tc>
        <w:tc>
          <w:tcPr>
            <w:tcW w:w="3276" w:type="dxa"/>
            <w:tcBorders>
              <w:top w:val="single" w:sz="4" w:space="0" w:color="auto"/>
              <w:bottom w:val="single" w:sz="4" w:space="0" w:color="auto"/>
            </w:tcBorders>
          </w:tcPr>
          <w:p>
            <w:pPr>
              <w:pStyle w:val="yTableNAm"/>
            </w:pPr>
            <w:r>
              <w:rPr>
                <w:b/>
              </w:rPr>
              <w:t>Goods</w:t>
            </w:r>
          </w:p>
        </w:tc>
        <w:tc>
          <w:tcPr>
            <w:tcW w:w="1343" w:type="dxa"/>
            <w:tcBorders>
              <w:top w:val="single" w:sz="4" w:space="0" w:color="auto"/>
              <w:bottom w:val="single" w:sz="4" w:space="0" w:color="auto"/>
            </w:tcBorders>
          </w:tcPr>
          <w:p>
            <w:pPr>
              <w:pStyle w:val="yTableNAm"/>
              <w:jc w:val="center"/>
            </w:pPr>
            <w:r>
              <w:rPr>
                <w:b/>
              </w:rPr>
              <w:t>Dues</w:t>
            </w:r>
          </w:p>
        </w:tc>
      </w:tr>
      <w:tr>
        <w:trPr>
          <w:cantSplit/>
        </w:trPr>
        <w:tc>
          <w:tcPr>
            <w:tcW w:w="1008" w:type="dxa"/>
          </w:tcPr>
          <w:p>
            <w:pPr>
              <w:pStyle w:val="yTableNAm"/>
            </w:pPr>
            <w:r>
              <w:t>1.</w:t>
            </w:r>
          </w:p>
        </w:tc>
        <w:tc>
          <w:tcPr>
            <w:tcW w:w="3276" w:type="dxa"/>
          </w:tcPr>
          <w:p>
            <w:pPr>
              <w:pStyle w:val="yTableNAm"/>
            </w:pPr>
            <w:r>
              <w:t xml:space="preserve">For cargo — </w:t>
            </w:r>
          </w:p>
        </w:tc>
        <w:tc>
          <w:tcPr>
            <w:tcW w:w="1343" w:type="dxa"/>
          </w:tcPr>
          <w:p>
            <w:pPr>
              <w:pStyle w:val="yTableNAm"/>
              <w:jc w:val="center"/>
            </w:pPr>
          </w:p>
        </w:tc>
      </w:tr>
      <w:tr>
        <w:trPr>
          <w:cantSplit/>
        </w:trPr>
        <w:tc>
          <w:tcPr>
            <w:tcW w:w="1008" w:type="dxa"/>
          </w:tcPr>
          <w:p>
            <w:pPr>
              <w:pStyle w:val="zyTableNAm"/>
            </w:pPr>
          </w:p>
        </w:tc>
        <w:tc>
          <w:tcPr>
            <w:tcW w:w="3276" w:type="dxa"/>
          </w:tcPr>
          <w:p>
            <w:pPr>
              <w:pStyle w:val="yTableNAm"/>
              <w:tabs>
                <w:tab w:val="clear" w:pos="567"/>
              </w:tabs>
              <w:ind w:left="226" w:hanging="226"/>
            </w:pPr>
            <w:r>
              <w:t>•</w:t>
            </w:r>
            <w:r>
              <w:tab/>
              <w:t>loaded over the side of a vessel to another vessel</w:t>
            </w:r>
          </w:p>
        </w:tc>
        <w:tc>
          <w:tcPr>
            <w:tcW w:w="1343" w:type="dxa"/>
          </w:tcPr>
          <w:p>
            <w:pPr>
              <w:pStyle w:val="yTableNAm"/>
              <w:jc w:val="center"/>
            </w:pPr>
            <w:r>
              <w:t>50% of wharfage for the cargo</w:t>
            </w:r>
          </w:p>
        </w:tc>
      </w:tr>
      <w:tr>
        <w:trPr>
          <w:cantSplit/>
        </w:trPr>
        <w:tc>
          <w:tcPr>
            <w:tcW w:w="1008" w:type="dxa"/>
            <w:tcBorders>
              <w:bottom w:val="single" w:sz="4" w:space="0" w:color="auto"/>
            </w:tcBorders>
          </w:tcPr>
          <w:p>
            <w:pPr>
              <w:pStyle w:val="zyTableNAm"/>
            </w:pPr>
          </w:p>
        </w:tc>
        <w:tc>
          <w:tcPr>
            <w:tcW w:w="3276" w:type="dxa"/>
            <w:tcBorders>
              <w:bottom w:val="single" w:sz="4" w:space="0" w:color="auto"/>
            </w:tcBorders>
          </w:tcPr>
          <w:p>
            <w:pPr>
              <w:pStyle w:val="yTableNAm"/>
              <w:tabs>
                <w:tab w:val="clear" w:pos="567"/>
              </w:tabs>
              <w:ind w:left="226" w:hanging="226"/>
            </w:pPr>
            <w:r>
              <w:t>•</w:t>
            </w:r>
            <w:r>
              <w:tab/>
              <w:t>landed on jetty</w:t>
            </w:r>
          </w:p>
        </w:tc>
        <w:tc>
          <w:tcPr>
            <w:tcW w:w="1343" w:type="dxa"/>
            <w:tcBorders>
              <w:bottom w:val="single" w:sz="4" w:space="0" w:color="auto"/>
            </w:tcBorders>
          </w:tcPr>
          <w:p>
            <w:pPr>
              <w:pStyle w:val="yTableNAm"/>
              <w:jc w:val="center"/>
            </w:pPr>
            <w:r>
              <w:t>100% of wharfage for the cargo</w:t>
            </w:r>
          </w:p>
        </w:tc>
      </w:tr>
    </w:tbl>
    <w:p>
      <w:pPr>
        <w:pStyle w:val="ySubsection"/>
      </w:pPr>
      <w:r>
        <w:tab/>
        <w:t>(5)</w:t>
      </w:r>
      <w:r>
        <w:tab/>
        <w:t>The charges to be paid under regulation 25 for storage are set out in Table 25.4.</w:t>
      </w:r>
    </w:p>
    <w:p>
      <w:pPr>
        <w:pStyle w:val="yTHeadingNAm"/>
      </w:pPr>
      <w:r>
        <w:t>Table 25.4 (Storage)</w:t>
      </w:r>
    </w:p>
    <w:tbl>
      <w:tblPr>
        <w:tblW w:w="5599" w:type="dxa"/>
        <w:tblInd w:w="1051" w:type="dxa"/>
        <w:tblLayout w:type="fixed"/>
        <w:tblCellMar>
          <w:top w:w="57" w:type="dxa"/>
          <w:left w:w="57" w:type="dxa"/>
          <w:right w:w="57" w:type="dxa"/>
        </w:tblCellMar>
        <w:tblLook w:val="0000" w:firstRow="0" w:lastRow="0" w:firstColumn="0" w:lastColumn="0" w:noHBand="0" w:noVBand="0"/>
      </w:tblPr>
      <w:tblGrid>
        <w:gridCol w:w="1022"/>
        <w:gridCol w:w="3262"/>
        <w:gridCol w:w="1315"/>
      </w:tblGrid>
      <w:tr>
        <w:trPr>
          <w:cantSplit/>
          <w:tblHeader/>
        </w:trPr>
        <w:tc>
          <w:tcPr>
            <w:tcW w:w="1022" w:type="dxa"/>
            <w:tcBorders>
              <w:top w:val="single" w:sz="4" w:space="0" w:color="auto"/>
              <w:bottom w:val="single" w:sz="4" w:space="0" w:color="auto"/>
            </w:tcBorders>
          </w:tcPr>
          <w:p>
            <w:pPr>
              <w:pStyle w:val="yTableNAm"/>
            </w:pPr>
            <w:r>
              <w:rPr>
                <w:b/>
              </w:rPr>
              <w:t>Item</w:t>
            </w:r>
          </w:p>
        </w:tc>
        <w:tc>
          <w:tcPr>
            <w:tcW w:w="3262" w:type="dxa"/>
            <w:tcBorders>
              <w:top w:val="single" w:sz="4" w:space="0" w:color="auto"/>
              <w:bottom w:val="single" w:sz="4" w:space="0" w:color="auto"/>
            </w:tcBorders>
          </w:tcPr>
          <w:p>
            <w:pPr>
              <w:pStyle w:val="yTableNAm"/>
            </w:pPr>
            <w:r>
              <w:rPr>
                <w:b/>
              </w:rPr>
              <w:t>Goods</w:t>
            </w:r>
          </w:p>
        </w:tc>
        <w:tc>
          <w:tcPr>
            <w:tcW w:w="1315" w:type="dxa"/>
            <w:tcBorders>
              <w:top w:val="single" w:sz="4" w:space="0" w:color="auto"/>
              <w:bottom w:val="single" w:sz="4" w:space="0" w:color="auto"/>
            </w:tcBorders>
          </w:tcPr>
          <w:p>
            <w:pPr>
              <w:pStyle w:val="yTableNAm"/>
              <w:jc w:val="center"/>
            </w:pPr>
            <w:r>
              <w:rPr>
                <w:b/>
              </w:rPr>
              <w:t>$</w:t>
            </w:r>
          </w:p>
        </w:tc>
      </w:tr>
      <w:tr>
        <w:trPr>
          <w:cantSplit/>
        </w:trPr>
        <w:tc>
          <w:tcPr>
            <w:tcW w:w="1022" w:type="dxa"/>
          </w:tcPr>
          <w:p>
            <w:pPr>
              <w:pStyle w:val="yTableNAm"/>
            </w:pPr>
            <w:r>
              <w:t>1.</w:t>
            </w:r>
          </w:p>
        </w:tc>
        <w:tc>
          <w:tcPr>
            <w:tcW w:w="3262" w:type="dxa"/>
          </w:tcPr>
          <w:p>
            <w:pPr>
              <w:pStyle w:val="yTableNAm"/>
            </w:pPr>
            <w:r>
              <w:t>Goods in transit not removed from a goods shed within 3 days after being received, per tonne, per day</w:t>
            </w:r>
          </w:p>
        </w:tc>
        <w:tc>
          <w:tcPr>
            <w:tcW w:w="1315" w:type="dxa"/>
            <w:vAlign w:val="bottom"/>
          </w:tcPr>
          <w:p>
            <w:pPr>
              <w:pStyle w:val="yTableNAm"/>
              <w:jc w:val="center"/>
            </w:pPr>
            <w:r>
              <w:t>0.70</w:t>
            </w:r>
          </w:p>
        </w:tc>
      </w:tr>
      <w:tr>
        <w:trPr>
          <w:cantSplit/>
        </w:trPr>
        <w:tc>
          <w:tcPr>
            <w:tcW w:w="1022" w:type="dxa"/>
          </w:tcPr>
          <w:p>
            <w:pPr>
              <w:pStyle w:val="yTableNAm"/>
            </w:pPr>
            <w:r>
              <w:t>2.</w:t>
            </w:r>
          </w:p>
        </w:tc>
        <w:tc>
          <w:tcPr>
            <w:tcW w:w="3262" w:type="dxa"/>
          </w:tcPr>
          <w:p>
            <w:pPr>
              <w:pStyle w:val="yTableNAm"/>
            </w:pPr>
            <w:r>
              <w:t>Goods being transhipped —</w:t>
            </w:r>
          </w:p>
        </w:tc>
        <w:tc>
          <w:tcPr>
            <w:tcW w:w="1315" w:type="dxa"/>
            <w:vAlign w:val="bottom"/>
          </w:tcPr>
          <w:p>
            <w:pPr>
              <w:pStyle w:val="yTableNAm"/>
              <w:jc w:val="center"/>
            </w:pPr>
          </w:p>
        </w:tc>
      </w:tr>
      <w:tr>
        <w:trPr>
          <w:cantSplit/>
        </w:trPr>
        <w:tc>
          <w:tcPr>
            <w:tcW w:w="1022" w:type="dxa"/>
          </w:tcPr>
          <w:p>
            <w:pPr>
              <w:pStyle w:val="zyTableNAm"/>
            </w:pPr>
          </w:p>
        </w:tc>
        <w:tc>
          <w:tcPr>
            <w:tcW w:w="3262" w:type="dxa"/>
          </w:tcPr>
          <w:p>
            <w:pPr>
              <w:pStyle w:val="yTableNAm"/>
              <w:tabs>
                <w:tab w:val="clear" w:pos="567"/>
              </w:tabs>
              <w:ind w:left="226" w:hanging="226"/>
            </w:pPr>
            <w:r>
              <w:t>•</w:t>
            </w:r>
            <w:r>
              <w:tab/>
              <w:t>for first 2 weeks, per tonne, per cubic metre, per week</w:t>
            </w:r>
          </w:p>
        </w:tc>
        <w:tc>
          <w:tcPr>
            <w:tcW w:w="1315" w:type="dxa"/>
            <w:vAlign w:val="bottom"/>
          </w:tcPr>
          <w:p>
            <w:pPr>
              <w:pStyle w:val="yTableNAm"/>
              <w:jc w:val="center"/>
            </w:pPr>
            <w:r>
              <w:rPr>
                <w:bCs/>
              </w:rPr>
              <w:t>0.70</w:t>
            </w:r>
          </w:p>
        </w:tc>
      </w:tr>
      <w:tr>
        <w:trPr>
          <w:cantSplit/>
        </w:trPr>
        <w:tc>
          <w:tcPr>
            <w:tcW w:w="1022" w:type="dxa"/>
          </w:tcPr>
          <w:p>
            <w:pPr>
              <w:pStyle w:val="zyTableNAm"/>
            </w:pPr>
          </w:p>
        </w:tc>
        <w:tc>
          <w:tcPr>
            <w:tcW w:w="3262" w:type="dxa"/>
          </w:tcPr>
          <w:p>
            <w:pPr>
              <w:pStyle w:val="yTableNAm"/>
              <w:tabs>
                <w:tab w:val="clear" w:pos="567"/>
              </w:tabs>
              <w:ind w:left="226" w:hanging="226"/>
            </w:pPr>
            <w:r>
              <w:t>•</w:t>
            </w:r>
            <w:r>
              <w:tab/>
              <w:t>after the first 2 weeks, per tonne, per cubic metre, per day</w:t>
            </w:r>
          </w:p>
        </w:tc>
        <w:tc>
          <w:tcPr>
            <w:tcW w:w="1315" w:type="dxa"/>
            <w:vAlign w:val="bottom"/>
          </w:tcPr>
          <w:p>
            <w:pPr>
              <w:pStyle w:val="yTableNAm"/>
              <w:jc w:val="center"/>
            </w:pPr>
            <w:r>
              <w:rPr>
                <w:bCs/>
              </w:rPr>
              <w:t>0.70</w:t>
            </w:r>
          </w:p>
        </w:tc>
      </w:tr>
      <w:tr>
        <w:trPr>
          <w:cantSplit/>
        </w:trPr>
        <w:tc>
          <w:tcPr>
            <w:tcW w:w="1022" w:type="dxa"/>
            <w:tcBorders>
              <w:bottom w:val="single" w:sz="4" w:space="0" w:color="auto"/>
            </w:tcBorders>
          </w:tcPr>
          <w:p>
            <w:pPr>
              <w:pStyle w:val="yTableNAm"/>
            </w:pPr>
            <w:r>
              <w:t>3.</w:t>
            </w:r>
          </w:p>
        </w:tc>
        <w:tc>
          <w:tcPr>
            <w:tcW w:w="3262" w:type="dxa"/>
            <w:tcBorders>
              <w:bottom w:val="single" w:sz="4" w:space="0" w:color="auto"/>
            </w:tcBorders>
          </w:tcPr>
          <w:p>
            <w:pPr>
              <w:pStyle w:val="yTableNAm"/>
            </w:pPr>
            <w:r>
              <w:t>Goods at container park, Wyndham, per loaded container</w:t>
            </w:r>
          </w:p>
        </w:tc>
        <w:tc>
          <w:tcPr>
            <w:tcW w:w="1315" w:type="dxa"/>
            <w:tcBorders>
              <w:bottom w:val="single" w:sz="4" w:space="0" w:color="auto"/>
            </w:tcBorders>
            <w:vAlign w:val="bottom"/>
          </w:tcPr>
          <w:p>
            <w:pPr>
              <w:pStyle w:val="yTableNAm"/>
              <w:jc w:val="center"/>
            </w:pPr>
            <w:r>
              <w:rPr>
                <w:bCs/>
              </w:rPr>
              <w:t>37.90</w:t>
            </w:r>
          </w:p>
        </w:tc>
      </w:tr>
    </w:tbl>
    <w:p>
      <w:pPr>
        <w:pStyle w:val="ySubsection"/>
      </w:pPr>
      <w:r>
        <w:tab/>
        <w:t>(6)</w:t>
      </w:r>
      <w:r>
        <w:tab/>
        <w:t>The charges to be paid under regulation 96 are set out in Table 25.5.</w:t>
      </w:r>
    </w:p>
    <w:p>
      <w:pPr>
        <w:pStyle w:val="yTHeadingNAm"/>
      </w:pPr>
      <w:r>
        <w:t>Table 25.5 (Slip services)</w:t>
      </w:r>
    </w:p>
    <w:tbl>
      <w:tblPr>
        <w:tblW w:w="5571" w:type="dxa"/>
        <w:tblInd w:w="1065" w:type="dxa"/>
        <w:tblLayout w:type="fixed"/>
        <w:tblCellMar>
          <w:top w:w="57" w:type="dxa"/>
          <w:left w:w="57" w:type="dxa"/>
          <w:right w:w="57" w:type="dxa"/>
        </w:tblCellMar>
        <w:tblLook w:val="0000" w:firstRow="0" w:lastRow="0" w:firstColumn="0" w:lastColumn="0" w:noHBand="0" w:noVBand="0"/>
      </w:tblPr>
      <w:tblGrid>
        <w:gridCol w:w="1008"/>
        <w:gridCol w:w="3262"/>
        <w:gridCol w:w="1301"/>
      </w:tblGrid>
      <w:tr>
        <w:trPr>
          <w:cantSplit/>
          <w:tblHeader/>
        </w:trPr>
        <w:tc>
          <w:tcPr>
            <w:tcW w:w="1008" w:type="dxa"/>
            <w:tcBorders>
              <w:top w:val="single" w:sz="4" w:space="0" w:color="auto"/>
              <w:bottom w:val="single" w:sz="4" w:space="0" w:color="auto"/>
            </w:tcBorders>
          </w:tcPr>
          <w:p>
            <w:pPr>
              <w:pStyle w:val="yTableNAm"/>
            </w:pPr>
            <w:r>
              <w:rPr>
                <w:b/>
              </w:rPr>
              <w:t>Item</w:t>
            </w:r>
          </w:p>
        </w:tc>
        <w:tc>
          <w:tcPr>
            <w:tcW w:w="3262" w:type="dxa"/>
            <w:tcBorders>
              <w:top w:val="single" w:sz="4" w:space="0" w:color="auto"/>
              <w:bottom w:val="single" w:sz="4" w:space="0" w:color="auto"/>
            </w:tcBorders>
          </w:tcPr>
          <w:p>
            <w:pPr>
              <w:pStyle w:val="yTableNAm"/>
            </w:pPr>
            <w:r>
              <w:rPr>
                <w:b/>
              </w:rPr>
              <w:t>Service</w:t>
            </w:r>
          </w:p>
        </w:tc>
        <w:tc>
          <w:tcPr>
            <w:tcW w:w="1301" w:type="dxa"/>
            <w:tcBorders>
              <w:top w:val="single" w:sz="4" w:space="0" w:color="auto"/>
              <w:bottom w:val="single" w:sz="4" w:space="0" w:color="auto"/>
            </w:tcBorders>
          </w:tcPr>
          <w:p>
            <w:pPr>
              <w:pStyle w:val="yTableNAm"/>
              <w:jc w:val="center"/>
            </w:pPr>
            <w:r>
              <w:rPr>
                <w:b/>
              </w:rPr>
              <w:t>$</w:t>
            </w:r>
          </w:p>
        </w:tc>
      </w:tr>
      <w:tr>
        <w:trPr>
          <w:cantSplit/>
        </w:trPr>
        <w:tc>
          <w:tcPr>
            <w:tcW w:w="1008" w:type="dxa"/>
          </w:tcPr>
          <w:p>
            <w:pPr>
              <w:pStyle w:val="yTableNAm"/>
            </w:pPr>
            <w:r>
              <w:t>1.</w:t>
            </w:r>
          </w:p>
        </w:tc>
        <w:tc>
          <w:tcPr>
            <w:tcW w:w="3262" w:type="dxa"/>
          </w:tcPr>
          <w:p>
            <w:pPr>
              <w:pStyle w:val="yTableNAm"/>
            </w:pPr>
            <w:r>
              <w:t xml:space="preserve">Use of slip, per day, for a vessel that is — </w:t>
            </w:r>
          </w:p>
        </w:tc>
        <w:tc>
          <w:tcPr>
            <w:tcW w:w="1301" w:type="dxa"/>
          </w:tcPr>
          <w:p>
            <w:pPr>
              <w:pStyle w:val="yTableNAm"/>
              <w:jc w:val="center"/>
            </w:pPr>
          </w:p>
        </w:tc>
      </w:tr>
      <w:tr>
        <w:trPr>
          <w:cantSplit/>
        </w:trPr>
        <w:tc>
          <w:tcPr>
            <w:tcW w:w="1008" w:type="dxa"/>
          </w:tcPr>
          <w:p>
            <w:pPr>
              <w:pStyle w:val="zyTableNAm"/>
            </w:pPr>
          </w:p>
        </w:tc>
        <w:tc>
          <w:tcPr>
            <w:tcW w:w="3262" w:type="dxa"/>
          </w:tcPr>
          <w:p>
            <w:pPr>
              <w:pStyle w:val="yTableNAm"/>
              <w:tabs>
                <w:tab w:val="clear" w:pos="567"/>
              </w:tabs>
              <w:ind w:left="226" w:hanging="226"/>
            </w:pPr>
            <w:r>
              <w:t>•</w:t>
            </w:r>
            <w:r>
              <w:tab/>
              <w:t>not over 15 m long</w:t>
            </w:r>
          </w:p>
        </w:tc>
        <w:tc>
          <w:tcPr>
            <w:tcW w:w="1301" w:type="dxa"/>
            <w:vAlign w:val="bottom"/>
          </w:tcPr>
          <w:p>
            <w:pPr>
              <w:pStyle w:val="yTableNAm"/>
              <w:jc w:val="center"/>
            </w:pPr>
            <w:r>
              <w:rPr>
                <w:szCs w:val="22"/>
              </w:rPr>
              <w:t>145.98</w:t>
            </w:r>
          </w:p>
        </w:tc>
      </w:tr>
      <w:tr>
        <w:trPr>
          <w:cantSplit/>
        </w:trPr>
        <w:tc>
          <w:tcPr>
            <w:tcW w:w="1008" w:type="dxa"/>
          </w:tcPr>
          <w:p>
            <w:pPr>
              <w:pStyle w:val="zyTableNAm"/>
            </w:pPr>
          </w:p>
        </w:tc>
        <w:tc>
          <w:tcPr>
            <w:tcW w:w="3262" w:type="dxa"/>
          </w:tcPr>
          <w:p>
            <w:pPr>
              <w:pStyle w:val="yTableNAm"/>
              <w:tabs>
                <w:tab w:val="clear" w:pos="567"/>
              </w:tabs>
              <w:ind w:left="226" w:hanging="226"/>
            </w:pPr>
            <w:r>
              <w:t>•</w:t>
            </w:r>
            <w:r>
              <w:tab/>
              <w:t>over 15 m long</w:t>
            </w:r>
          </w:p>
        </w:tc>
        <w:tc>
          <w:tcPr>
            <w:tcW w:w="1301" w:type="dxa"/>
            <w:vAlign w:val="bottom"/>
          </w:tcPr>
          <w:p>
            <w:pPr>
              <w:pStyle w:val="yTableNAm"/>
              <w:jc w:val="center"/>
            </w:pPr>
            <w:r>
              <w:rPr>
                <w:szCs w:val="22"/>
              </w:rPr>
              <w:t>212.65</w:t>
            </w:r>
          </w:p>
        </w:tc>
      </w:tr>
      <w:tr>
        <w:trPr>
          <w:cantSplit/>
        </w:trPr>
        <w:tc>
          <w:tcPr>
            <w:tcW w:w="1008" w:type="dxa"/>
            <w:tcBorders>
              <w:bottom w:val="single" w:sz="4" w:space="0" w:color="auto"/>
            </w:tcBorders>
          </w:tcPr>
          <w:p>
            <w:pPr>
              <w:pStyle w:val="yTableNAm"/>
            </w:pPr>
            <w:r>
              <w:t>2.</w:t>
            </w:r>
          </w:p>
        </w:tc>
        <w:tc>
          <w:tcPr>
            <w:tcW w:w="3262" w:type="dxa"/>
            <w:tcBorders>
              <w:bottom w:val="single" w:sz="4" w:space="0" w:color="auto"/>
            </w:tcBorders>
          </w:tcPr>
          <w:p>
            <w:pPr>
              <w:pStyle w:val="yTableNAm"/>
            </w:pPr>
            <w:r>
              <w:t>Haulage, for each haul up or down</w:t>
            </w:r>
          </w:p>
        </w:tc>
        <w:tc>
          <w:tcPr>
            <w:tcW w:w="1301" w:type="dxa"/>
            <w:tcBorders>
              <w:bottom w:val="single" w:sz="4" w:space="0" w:color="auto"/>
            </w:tcBorders>
            <w:vAlign w:val="bottom"/>
          </w:tcPr>
          <w:p>
            <w:pPr>
              <w:pStyle w:val="yTableNAm"/>
              <w:jc w:val="center"/>
            </w:pPr>
            <w:r>
              <w:rPr>
                <w:szCs w:val="22"/>
              </w:rPr>
              <w:t>178.38</w:t>
            </w:r>
          </w:p>
        </w:tc>
      </w:tr>
    </w:tbl>
    <w:p>
      <w:pPr>
        <w:pStyle w:val="ySubsection"/>
      </w:pPr>
      <w:r>
        <w:tab/>
        <w:t>(7)</w:t>
      </w:r>
      <w:r>
        <w:tab/>
        <w:t>The charges to be paid under regulation 105I are set out in Table 25.6.</w:t>
      </w:r>
    </w:p>
    <w:p>
      <w:pPr>
        <w:pStyle w:val="yTHeadingNAm"/>
      </w:pPr>
      <w:r>
        <w:t>Table 25.6 (Weighbridge use)</w:t>
      </w:r>
    </w:p>
    <w:tbl>
      <w:tblPr>
        <w:tblW w:w="5599" w:type="dxa"/>
        <w:tblInd w:w="1051" w:type="dxa"/>
        <w:tblLayout w:type="fixed"/>
        <w:tblCellMar>
          <w:top w:w="57" w:type="dxa"/>
          <w:left w:w="57" w:type="dxa"/>
          <w:right w:w="57" w:type="dxa"/>
        </w:tblCellMar>
        <w:tblLook w:val="0000" w:firstRow="0" w:lastRow="0" w:firstColumn="0" w:lastColumn="0" w:noHBand="0" w:noVBand="0"/>
      </w:tblPr>
      <w:tblGrid>
        <w:gridCol w:w="630"/>
        <w:gridCol w:w="3654"/>
        <w:gridCol w:w="1315"/>
      </w:tblGrid>
      <w:tr>
        <w:trPr>
          <w:cantSplit/>
          <w:tblHeader/>
        </w:trPr>
        <w:tc>
          <w:tcPr>
            <w:tcW w:w="630" w:type="dxa"/>
            <w:tcBorders>
              <w:top w:val="single" w:sz="4" w:space="0" w:color="auto"/>
              <w:bottom w:val="single" w:sz="4" w:space="0" w:color="auto"/>
            </w:tcBorders>
          </w:tcPr>
          <w:p>
            <w:pPr>
              <w:pStyle w:val="yTableNAm"/>
            </w:pPr>
            <w:r>
              <w:rPr>
                <w:b/>
              </w:rPr>
              <w:t>Item</w:t>
            </w:r>
          </w:p>
        </w:tc>
        <w:tc>
          <w:tcPr>
            <w:tcW w:w="3654" w:type="dxa"/>
            <w:tcBorders>
              <w:top w:val="single" w:sz="4" w:space="0" w:color="auto"/>
              <w:bottom w:val="single" w:sz="4" w:space="0" w:color="auto"/>
            </w:tcBorders>
          </w:tcPr>
          <w:p>
            <w:pPr>
              <w:pStyle w:val="yTableNAm"/>
            </w:pPr>
            <w:r>
              <w:rPr>
                <w:b/>
              </w:rPr>
              <w:t>Service</w:t>
            </w:r>
          </w:p>
        </w:tc>
        <w:tc>
          <w:tcPr>
            <w:tcW w:w="1315"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3654" w:type="dxa"/>
          </w:tcPr>
          <w:p>
            <w:pPr>
              <w:pStyle w:val="yTableNAm"/>
            </w:pPr>
            <w:r>
              <w:t xml:space="preserve">Use of weighbridge — </w:t>
            </w:r>
          </w:p>
        </w:tc>
        <w:tc>
          <w:tcPr>
            <w:tcW w:w="1315" w:type="dxa"/>
          </w:tcPr>
          <w:p>
            <w:pPr>
              <w:pStyle w:val="yTableNAm"/>
              <w:jc w:val="center"/>
            </w:pPr>
          </w:p>
        </w:tc>
      </w:tr>
      <w:tr>
        <w:trPr>
          <w:cantSplit/>
        </w:trPr>
        <w:tc>
          <w:tcPr>
            <w:tcW w:w="630" w:type="dxa"/>
          </w:tcPr>
          <w:p>
            <w:pPr>
              <w:pStyle w:val="zyTableNAm"/>
            </w:pPr>
          </w:p>
        </w:tc>
        <w:tc>
          <w:tcPr>
            <w:tcW w:w="3654" w:type="dxa"/>
          </w:tcPr>
          <w:p>
            <w:pPr>
              <w:pStyle w:val="yTableNAm"/>
              <w:tabs>
                <w:tab w:val="clear" w:pos="567"/>
              </w:tabs>
              <w:ind w:left="226" w:hanging="226"/>
            </w:pPr>
            <w:r>
              <w:t>•</w:t>
            </w:r>
            <w:r>
              <w:tab/>
              <w:t>for not over 10 t</w:t>
            </w:r>
          </w:p>
        </w:tc>
        <w:tc>
          <w:tcPr>
            <w:tcW w:w="1315" w:type="dxa"/>
            <w:vAlign w:val="bottom"/>
          </w:tcPr>
          <w:p>
            <w:pPr>
              <w:pStyle w:val="yTableNAm"/>
              <w:jc w:val="center"/>
            </w:pPr>
            <w:r>
              <w:rPr>
                <w:szCs w:val="22"/>
              </w:rPr>
              <w:t>13.59</w:t>
            </w:r>
          </w:p>
        </w:tc>
      </w:tr>
      <w:tr>
        <w:trPr>
          <w:cantSplit/>
        </w:trPr>
        <w:tc>
          <w:tcPr>
            <w:tcW w:w="630" w:type="dxa"/>
          </w:tcPr>
          <w:p>
            <w:pPr>
              <w:pStyle w:val="zyTableNAm"/>
            </w:pPr>
          </w:p>
        </w:tc>
        <w:tc>
          <w:tcPr>
            <w:tcW w:w="3654" w:type="dxa"/>
          </w:tcPr>
          <w:p>
            <w:pPr>
              <w:pStyle w:val="yTableNAm"/>
              <w:tabs>
                <w:tab w:val="clear" w:pos="567"/>
              </w:tabs>
              <w:ind w:left="226" w:hanging="226"/>
            </w:pPr>
            <w:r>
              <w:t>•</w:t>
            </w:r>
            <w:r>
              <w:tab/>
              <w:t>for over 10 t but not over 30 t</w:t>
            </w:r>
          </w:p>
        </w:tc>
        <w:tc>
          <w:tcPr>
            <w:tcW w:w="1315" w:type="dxa"/>
            <w:vAlign w:val="bottom"/>
          </w:tcPr>
          <w:p>
            <w:pPr>
              <w:pStyle w:val="yTableNAm"/>
              <w:jc w:val="center"/>
            </w:pPr>
            <w:r>
              <w:rPr>
                <w:szCs w:val="22"/>
              </w:rPr>
              <w:t>15.47</w:t>
            </w:r>
          </w:p>
        </w:tc>
      </w:tr>
      <w:tr>
        <w:trPr>
          <w:cantSplit/>
        </w:trPr>
        <w:tc>
          <w:tcPr>
            <w:tcW w:w="630" w:type="dxa"/>
            <w:tcBorders>
              <w:bottom w:val="single" w:sz="4" w:space="0" w:color="auto"/>
            </w:tcBorders>
          </w:tcPr>
          <w:p>
            <w:pPr>
              <w:pStyle w:val="zyTableNAm"/>
            </w:pPr>
          </w:p>
        </w:tc>
        <w:tc>
          <w:tcPr>
            <w:tcW w:w="3654" w:type="dxa"/>
            <w:tcBorders>
              <w:bottom w:val="single" w:sz="4" w:space="0" w:color="auto"/>
            </w:tcBorders>
          </w:tcPr>
          <w:p>
            <w:pPr>
              <w:pStyle w:val="yTableNAm"/>
              <w:tabs>
                <w:tab w:val="clear" w:pos="567"/>
              </w:tabs>
              <w:ind w:left="226" w:hanging="226"/>
            </w:pPr>
            <w:r>
              <w:t>•</w:t>
            </w:r>
            <w:r>
              <w:tab/>
              <w:t>for over 30 t</w:t>
            </w:r>
          </w:p>
        </w:tc>
        <w:tc>
          <w:tcPr>
            <w:tcW w:w="1315" w:type="dxa"/>
            <w:tcBorders>
              <w:bottom w:val="single" w:sz="4" w:space="0" w:color="auto"/>
            </w:tcBorders>
            <w:vAlign w:val="bottom"/>
          </w:tcPr>
          <w:p>
            <w:pPr>
              <w:pStyle w:val="yTableNAm"/>
              <w:jc w:val="center"/>
            </w:pPr>
            <w:r>
              <w:rPr>
                <w:szCs w:val="22"/>
              </w:rPr>
              <w:t>19.31</w:t>
            </w:r>
          </w:p>
        </w:tc>
      </w:tr>
    </w:tbl>
    <w:p>
      <w:pPr>
        <w:pStyle w:val="ySubsection"/>
      </w:pPr>
      <w:r>
        <w:tab/>
        <w:t>(8)</w:t>
      </w:r>
      <w:r>
        <w:tab/>
        <w:t>The charge for lighting, per hour or part of an hour, is set out in Table 25.7.</w:t>
      </w:r>
    </w:p>
    <w:p>
      <w:pPr>
        <w:pStyle w:val="yTHeadingNAm"/>
        <w:keepLines/>
        <w:widowControl w:val="0"/>
      </w:pPr>
      <w:r>
        <w:t>Table 25.7 (Lighting)</w:t>
      </w:r>
    </w:p>
    <w:tbl>
      <w:tblPr>
        <w:tblW w:w="5613" w:type="dxa"/>
        <w:tblInd w:w="1051" w:type="dxa"/>
        <w:tblLayout w:type="fixed"/>
        <w:tblCellMar>
          <w:top w:w="57" w:type="dxa"/>
          <w:left w:w="57" w:type="dxa"/>
          <w:right w:w="57" w:type="dxa"/>
        </w:tblCellMar>
        <w:tblLook w:val="0000" w:firstRow="0" w:lastRow="0" w:firstColumn="0" w:lastColumn="0" w:noHBand="0" w:noVBand="0"/>
      </w:tblPr>
      <w:tblGrid>
        <w:gridCol w:w="658"/>
        <w:gridCol w:w="3640"/>
        <w:gridCol w:w="1315"/>
      </w:tblGrid>
      <w:tr>
        <w:trPr>
          <w:cantSplit/>
          <w:tblHeader/>
        </w:trPr>
        <w:tc>
          <w:tcPr>
            <w:tcW w:w="658" w:type="dxa"/>
            <w:tcBorders>
              <w:top w:val="single" w:sz="4" w:space="0" w:color="auto"/>
              <w:bottom w:val="single" w:sz="4" w:space="0" w:color="auto"/>
            </w:tcBorders>
          </w:tcPr>
          <w:p>
            <w:pPr>
              <w:pStyle w:val="yTableNAm"/>
              <w:keepNext/>
              <w:keepLines/>
              <w:widowControl w:val="0"/>
            </w:pPr>
            <w:r>
              <w:rPr>
                <w:b/>
              </w:rPr>
              <w:t>Item</w:t>
            </w:r>
          </w:p>
        </w:tc>
        <w:tc>
          <w:tcPr>
            <w:tcW w:w="3640" w:type="dxa"/>
            <w:tcBorders>
              <w:top w:val="single" w:sz="4" w:space="0" w:color="auto"/>
              <w:bottom w:val="single" w:sz="4" w:space="0" w:color="auto"/>
            </w:tcBorders>
          </w:tcPr>
          <w:p>
            <w:pPr>
              <w:pStyle w:val="yTableNAm"/>
              <w:keepNext/>
              <w:keepLines/>
              <w:widowControl w:val="0"/>
            </w:pPr>
            <w:r>
              <w:rPr>
                <w:b/>
              </w:rPr>
              <w:t>Service</w:t>
            </w:r>
          </w:p>
        </w:tc>
        <w:tc>
          <w:tcPr>
            <w:tcW w:w="1315" w:type="dxa"/>
            <w:tcBorders>
              <w:top w:val="single" w:sz="4" w:space="0" w:color="auto"/>
              <w:bottom w:val="single" w:sz="4" w:space="0" w:color="auto"/>
            </w:tcBorders>
          </w:tcPr>
          <w:p>
            <w:pPr>
              <w:pStyle w:val="yTableNAm"/>
              <w:keepNext/>
              <w:keepLines/>
              <w:widowControl w:val="0"/>
              <w:jc w:val="center"/>
            </w:pPr>
            <w:r>
              <w:rPr>
                <w:b/>
              </w:rPr>
              <w:t>$</w:t>
            </w:r>
          </w:p>
        </w:tc>
      </w:tr>
      <w:tr>
        <w:trPr>
          <w:cantSplit/>
        </w:trPr>
        <w:tc>
          <w:tcPr>
            <w:tcW w:w="658" w:type="dxa"/>
          </w:tcPr>
          <w:p>
            <w:pPr>
              <w:pStyle w:val="yTableNAm"/>
              <w:keepNext/>
              <w:keepLines/>
              <w:widowControl w:val="0"/>
            </w:pPr>
            <w:r>
              <w:t>1.</w:t>
            </w:r>
          </w:p>
        </w:tc>
        <w:tc>
          <w:tcPr>
            <w:tcW w:w="3640" w:type="dxa"/>
          </w:tcPr>
          <w:p>
            <w:pPr>
              <w:pStyle w:val="yTableNAm"/>
              <w:keepNext/>
              <w:keepLines/>
              <w:widowControl w:val="0"/>
            </w:pPr>
            <w:r>
              <w:t>For jetty, shed and yard</w:t>
            </w:r>
          </w:p>
        </w:tc>
        <w:tc>
          <w:tcPr>
            <w:tcW w:w="1315" w:type="dxa"/>
            <w:vAlign w:val="bottom"/>
          </w:tcPr>
          <w:p>
            <w:pPr>
              <w:pStyle w:val="yTableNAm"/>
              <w:keepNext/>
              <w:keepLines/>
              <w:widowControl w:val="0"/>
              <w:jc w:val="center"/>
            </w:pPr>
            <w:r>
              <w:rPr>
                <w:szCs w:val="22"/>
              </w:rPr>
              <w:t>32.78</w:t>
            </w:r>
          </w:p>
        </w:tc>
      </w:tr>
      <w:tr>
        <w:trPr>
          <w:cantSplit/>
        </w:trPr>
        <w:tc>
          <w:tcPr>
            <w:tcW w:w="658" w:type="dxa"/>
          </w:tcPr>
          <w:p>
            <w:pPr>
              <w:pStyle w:val="yTableNAm"/>
            </w:pPr>
            <w:r>
              <w:t>2.</w:t>
            </w:r>
          </w:p>
        </w:tc>
        <w:tc>
          <w:tcPr>
            <w:tcW w:w="3640" w:type="dxa"/>
          </w:tcPr>
          <w:p>
            <w:pPr>
              <w:pStyle w:val="yTableNAm"/>
            </w:pPr>
            <w:r>
              <w:t>For jetty only</w:t>
            </w:r>
          </w:p>
        </w:tc>
        <w:tc>
          <w:tcPr>
            <w:tcW w:w="1315" w:type="dxa"/>
            <w:vAlign w:val="bottom"/>
          </w:tcPr>
          <w:p>
            <w:pPr>
              <w:pStyle w:val="yTableNAm"/>
              <w:jc w:val="center"/>
            </w:pPr>
            <w:r>
              <w:rPr>
                <w:szCs w:val="22"/>
              </w:rPr>
              <w:t>10.53</w:t>
            </w:r>
          </w:p>
        </w:tc>
      </w:tr>
      <w:tr>
        <w:trPr>
          <w:cantSplit/>
        </w:trPr>
        <w:tc>
          <w:tcPr>
            <w:tcW w:w="658" w:type="dxa"/>
            <w:tcBorders>
              <w:bottom w:val="single" w:sz="4" w:space="0" w:color="auto"/>
            </w:tcBorders>
          </w:tcPr>
          <w:p>
            <w:pPr>
              <w:pStyle w:val="yTableNAm"/>
            </w:pPr>
            <w:r>
              <w:t>3.</w:t>
            </w:r>
          </w:p>
        </w:tc>
        <w:tc>
          <w:tcPr>
            <w:tcW w:w="3640" w:type="dxa"/>
            <w:tcBorders>
              <w:bottom w:val="single" w:sz="4" w:space="0" w:color="auto"/>
            </w:tcBorders>
          </w:tcPr>
          <w:p>
            <w:pPr>
              <w:pStyle w:val="yTableNAm"/>
            </w:pPr>
            <w:r>
              <w:t>For reduced lighting</w:t>
            </w:r>
          </w:p>
        </w:tc>
        <w:tc>
          <w:tcPr>
            <w:tcW w:w="1315" w:type="dxa"/>
            <w:tcBorders>
              <w:bottom w:val="single" w:sz="4" w:space="0" w:color="auto"/>
            </w:tcBorders>
            <w:vAlign w:val="bottom"/>
          </w:tcPr>
          <w:p>
            <w:pPr>
              <w:pStyle w:val="yTableNAm"/>
              <w:jc w:val="center"/>
            </w:pPr>
            <w:r>
              <w:rPr>
                <w:szCs w:val="22"/>
              </w:rPr>
              <w:t>3.47</w:t>
            </w:r>
          </w:p>
        </w:tc>
      </w:tr>
    </w:tbl>
    <w:p>
      <w:pPr>
        <w:pStyle w:val="yFootnotesection"/>
      </w:pPr>
      <w:bookmarkStart w:id="254" w:name="_Toc402878945"/>
      <w:bookmarkStart w:id="255" w:name="_Toc402879132"/>
      <w:r>
        <w:tab/>
        <w:t>[Clause 25 inserted in Gazette 22 Jul 2015 p. 2981</w:t>
      </w:r>
      <w:r>
        <w:noBreakHyphen/>
        <w:t>5.]</w:t>
      </w:r>
    </w:p>
    <w:p>
      <w:pPr>
        <w:pStyle w:val="yHeading3"/>
      </w:pPr>
      <w:bookmarkStart w:id="256" w:name="_Toc425337638"/>
      <w:bookmarkStart w:id="257" w:name="_Toc425337901"/>
      <w:bookmarkStart w:id="258" w:name="_Toc425338100"/>
      <w:r>
        <w:rPr>
          <w:rStyle w:val="CharSDivNo"/>
        </w:rPr>
        <w:t>Division 2</w:t>
      </w:r>
      <w:r>
        <w:rPr>
          <w:b w:val="0"/>
        </w:rPr>
        <w:t> — </w:t>
      </w:r>
      <w:r>
        <w:rPr>
          <w:rStyle w:val="CharSDivText"/>
        </w:rPr>
        <w:t>State</w:t>
      </w:r>
      <w:r>
        <w:rPr>
          <w:rStyle w:val="CharSDivText"/>
        </w:rPr>
        <w:noBreakHyphen/>
        <w:t>wide charges</w:t>
      </w:r>
      <w:bookmarkEnd w:id="256"/>
      <w:bookmarkEnd w:id="257"/>
      <w:bookmarkEnd w:id="258"/>
    </w:p>
    <w:p>
      <w:pPr>
        <w:pStyle w:val="yFootnoteheading"/>
      </w:pPr>
      <w:r>
        <w:tab/>
        <w:t>[Heading inserted in Gazette 22 Jul 2015 p. 2985.]</w:t>
      </w:r>
    </w:p>
    <w:p>
      <w:pPr>
        <w:pStyle w:val="yHeading5"/>
      </w:pPr>
      <w:bookmarkStart w:id="259" w:name="_Toc402879133"/>
      <w:bookmarkStart w:id="260" w:name="_Toc425338101"/>
      <w:bookmarkEnd w:id="254"/>
      <w:bookmarkEnd w:id="255"/>
      <w:r>
        <w:rPr>
          <w:rStyle w:val="CharSClsNo"/>
        </w:rPr>
        <w:t>26</w:t>
      </w:r>
      <w:r>
        <w:t>.</w:t>
      </w:r>
      <w:r>
        <w:tab/>
        <w:t>Living on a vessel</w:t>
      </w:r>
      <w:bookmarkEnd w:id="259"/>
      <w:bookmarkEnd w:id="260"/>
    </w:p>
    <w:p>
      <w:pPr>
        <w:pStyle w:val="ySubsection"/>
      </w:pPr>
      <w:r>
        <w:tab/>
        <w:t>(1)</w:t>
      </w:r>
      <w:r>
        <w:tab/>
        <w:t xml:space="preserve">In this regulation — </w:t>
      </w:r>
    </w:p>
    <w:p>
      <w:pPr>
        <w:pStyle w:val="yDefstart"/>
      </w:pPr>
      <w:r>
        <w:tab/>
      </w:r>
      <w:r>
        <w:rPr>
          <w:rStyle w:val="CharDefText"/>
        </w:rPr>
        <w:t>enhanced facilities</w:t>
      </w:r>
      <w:r>
        <w:t xml:space="preserve"> </w:t>
      </w:r>
      <w:r>
        <w:rPr>
          <w:szCs w:val="22"/>
        </w:rPr>
        <w:t>means toilet, shower and laundry facilities.</w:t>
      </w:r>
    </w:p>
    <w:p>
      <w:pPr>
        <w:pStyle w:val="ySubsection"/>
      </w:pPr>
      <w:r>
        <w:tab/>
        <w:t>(2)</w:t>
      </w:r>
      <w:r>
        <w:tab/>
        <w:t>The charges relating to living on a vessel in a place are set out in Table 26.1.</w:t>
      </w:r>
    </w:p>
    <w:p>
      <w:pPr>
        <w:pStyle w:val="yTHeadingNAm"/>
      </w:pPr>
      <w:r>
        <w:t>Table 26.1 (Living on a vessel)</w:t>
      </w:r>
    </w:p>
    <w:tbl>
      <w:tblPr>
        <w:tblW w:w="5613" w:type="dxa"/>
        <w:tblInd w:w="1065" w:type="dxa"/>
        <w:tblLayout w:type="fixed"/>
        <w:tblCellMar>
          <w:top w:w="57" w:type="dxa"/>
          <w:left w:w="57" w:type="dxa"/>
          <w:right w:w="57" w:type="dxa"/>
        </w:tblCellMar>
        <w:tblLook w:val="0000" w:firstRow="0" w:lastRow="0" w:firstColumn="0" w:lastColumn="0" w:noHBand="0" w:noVBand="0"/>
      </w:tblPr>
      <w:tblGrid>
        <w:gridCol w:w="658"/>
        <w:gridCol w:w="3640"/>
        <w:gridCol w:w="1315"/>
      </w:tblGrid>
      <w:tr>
        <w:trPr>
          <w:cantSplit/>
          <w:tblHeader/>
        </w:trPr>
        <w:tc>
          <w:tcPr>
            <w:tcW w:w="658" w:type="dxa"/>
            <w:tcBorders>
              <w:top w:val="single" w:sz="4" w:space="0" w:color="auto"/>
              <w:bottom w:val="single" w:sz="4" w:space="0" w:color="auto"/>
            </w:tcBorders>
          </w:tcPr>
          <w:p>
            <w:pPr>
              <w:pStyle w:val="yTableNAm"/>
            </w:pPr>
            <w:r>
              <w:rPr>
                <w:b/>
              </w:rPr>
              <w:t>Item</w:t>
            </w:r>
          </w:p>
        </w:tc>
        <w:tc>
          <w:tcPr>
            <w:tcW w:w="3640" w:type="dxa"/>
            <w:tcBorders>
              <w:top w:val="single" w:sz="4" w:space="0" w:color="auto"/>
              <w:bottom w:val="single" w:sz="4" w:space="0" w:color="auto"/>
            </w:tcBorders>
          </w:tcPr>
          <w:p>
            <w:pPr>
              <w:pStyle w:val="yTableNAm"/>
            </w:pPr>
            <w:r>
              <w:rPr>
                <w:b/>
              </w:rPr>
              <w:t>Service</w:t>
            </w:r>
          </w:p>
        </w:tc>
        <w:tc>
          <w:tcPr>
            <w:tcW w:w="1315" w:type="dxa"/>
            <w:tcBorders>
              <w:top w:val="single" w:sz="4" w:space="0" w:color="auto"/>
              <w:bottom w:val="single" w:sz="4" w:space="0" w:color="auto"/>
            </w:tcBorders>
          </w:tcPr>
          <w:p>
            <w:pPr>
              <w:pStyle w:val="yTableNAm"/>
              <w:jc w:val="center"/>
            </w:pPr>
            <w:r>
              <w:rPr>
                <w:b/>
              </w:rPr>
              <w:t>$</w:t>
            </w:r>
          </w:p>
        </w:tc>
      </w:tr>
      <w:tr>
        <w:trPr>
          <w:cantSplit/>
        </w:trPr>
        <w:tc>
          <w:tcPr>
            <w:tcW w:w="658" w:type="dxa"/>
          </w:tcPr>
          <w:p>
            <w:pPr>
              <w:pStyle w:val="yTableNAm"/>
            </w:pPr>
            <w:r>
              <w:t>1.</w:t>
            </w:r>
          </w:p>
        </w:tc>
        <w:tc>
          <w:tcPr>
            <w:tcW w:w="3640" w:type="dxa"/>
          </w:tcPr>
          <w:p>
            <w:pPr>
              <w:pStyle w:val="yTableNAm"/>
            </w:pPr>
            <w:r>
              <w:t xml:space="preserve">For living on board a vessel — </w:t>
            </w:r>
          </w:p>
        </w:tc>
        <w:tc>
          <w:tcPr>
            <w:tcW w:w="1315" w:type="dxa"/>
          </w:tcPr>
          <w:p>
            <w:pPr>
              <w:pStyle w:val="yTableNAm"/>
              <w:jc w:val="center"/>
            </w:pPr>
          </w:p>
        </w:tc>
      </w:tr>
      <w:tr>
        <w:trPr>
          <w:cantSplit/>
        </w:trPr>
        <w:tc>
          <w:tcPr>
            <w:tcW w:w="658" w:type="dxa"/>
          </w:tcPr>
          <w:p>
            <w:pPr>
              <w:pStyle w:val="zyTableNAm"/>
            </w:pPr>
          </w:p>
        </w:tc>
        <w:tc>
          <w:tcPr>
            <w:tcW w:w="3640" w:type="dxa"/>
          </w:tcPr>
          <w:p>
            <w:pPr>
              <w:pStyle w:val="yTableNAm"/>
              <w:tabs>
                <w:tab w:val="clear" w:pos="567"/>
              </w:tabs>
              <w:ind w:left="226" w:hanging="226"/>
            </w:pPr>
            <w:r>
              <w:t>•</w:t>
            </w:r>
            <w:r>
              <w:tab/>
              <w:t>without enhanced facilities, an amount calculated at the monthly rate per vessel, of</w:t>
            </w:r>
          </w:p>
        </w:tc>
        <w:tc>
          <w:tcPr>
            <w:tcW w:w="1315" w:type="dxa"/>
          </w:tcPr>
          <w:p>
            <w:pPr>
              <w:pStyle w:val="yTableNAm"/>
              <w:jc w:val="center"/>
            </w:pPr>
            <w:r>
              <w:br/>
            </w:r>
            <w:r>
              <w:br/>
              <w:t>45.16</w:t>
            </w:r>
          </w:p>
        </w:tc>
      </w:tr>
      <w:tr>
        <w:trPr>
          <w:cantSplit/>
        </w:trPr>
        <w:tc>
          <w:tcPr>
            <w:tcW w:w="658" w:type="dxa"/>
            <w:tcBorders>
              <w:bottom w:val="single" w:sz="4" w:space="0" w:color="auto"/>
            </w:tcBorders>
          </w:tcPr>
          <w:p>
            <w:pPr>
              <w:pStyle w:val="zyTableNAm"/>
            </w:pPr>
          </w:p>
        </w:tc>
        <w:tc>
          <w:tcPr>
            <w:tcW w:w="3640" w:type="dxa"/>
            <w:tcBorders>
              <w:bottom w:val="single" w:sz="4" w:space="0" w:color="auto"/>
            </w:tcBorders>
          </w:tcPr>
          <w:p>
            <w:pPr>
              <w:pStyle w:val="yTableNAm"/>
              <w:tabs>
                <w:tab w:val="clear" w:pos="567"/>
              </w:tabs>
              <w:ind w:left="226" w:hanging="226"/>
            </w:pPr>
            <w:r>
              <w:t>•</w:t>
            </w:r>
            <w:r>
              <w:tab/>
              <w:t>with enhanced facilities, an amount calculated at the monthly rate per vessel, of</w:t>
            </w:r>
          </w:p>
        </w:tc>
        <w:tc>
          <w:tcPr>
            <w:tcW w:w="1315" w:type="dxa"/>
            <w:tcBorders>
              <w:bottom w:val="single" w:sz="4" w:space="0" w:color="auto"/>
            </w:tcBorders>
          </w:tcPr>
          <w:p>
            <w:pPr>
              <w:pStyle w:val="yTableNAm"/>
              <w:jc w:val="center"/>
            </w:pPr>
            <w:r>
              <w:br/>
            </w:r>
            <w:r>
              <w:br/>
              <w:t>137.31</w:t>
            </w:r>
          </w:p>
        </w:tc>
      </w:tr>
    </w:tbl>
    <w:p>
      <w:pPr>
        <w:pStyle w:val="yFootnotesection"/>
      </w:pPr>
      <w:bookmarkStart w:id="261" w:name="_Toc402879134"/>
      <w:r>
        <w:tab/>
        <w:t>[Clause 26 inserted in Gazette 22 Jul 2015 p. 2985.]</w:t>
      </w:r>
    </w:p>
    <w:p>
      <w:pPr>
        <w:pStyle w:val="yHeading5"/>
      </w:pPr>
      <w:bookmarkStart w:id="262" w:name="_Toc425338102"/>
      <w:r>
        <w:rPr>
          <w:rStyle w:val="CharSClsNo"/>
        </w:rPr>
        <w:t>27</w:t>
      </w:r>
      <w:r>
        <w:t>.</w:t>
      </w:r>
      <w:r>
        <w:tab/>
        <w:t>Electricity supply</w:t>
      </w:r>
      <w:bookmarkEnd w:id="261"/>
      <w:bookmarkEnd w:id="262"/>
    </w:p>
    <w:p>
      <w:pPr>
        <w:pStyle w:val="ySubsection"/>
      </w:pPr>
      <w:r>
        <w:tab/>
      </w:r>
      <w:r>
        <w:tab/>
        <w:t>The charges for electricity supply to a vessel in a place are set out in Table 27.1.</w:t>
      </w:r>
    </w:p>
    <w:p>
      <w:pPr>
        <w:pStyle w:val="yTHeadingNAm"/>
      </w:pPr>
      <w:r>
        <w:t>Table 27.1 (Electricity supply)</w:t>
      </w:r>
    </w:p>
    <w:tbl>
      <w:tblPr>
        <w:tblW w:w="5613" w:type="dxa"/>
        <w:tblInd w:w="1065" w:type="dxa"/>
        <w:tblLayout w:type="fixed"/>
        <w:tblCellMar>
          <w:top w:w="57" w:type="dxa"/>
          <w:left w:w="57" w:type="dxa"/>
          <w:right w:w="57" w:type="dxa"/>
        </w:tblCellMar>
        <w:tblLook w:val="0000" w:firstRow="0" w:lastRow="0" w:firstColumn="0" w:lastColumn="0" w:noHBand="0" w:noVBand="0"/>
      </w:tblPr>
      <w:tblGrid>
        <w:gridCol w:w="672"/>
        <w:gridCol w:w="3626"/>
        <w:gridCol w:w="1315"/>
      </w:tblGrid>
      <w:tr>
        <w:trPr>
          <w:cantSplit/>
          <w:tblHeader/>
        </w:trPr>
        <w:tc>
          <w:tcPr>
            <w:tcW w:w="672" w:type="dxa"/>
            <w:tcBorders>
              <w:top w:val="single" w:sz="4" w:space="0" w:color="auto"/>
              <w:bottom w:val="single" w:sz="4" w:space="0" w:color="auto"/>
            </w:tcBorders>
          </w:tcPr>
          <w:p>
            <w:pPr>
              <w:pStyle w:val="yTableNAm"/>
            </w:pPr>
            <w:r>
              <w:rPr>
                <w:b/>
              </w:rPr>
              <w:t>Item</w:t>
            </w:r>
          </w:p>
        </w:tc>
        <w:tc>
          <w:tcPr>
            <w:tcW w:w="3626" w:type="dxa"/>
            <w:tcBorders>
              <w:top w:val="single" w:sz="4" w:space="0" w:color="auto"/>
              <w:bottom w:val="single" w:sz="4" w:space="0" w:color="auto"/>
            </w:tcBorders>
          </w:tcPr>
          <w:p>
            <w:pPr>
              <w:pStyle w:val="yTableNAm"/>
            </w:pPr>
            <w:r>
              <w:rPr>
                <w:b/>
              </w:rPr>
              <w:t>Service</w:t>
            </w:r>
          </w:p>
        </w:tc>
        <w:tc>
          <w:tcPr>
            <w:tcW w:w="1315"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3626" w:type="dxa"/>
          </w:tcPr>
          <w:p>
            <w:pPr>
              <w:pStyle w:val="yTableNAm"/>
            </w:pPr>
            <w:r>
              <w:t xml:space="preserve">For electricity supply that is — </w:t>
            </w:r>
          </w:p>
        </w:tc>
        <w:tc>
          <w:tcPr>
            <w:tcW w:w="1315" w:type="dxa"/>
          </w:tcPr>
          <w:p>
            <w:pPr>
              <w:pStyle w:val="yTableNAm"/>
              <w:jc w:val="center"/>
            </w:pPr>
          </w:p>
        </w:tc>
      </w:tr>
      <w:tr>
        <w:trPr>
          <w:cantSplit/>
        </w:trPr>
        <w:tc>
          <w:tcPr>
            <w:tcW w:w="672" w:type="dxa"/>
          </w:tcPr>
          <w:p>
            <w:pPr>
              <w:pStyle w:val="zyTableNAm"/>
              <w:keepNext/>
              <w:keepLines/>
              <w:widowControl w:val="0"/>
              <w:tabs>
                <w:tab w:val="clear" w:pos="567"/>
              </w:tabs>
            </w:pPr>
          </w:p>
        </w:tc>
        <w:tc>
          <w:tcPr>
            <w:tcW w:w="3626" w:type="dxa"/>
          </w:tcPr>
          <w:p>
            <w:pPr>
              <w:pStyle w:val="yTableNAm"/>
              <w:tabs>
                <w:tab w:val="clear" w:pos="567"/>
              </w:tabs>
              <w:ind w:left="226" w:hanging="226"/>
            </w:pPr>
            <w:r>
              <w:t>•</w:t>
            </w:r>
            <w:r>
              <w:tab/>
              <w:t>single phase (metered)</w:t>
            </w:r>
          </w:p>
        </w:tc>
        <w:tc>
          <w:tcPr>
            <w:tcW w:w="1315" w:type="dxa"/>
          </w:tcPr>
          <w:p>
            <w:pPr>
              <w:pStyle w:val="yTableNAm"/>
              <w:jc w:val="center"/>
            </w:pPr>
            <w:r>
              <w:t>cost</w:t>
            </w:r>
          </w:p>
        </w:tc>
      </w:tr>
      <w:tr>
        <w:trPr>
          <w:cantSplit/>
        </w:trPr>
        <w:tc>
          <w:tcPr>
            <w:tcW w:w="672" w:type="dxa"/>
            <w:tcBorders>
              <w:bottom w:val="single" w:sz="4" w:space="0" w:color="auto"/>
            </w:tcBorders>
          </w:tcPr>
          <w:p>
            <w:pPr>
              <w:pStyle w:val="zyTableNAm"/>
              <w:tabs>
                <w:tab w:val="clear" w:pos="567"/>
              </w:tabs>
            </w:pPr>
          </w:p>
        </w:tc>
        <w:tc>
          <w:tcPr>
            <w:tcW w:w="3626" w:type="dxa"/>
            <w:tcBorders>
              <w:bottom w:val="single" w:sz="4" w:space="0" w:color="auto"/>
            </w:tcBorders>
          </w:tcPr>
          <w:p>
            <w:pPr>
              <w:pStyle w:val="yTableNAm"/>
              <w:tabs>
                <w:tab w:val="clear" w:pos="567"/>
              </w:tabs>
              <w:ind w:left="226" w:hanging="226"/>
            </w:pPr>
            <w:r>
              <w:t>•</w:t>
            </w:r>
            <w:r>
              <w:tab/>
              <w:t>3</w:t>
            </w:r>
            <w:r>
              <w:noBreakHyphen/>
              <w:t>phase (whether metered or unmetered)</w:t>
            </w:r>
          </w:p>
        </w:tc>
        <w:tc>
          <w:tcPr>
            <w:tcW w:w="1315" w:type="dxa"/>
            <w:tcBorders>
              <w:bottom w:val="single" w:sz="4" w:space="0" w:color="auto"/>
            </w:tcBorders>
          </w:tcPr>
          <w:p>
            <w:pPr>
              <w:pStyle w:val="yTableNAm"/>
              <w:jc w:val="center"/>
            </w:pPr>
            <w:r>
              <w:t>cost</w:t>
            </w:r>
          </w:p>
        </w:tc>
      </w:tr>
    </w:tbl>
    <w:p>
      <w:pPr>
        <w:pStyle w:val="yFootnotesection"/>
      </w:pPr>
      <w:bookmarkStart w:id="263" w:name="_Toc402879135"/>
      <w:r>
        <w:tab/>
        <w:t>[Clause 27 inserted in Gazette 22 Jul 2015 p. 2986.]</w:t>
      </w:r>
    </w:p>
    <w:p>
      <w:pPr>
        <w:pStyle w:val="yHeading5"/>
      </w:pPr>
      <w:bookmarkStart w:id="264" w:name="_Toc425338103"/>
      <w:r>
        <w:rPr>
          <w:rStyle w:val="CharSClsNo"/>
        </w:rPr>
        <w:t>28</w:t>
      </w:r>
      <w:r>
        <w:t>.</w:t>
      </w:r>
      <w:r>
        <w:tab/>
        <w:t>Water supply</w:t>
      </w:r>
      <w:bookmarkEnd w:id="263"/>
      <w:bookmarkEnd w:id="264"/>
    </w:p>
    <w:p>
      <w:pPr>
        <w:pStyle w:val="ySubsection"/>
      </w:pPr>
      <w:r>
        <w:tab/>
      </w:r>
      <w:r>
        <w:tab/>
        <w:t>The charges for water supply to a vessel in a place are set out in Table 28.1.</w:t>
      </w:r>
    </w:p>
    <w:p>
      <w:pPr>
        <w:pStyle w:val="yTHeadingNAm"/>
      </w:pPr>
      <w:r>
        <w:t>Table 28.1 (Water supply)</w:t>
      </w:r>
    </w:p>
    <w:tbl>
      <w:tblPr>
        <w:tblW w:w="5599" w:type="dxa"/>
        <w:tblInd w:w="1093" w:type="dxa"/>
        <w:tblLayout w:type="fixed"/>
        <w:tblCellMar>
          <w:top w:w="57" w:type="dxa"/>
          <w:left w:w="57" w:type="dxa"/>
          <w:right w:w="57" w:type="dxa"/>
        </w:tblCellMar>
        <w:tblLook w:val="0000" w:firstRow="0" w:lastRow="0" w:firstColumn="0" w:lastColumn="0" w:noHBand="0" w:noVBand="0"/>
      </w:tblPr>
      <w:tblGrid>
        <w:gridCol w:w="672"/>
        <w:gridCol w:w="3598"/>
        <w:gridCol w:w="1329"/>
      </w:tblGrid>
      <w:tr>
        <w:trPr>
          <w:cantSplit/>
          <w:tblHeader/>
        </w:trPr>
        <w:tc>
          <w:tcPr>
            <w:tcW w:w="672" w:type="dxa"/>
            <w:tcBorders>
              <w:top w:val="single" w:sz="4" w:space="0" w:color="auto"/>
              <w:bottom w:val="single" w:sz="4" w:space="0" w:color="auto"/>
            </w:tcBorders>
          </w:tcPr>
          <w:p>
            <w:pPr>
              <w:pStyle w:val="yTableNAm"/>
            </w:pPr>
            <w:r>
              <w:rPr>
                <w:b/>
              </w:rPr>
              <w:t>Item</w:t>
            </w:r>
          </w:p>
        </w:tc>
        <w:tc>
          <w:tcPr>
            <w:tcW w:w="3598" w:type="dxa"/>
            <w:tcBorders>
              <w:top w:val="single" w:sz="4" w:space="0" w:color="auto"/>
              <w:bottom w:val="single" w:sz="4" w:space="0" w:color="auto"/>
            </w:tcBorders>
          </w:tcPr>
          <w:p>
            <w:pPr>
              <w:pStyle w:val="yTableNAm"/>
            </w:pPr>
            <w:r>
              <w:rPr>
                <w:b/>
              </w:rPr>
              <w:t>Service</w:t>
            </w:r>
          </w:p>
        </w:tc>
        <w:tc>
          <w:tcPr>
            <w:tcW w:w="1329" w:type="dxa"/>
            <w:tcBorders>
              <w:top w:val="single" w:sz="4" w:space="0" w:color="auto"/>
              <w:bottom w:val="single" w:sz="4" w:space="0" w:color="auto"/>
            </w:tcBorders>
          </w:tcPr>
          <w:p>
            <w:pPr>
              <w:pStyle w:val="yTableNAm"/>
              <w:jc w:val="center"/>
            </w:pPr>
            <w:r>
              <w:rPr>
                <w:b/>
              </w:rPr>
              <w:t>$</w:t>
            </w:r>
          </w:p>
        </w:tc>
      </w:tr>
      <w:tr>
        <w:trPr>
          <w:cantSplit/>
        </w:trPr>
        <w:tc>
          <w:tcPr>
            <w:tcW w:w="672" w:type="dxa"/>
            <w:tcBorders>
              <w:top w:val="single" w:sz="4" w:space="0" w:color="auto"/>
              <w:bottom w:val="single" w:sz="4" w:space="0" w:color="auto"/>
            </w:tcBorders>
          </w:tcPr>
          <w:p>
            <w:pPr>
              <w:pStyle w:val="yTableNAm"/>
            </w:pPr>
            <w:r>
              <w:t>1.</w:t>
            </w:r>
          </w:p>
        </w:tc>
        <w:tc>
          <w:tcPr>
            <w:tcW w:w="3598" w:type="dxa"/>
            <w:tcBorders>
              <w:top w:val="single" w:sz="4" w:space="0" w:color="auto"/>
              <w:bottom w:val="single" w:sz="4" w:space="0" w:color="auto"/>
            </w:tcBorders>
          </w:tcPr>
          <w:p>
            <w:pPr>
              <w:pStyle w:val="yTableNAm"/>
            </w:pPr>
            <w:r>
              <w:t>For water supply (metered)</w:t>
            </w:r>
          </w:p>
        </w:tc>
        <w:tc>
          <w:tcPr>
            <w:tcW w:w="1329" w:type="dxa"/>
            <w:tcBorders>
              <w:top w:val="single" w:sz="4" w:space="0" w:color="auto"/>
              <w:bottom w:val="single" w:sz="4" w:space="0" w:color="auto"/>
            </w:tcBorders>
          </w:tcPr>
          <w:p>
            <w:pPr>
              <w:pStyle w:val="yTableNAm"/>
              <w:jc w:val="center"/>
            </w:pPr>
            <w:r>
              <w:t>cost</w:t>
            </w:r>
          </w:p>
        </w:tc>
      </w:tr>
    </w:tbl>
    <w:p>
      <w:pPr>
        <w:pStyle w:val="yFootnotesection"/>
      </w:pPr>
      <w:bookmarkStart w:id="265" w:name="_Toc402879136"/>
      <w:r>
        <w:tab/>
        <w:t>[Clause 28 inserted in Gazette 22 Jul 2015 p. 2986.]</w:t>
      </w:r>
    </w:p>
    <w:p>
      <w:pPr>
        <w:pStyle w:val="yHeading5"/>
      </w:pPr>
      <w:bookmarkStart w:id="266" w:name="_Toc425338104"/>
      <w:r>
        <w:rPr>
          <w:rStyle w:val="CharSClsNo"/>
        </w:rPr>
        <w:t>29</w:t>
      </w:r>
      <w:r>
        <w:t>.</w:t>
      </w:r>
      <w:r>
        <w:tab/>
        <w:t>Rubbish removal (r. 53A)</w:t>
      </w:r>
      <w:bookmarkEnd w:id="265"/>
      <w:bookmarkEnd w:id="266"/>
    </w:p>
    <w:p>
      <w:pPr>
        <w:pStyle w:val="ySubsection"/>
      </w:pPr>
      <w:r>
        <w:tab/>
      </w:r>
      <w:r>
        <w:tab/>
        <w:t>The charges to be paid under regulation 53A are set out in Table 29.1.</w:t>
      </w:r>
    </w:p>
    <w:p>
      <w:pPr>
        <w:pStyle w:val="yTHeadingNAm"/>
      </w:pPr>
      <w:r>
        <w:t>Table 29.1 (Rubbish removal)</w:t>
      </w:r>
    </w:p>
    <w:tbl>
      <w:tblPr>
        <w:tblW w:w="5627" w:type="dxa"/>
        <w:tblInd w:w="1065" w:type="dxa"/>
        <w:tblLayout w:type="fixed"/>
        <w:tblCellMar>
          <w:top w:w="57" w:type="dxa"/>
          <w:left w:w="57" w:type="dxa"/>
          <w:right w:w="57" w:type="dxa"/>
        </w:tblCellMar>
        <w:tblLook w:val="0000" w:firstRow="0" w:lastRow="0" w:firstColumn="0" w:lastColumn="0" w:noHBand="0" w:noVBand="0"/>
      </w:tblPr>
      <w:tblGrid>
        <w:gridCol w:w="672"/>
        <w:gridCol w:w="3612"/>
        <w:gridCol w:w="1343"/>
      </w:tblGrid>
      <w:tr>
        <w:trPr>
          <w:cantSplit/>
          <w:tblHeader/>
        </w:trPr>
        <w:tc>
          <w:tcPr>
            <w:tcW w:w="672" w:type="dxa"/>
            <w:tcBorders>
              <w:top w:val="single" w:sz="4" w:space="0" w:color="auto"/>
              <w:bottom w:val="single" w:sz="4" w:space="0" w:color="auto"/>
            </w:tcBorders>
          </w:tcPr>
          <w:p>
            <w:pPr>
              <w:pStyle w:val="yTableNAm"/>
            </w:pPr>
            <w:r>
              <w:rPr>
                <w:b/>
              </w:rPr>
              <w:t>Item</w:t>
            </w:r>
          </w:p>
        </w:tc>
        <w:tc>
          <w:tcPr>
            <w:tcW w:w="3612" w:type="dxa"/>
            <w:tcBorders>
              <w:top w:val="single" w:sz="4" w:space="0" w:color="auto"/>
              <w:bottom w:val="single" w:sz="4" w:space="0" w:color="auto"/>
            </w:tcBorders>
          </w:tcPr>
          <w:p>
            <w:pPr>
              <w:pStyle w:val="yTableNAm"/>
            </w:pPr>
            <w:r>
              <w:rPr>
                <w:b/>
              </w:rPr>
              <w:t>Service</w:t>
            </w:r>
          </w:p>
        </w:tc>
        <w:tc>
          <w:tcPr>
            <w:tcW w:w="1343"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3612" w:type="dxa"/>
          </w:tcPr>
          <w:p>
            <w:pPr>
              <w:pStyle w:val="yTableNAm"/>
            </w:pPr>
            <w:r>
              <w:t xml:space="preserve">For rubbish removal — </w:t>
            </w:r>
          </w:p>
        </w:tc>
        <w:tc>
          <w:tcPr>
            <w:tcW w:w="1343" w:type="dxa"/>
          </w:tcPr>
          <w:p>
            <w:pPr>
              <w:pStyle w:val="yTableNAm"/>
              <w:jc w:val="center"/>
            </w:pPr>
          </w:p>
        </w:tc>
      </w:tr>
      <w:tr>
        <w:trPr>
          <w:cantSplit/>
        </w:trPr>
        <w:tc>
          <w:tcPr>
            <w:tcW w:w="672" w:type="dxa"/>
          </w:tcPr>
          <w:p>
            <w:pPr>
              <w:pStyle w:val="zyTableNAm"/>
            </w:pPr>
          </w:p>
        </w:tc>
        <w:tc>
          <w:tcPr>
            <w:tcW w:w="3612" w:type="dxa"/>
          </w:tcPr>
          <w:p>
            <w:pPr>
              <w:pStyle w:val="yTableNAm"/>
              <w:tabs>
                <w:tab w:val="clear" w:pos="567"/>
              </w:tabs>
              <w:ind w:left="226" w:hanging="226"/>
            </w:pPr>
            <w:r>
              <w:t>•</w:t>
            </w:r>
            <w:r>
              <w:tab/>
              <w:t>excess quantity, or from a source other than a vessel for which charges for using the harbour have been paid, per half skip supplied and emptied</w:t>
            </w:r>
          </w:p>
        </w:tc>
        <w:tc>
          <w:tcPr>
            <w:tcW w:w="1343" w:type="dxa"/>
          </w:tcPr>
          <w:p>
            <w:pPr>
              <w:pStyle w:val="yTableNAm"/>
              <w:jc w:val="center"/>
            </w:pPr>
            <w:r>
              <w:br/>
            </w:r>
            <w:r>
              <w:br/>
            </w:r>
            <w:r>
              <w:br/>
              <w:t>cost</w:t>
            </w:r>
          </w:p>
        </w:tc>
      </w:tr>
      <w:tr>
        <w:trPr>
          <w:cantSplit/>
        </w:trPr>
        <w:tc>
          <w:tcPr>
            <w:tcW w:w="672" w:type="dxa"/>
          </w:tcPr>
          <w:p>
            <w:pPr>
              <w:pStyle w:val="zyTableNAm"/>
            </w:pPr>
          </w:p>
        </w:tc>
        <w:tc>
          <w:tcPr>
            <w:tcW w:w="3612" w:type="dxa"/>
          </w:tcPr>
          <w:p>
            <w:pPr>
              <w:pStyle w:val="yTableNAm"/>
              <w:tabs>
                <w:tab w:val="clear" w:pos="567"/>
              </w:tabs>
              <w:ind w:left="226" w:hanging="226"/>
            </w:pPr>
            <w:r>
              <w:t>•</w:t>
            </w:r>
            <w:r>
              <w:tab/>
              <w:t>waste oil from vessels in excess of 150 L</w:t>
            </w:r>
          </w:p>
        </w:tc>
        <w:tc>
          <w:tcPr>
            <w:tcW w:w="1343" w:type="dxa"/>
          </w:tcPr>
          <w:p>
            <w:pPr>
              <w:pStyle w:val="yTableNAm"/>
              <w:jc w:val="center"/>
            </w:pPr>
            <w:r>
              <w:t>cost</w:t>
            </w:r>
          </w:p>
        </w:tc>
      </w:tr>
      <w:tr>
        <w:trPr>
          <w:cantSplit/>
        </w:trPr>
        <w:tc>
          <w:tcPr>
            <w:tcW w:w="672" w:type="dxa"/>
          </w:tcPr>
          <w:p>
            <w:pPr>
              <w:pStyle w:val="zyTableNAm"/>
            </w:pPr>
          </w:p>
        </w:tc>
        <w:tc>
          <w:tcPr>
            <w:tcW w:w="3612" w:type="dxa"/>
          </w:tcPr>
          <w:p>
            <w:pPr>
              <w:pStyle w:val="yTableNAm"/>
              <w:tabs>
                <w:tab w:val="clear" w:pos="567"/>
              </w:tabs>
              <w:ind w:left="226" w:hanging="226"/>
            </w:pPr>
            <w:r>
              <w:t>•</w:t>
            </w:r>
            <w:r>
              <w:tab/>
              <w:t>waste oil drum not removed by owner, per 20 L drum</w:t>
            </w:r>
          </w:p>
        </w:tc>
        <w:tc>
          <w:tcPr>
            <w:tcW w:w="1343" w:type="dxa"/>
          </w:tcPr>
          <w:p>
            <w:pPr>
              <w:pStyle w:val="yTableNAm"/>
              <w:jc w:val="center"/>
            </w:pPr>
            <w:r>
              <w:br/>
              <w:t>cost</w:t>
            </w:r>
          </w:p>
        </w:tc>
      </w:tr>
      <w:tr>
        <w:trPr>
          <w:cantSplit/>
        </w:trPr>
        <w:tc>
          <w:tcPr>
            <w:tcW w:w="672" w:type="dxa"/>
            <w:tcBorders>
              <w:bottom w:val="single" w:sz="4" w:space="0" w:color="auto"/>
            </w:tcBorders>
          </w:tcPr>
          <w:p>
            <w:pPr>
              <w:pStyle w:val="zyTableNAm"/>
            </w:pPr>
          </w:p>
        </w:tc>
        <w:tc>
          <w:tcPr>
            <w:tcW w:w="3612" w:type="dxa"/>
            <w:tcBorders>
              <w:bottom w:val="single" w:sz="4" w:space="0" w:color="auto"/>
            </w:tcBorders>
          </w:tcPr>
          <w:p>
            <w:pPr>
              <w:pStyle w:val="yTableNAm"/>
              <w:tabs>
                <w:tab w:val="clear" w:pos="567"/>
              </w:tabs>
              <w:ind w:left="226" w:hanging="226"/>
            </w:pPr>
            <w:r>
              <w:t>•</w:t>
            </w:r>
            <w:r>
              <w:tab/>
              <w:t>rubbish not put in supplied bins</w:t>
            </w:r>
          </w:p>
        </w:tc>
        <w:tc>
          <w:tcPr>
            <w:tcW w:w="1343" w:type="dxa"/>
            <w:tcBorders>
              <w:bottom w:val="single" w:sz="4" w:space="0" w:color="auto"/>
            </w:tcBorders>
          </w:tcPr>
          <w:p>
            <w:pPr>
              <w:pStyle w:val="yTableNAm"/>
              <w:jc w:val="center"/>
            </w:pPr>
            <w:r>
              <w:t>cost</w:t>
            </w:r>
          </w:p>
        </w:tc>
      </w:tr>
    </w:tbl>
    <w:p>
      <w:pPr>
        <w:pStyle w:val="yFootnotesection"/>
      </w:pPr>
      <w:bookmarkStart w:id="267" w:name="_Toc402879137"/>
      <w:r>
        <w:tab/>
        <w:t>[Clause 29 inserted in Gazette 22 Jul 2015 p. 2986</w:t>
      </w:r>
      <w:r>
        <w:noBreakHyphen/>
        <w:t>7.]</w:t>
      </w:r>
    </w:p>
    <w:p>
      <w:pPr>
        <w:pStyle w:val="yHeading5"/>
      </w:pPr>
      <w:bookmarkStart w:id="268" w:name="_Toc425338105"/>
      <w:r>
        <w:rPr>
          <w:rStyle w:val="CharSClsNo"/>
        </w:rPr>
        <w:t>30</w:t>
      </w:r>
      <w:r>
        <w:t>.</w:t>
      </w:r>
      <w:r>
        <w:tab/>
        <w:t>Passengers and cargo</w:t>
      </w:r>
      <w:bookmarkEnd w:id="267"/>
      <w:bookmarkEnd w:id="268"/>
    </w:p>
    <w:p>
      <w:pPr>
        <w:pStyle w:val="ySubsection"/>
      </w:pPr>
      <w:r>
        <w:tab/>
      </w:r>
      <w:r>
        <w:tab/>
        <w:t>The charges to be paid for the loading and unloading of passengers and cargo are set out in Table 30.1.</w:t>
      </w:r>
    </w:p>
    <w:p>
      <w:pPr>
        <w:pStyle w:val="yTHeadingNAm"/>
      </w:pPr>
      <w:r>
        <w:t>Table 30.1 (Passengers and cargo)</w:t>
      </w:r>
    </w:p>
    <w:tbl>
      <w:tblPr>
        <w:tblW w:w="5599" w:type="dxa"/>
        <w:tblInd w:w="1093" w:type="dxa"/>
        <w:tblLayout w:type="fixed"/>
        <w:tblCellMar>
          <w:top w:w="57" w:type="dxa"/>
          <w:left w:w="57" w:type="dxa"/>
          <w:right w:w="57" w:type="dxa"/>
        </w:tblCellMar>
        <w:tblLook w:val="0000" w:firstRow="0" w:lastRow="0" w:firstColumn="0" w:lastColumn="0" w:noHBand="0" w:noVBand="0"/>
      </w:tblPr>
      <w:tblGrid>
        <w:gridCol w:w="630"/>
        <w:gridCol w:w="3612"/>
        <w:gridCol w:w="1357"/>
      </w:tblGrid>
      <w:tr>
        <w:trPr>
          <w:cantSplit/>
          <w:tblHeader/>
        </w:trPr>
        <w:tc>
          <w:tcPr>
            <w:tcW w:w="630" w:type="dxa"/>
            <w:tcBorders>
              <w:top w:val="single" w:sz="4" w:space="0" w:color="auto"/>
              <w:bottom w:val="single" w:sz="4" w:space="0" w:color="auto"/>
            </w:tcBorders>
          </w:tcPr>
          <w:p>
            <w:pPr>
              <w:pStyle w:val="yTableNAm"/>
            </w:pPr>
            <w:r>
              <w:rPr>
                <w:b/>
              </w:rPr>
              <w:t>Item</w:t>
            </w:r>
          </w:p>
        </w:tc>
        <w:tc>
          <w:tcPr>
            <w:tcW w:w="3612" w:type="dxa"/>
            <w:tcBorders>
              <w:top w:val="single" w:sz="4" w:space="0" w:color="auto"/>
              <w:bottom w:val="single" w:sz="4" w:space="0" w:color="auto"/>
            </w:tcBorders>
          </w:tcPr>
          <w:p>
            <w:pPr>
              <w:pStyle w:val="yTableNAm"/>
            </w:pPr>
            <w:r>
              <w:rPr>
                <w:b/>
              </w:rPr>
              <w:t>Service</w:t>
            </w:r>
          </w:p>
        </w:tc>
        <w:tc>
          <w:tcPr>
            <w:tcW w:w="1357"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3612" w:type="dxa"/>
          </w:tcPr>
          <w:p>
            <w:pPr>
              <w:pStyle w:val="yTableNAm"/>
            </w:pPr>
            <w:r>
              <w:t xml:space="preserve">For the use of a pen, berth or service jetty by cruise liner transfer vessel to load or unload passengers — </w:t>
            </w:r>
          </w:p>
        </w:tc>
        <w:tc>
          <w:tcPr>
            <w:tcW w:w="1357" w:type="dxa"/>
          </w:tcPr>
          <w:p>
            <w:pPr>
              <w:pStyle w:val="yTableNAm"/>
              <w:jc w:val="center"/>
            </w:pPr>
          </w:p>
        </w:tc>
      </w:tr>
      <w:tr>
        <w:trPr>
          <w:cantSplit/>
        </w:trPr>
        <w:tc>
          <w:tcPr>
            <w:tcW w:w="630" w:type="dxa"/>
          </w:tcPr>
          <w:p>
            <w:pPr>
              <w:pStyle w:val="zyTableNAm"/>
            </w:pPr>
          </w:p>
        </w:tc>
        <w:tc>
          <w:tcPr>
            <w:tcW w:w="3612" w:type="dxa"/>
          </w:tcPr>
          <w:p>
            <w:pPr>
              <w:pStyle w:val="yTableNAm"/>
              <w:tabs>
                <w:tab w:val="clear" w:pos="567"/>
              </w:tabs>
              <w:ind w:left="226" w:hanging="226"/>
            </w:pPr>
            <w:r>
              <w:t>•</w:t>
            </w:r>
            <w:r>
              <w:tab/>
              <w:t>an amount calculated per metre of the vessel’s length at the daily rate of</w:t>
            </w:r>
          </w:p>
        </w:tc>
        <w:tc>
          <w:tcPr>
            <w:tcW w:w="1357" w:type="dxa"/>
          </w:tcPr>
          <w:p>
            <w:pPr>
              <w:pStyle w:val="yTableNAm"/>
              <w:jc w:val="center"/>
            </w:pPr>
            <w:r>
              <w:br/>
              <w:t>9.93</w:t>
            </w:r>
          </w:p>
        </w:tc>
      </w:tr>
      <w:tr>
        <w:trPr>
          <w:cantSplit/>
        </w:trPr>
        <w:tc>
          <w:tcPr>
            <w:tcW w:w="630" w:type="dxa"/>
          </w:tcPr>
          <w:p>
            <w:pPr>
              <w:pStyle w:val="zyTableNAm"/>
            </w:pPr>
          </w:p>
        </w:tc>
        <w:tc>
          <w:tcPr>
            <w:tcW w:w="3612" w:type="dxa"/>
          </w:tcPr>
          <w:p>
            <w:pPr>
              <w:pStyle w:val="yTableNAm"/>
              <w:tabs>
                <w:tab w:val="clear" w:pos="567"/>
              </w:tabs>
              <w:ind w:left="226" w:hanging="226"/>
            </w:pPr>
            <w:r>
              <w:t>•</w:t>
            </w:r>
            <w:r>
              <w:tab/>
              <w:t>plus a charge per passenger of</w:t>
            </w:r>
          </w:p>
        </w:tc>
        <w:tc>
          <w:tcPr>
            <w:tcW w:w="1357" w:type="dxa"/>
          </w:tcPr>
          <w:p>
            <w:pPr>
              <w:pStyle w:val="yTableNAm"/>
              <w:jc w:val="center"/>
            </w:pPr>
            <w:r>
              <w:t>4.24</w:t>
            </w:r>
          </w:p>
        </w:tc>
      </w:tr>
      <w:tr>
        <w:trPr>
          <w:cantSplit/>
        </w:trPr>
        <w:tc>
          <w:tcPr>
            <w:tcW w:w="630" w:type="dxa"/>
          </w:tcPr>
          <w:p>
            <w:pPr>
              <w:pStyle w:val="yTableNAm"/>
            </w:pPr>
            <w:r>
              <w:t>2.</w:t>
            </w:r>
          </w:p>
        </w:tc>
        <w:tc>
          <w:tcPr>
            <w:tcW w:w="3612" w:type="dxa"/>
          </w:tcPr>
          <w:p>
            <w:pPr>
              <w:pStyle w:val="yTableNAm"/>
            </w:pPr>
            <w:r>
              <w:t>For the loading or unloading of general cargo from or to a vessel at the service wharf or service jetty, or an appurtenant area if loaded from or to a vessel, an amount calculated per tonne, per cubic metre at the rate of</w:t>
            </w:r>
          </w:p>
        </w:tc>
        <w:tc>
          <w:tcPr>
            <w:tcW w:w="1357" w:type="dxa"/>
          </w:tcPr>
          <w:p>
            <w:pPr>
              <w:pStyle w:val="yTableNAm"/>
              <w:jc w:val="center"/>
            </w:pPr>
            <w:r>
              <w:br/>
            </w:r>
            <w:r>
              <w:br/>
            </w:r>
            <w:r>
              <w:br/>
            </w:r>
            <w:r>
              <w:br/>
            </w:r>
            <w:r>
              <w:br/>
              <w:t>6.71</w:t>
            </w:r>
          </w:p>
        </w:tc>
      </w:tr>
      <w:tr>
        <w:trPr>
          <w:cantSplit/>
        </w:trPr>
        <w:tc>
          <w:tcPr>
            <w:tcW w:w="630" w:type="dxa"/>
            <w:tcBorders>
              <w:bottom w:val="single" w:sz="4" w:space="0" w:color="auto"/>
            </w:tcBorders>
          </w:tcPr>
          <w:p>
            <w:pPr>
              <w:pStyle w:val="yTableNAm"/>
            </w:pPr>
            <w:r>
              <w:t>3.</w:t>
            </w:r>
          </w:p>
        </w:tc>
        <w:tc>
          <w:tcPr>
            <w:tcW w:w="3612" w:type="dxa"/>
            <w:tcBorders>
              <w:bottom w:val="single" w:sz="4" w:space="0" w:color="auto"/>
            </w:tcBorders>
          </w:tcPr>
          <w:p>
            <w:pPr>
              <w:pStyle w:val="yTableNAm"/>
            </w:pPr>
            <w:r>
              <w:t>If a vessel is lifted at the service wharf or service jetty, or an appurtenant area, an amount calculated per metre of the vessel’s length at the rate of</w:t>
            </w:r>
          </w:p>
        </w:tc>
        <w:tc>
          <w:tcPr>
            <w:tcW w:w="1357" w:type="dxa"/>
            <w:tcBorders>
              <w:bottom w:val="single" w:sz="4" w:space="0" w:color="auto"/>
            </w:tcBorders>
          </w:tcPr>
          <w:p>
            <w:pPr>
              <w:pStyle w:val="yTableNAm"/>
              <w:jc w:val="center"/>
            </w:pPr>
            <w:r>
              <w:br/>
            </w:r>
            <w:r>
              <w:br/>
            </w:r>
            <w:r>
              <w:br/>
              <w:t>14.78</w:t>
            </w:r>
          </w:p>
        </w:tc>
      </w:tr>
    </w:tbl>
    <w:p>
      <w:pPr>
        <w:pStyle w:val="yFootnotesection"/>
      </w:pPr>
      <w:bookmarkStart w:id="269" w:name="_Toc402879138"/>
      <w:r>
        <w:tab/>
        <w:t>[Clause 30 inserted in Gazette 22 Jul 2015 p. 2987.]</w:t>
      </w:r>
    </w:p>
    <w:p>
      <w:pPr>
        <w:pStyle w:val="yHeading5"/>
      </w:pPr>
      <w:bookmarkStart w:id="270" w:name="_Toc425338106"/>
      <w:r>
        <w:rPr>
          <w:rStyle w:val="CharSClsNo"/>
        </w:rPr>
        <w:t>31</w:t>
      </w:r>
      <w:r>
        <w:t>.</w:t>
      </w:r>
      <w:r>
        <w:tab/>
        <w:t>Slip services (r. 96)</w:t>
      </w:r>
      <w:bookmarkEnd w:id="269"/>
      <w:bookmarkEnd w:id="270"/>
    </w:p>
    <w:p>
      <w:pPr>
        <w:pStyle w:val="ySubsection"/>
      </w:pPr>
      <w:r>
        <w:tab/>
      </w:r>
      <w:r>
        <w:tab/>
        <w:t>The charges to be paid under regulation 96 for services at a slip controlled and managed by the Department at a place for which no such charges are prescribed in Division 1 are set out in Table 31.1.</w:t>
      </w:r>
    </w:p>
    <w:p>
      <w:pPr>
        <w:pStyle w:val="yTHeadingNAm"/>
        <w:keepLines/>
        <w:widowControl w:val="0"/>
      </w:pPr>
      <w:r>
        <w:t>Table 31.1 (Slip services)</w:t>
      </w:r>
    </w:p>
    <w:tbl>
      <w:tblPr>
        <w:tblW w:w="5599" w:type="dxa"/>
        <w:tblInd w:w="1093" w:type="dxa"/>
        <w:tblLayout w:type="fixed"/>
        <w:tblCellMar>
          <w:top w:w="57" w:type="dxa"/>
          <w:left w:w="57" w:type="dxa"/>
          <w:right w:w="57" w:type="dxa"/>
        </w:tblCellMar>
        <w:tblLook w:val="0000" w:firstRow="0" w:lastRow="0" w:firstColumn="0" w:lastColumn="0" w:noHBand="0" w:noVBand="0"/>
      </w:tblPr>
      <w:tblGrid>
        <w:gridCol w:w="630"/>
        <w:gridCol w:w="3626"/>
        <w:gridCol w:w="1343"/>
      </w:tblGrid>
      <w:tr>
        <w:trPr>
          <w:cantSplit/>
          <w:tblHeader/>
        </w:trPr>
        <w:tc>
          <w:tcPr>
            <w:tcW w:w="630" w:type="dxa"/>
            <w:tcBorders>
              <w:top w:val="single" w:sz="4" w:space="0" w:color="auto"/>
              <w:bottom w:val="single" w:sz="4" w:space="0" w:color="auto"/>
            </w:tcBorders>
          </w:tcPr>
          <w:p>
            <w:pPr>
              <w:pStyle w:val="yTableNAm"/>
              <w:keepNext/>
              <w:keepLines/>
              <w:widowControl w:val="0"/>
            </w:pPr>
            <w:r>
              <w:rPr>
                <w:b/>
              </w:rPr>
              <w:t>Item</w:t>
            </w:r>
          </w:p>
        </w:tc>
        <w:tc>
          <w:tcPr>
            <w:tcW w:w="3626" w:type="dxa"/>
            <w:tcBorders>
              <w:top w:val="single" w:sz="4" w:space="0" w:color="auto"/>
              <w:bottom w:val="single" w:sz="4" w:space="0" w:color="auto"/>
            </w:tcBorders>
          </w:tcPr>
          <w:p>
            <w:pPr>
              <w:pStyle w:val="yTableNAm"/>
              <w:keepNext/>
              <w:keepLines/>
              <w:widowControl w:val="0"/>
            </w:pPr>
            <w:r>
              <w:rPr>
                <w:b/>
              </w:rPr>
              <w:t>Service</w:t>
            </w:r>
          </w:p>
        </w:tc>
        <w:tc>
          <w:tcPr>
            <w:tcW w:w="1343" w:type="dxa"/>
            <w:tcBorders>
              <w:top w:val="single" w:sz="4" w:space="0" w:color="auto"/>
              <w:bottom w:val="single" w:sz="4" w:space="0" w:color="auto"/>
            </w:tcBorders>
          </w:tcPr>
          <w:p>
            <w:pPr>
              <w:pStyle w:val="yTableNAm"/>
              <w:keepNext/>
              <w:keepLines/>
              <w:widowControl w:val="0"/>
              <w:jc w:val="center"/>
            </w:pPr>
            <w:r>
              <w:rPr>
                <w:b/>
              </w:rPr>
              <w:t>$</w:t>
            </w:r>
          </w:p>
        </w:tc>
      </w:tr>
      <w:tr>
        <w:trPr>
          <w:cantSplit/>
        </w:trPr>
        <w:tc>
          <w:tcPr>
            <w:tcW w:w="630" w:type="dxa"/>
          </w:tcPr>
          <w:p>
            <w:pPr>
              <w:pStyle w:val="yTableNAm"/>
              <w:keepNext/>
              <w:keepLines/>
              <w:widowControl w:val="0"/>
            </w:pPr>
            <w:r>
              <w:t>1.</w:t>
            </w:r>
          </w:p>
        </w:tc>
        <w:tc>
          <w:tcPr>
            <w:tcW w:w="3626" w:type="dxa"/>
          </w:tcPr>
          <w:p>
            <w:pPr>
              <w:pStyle w:val="yTableNAm"/>
              <w:keepNext/>
              <w:keepLines/>
              <w:widowControl w:val="0"/>
            </w:pPr>
            <w:r>
              <w:t xml:space="preserve">For the use of a slip — </w:t>
            </w:r>
          </w:p>
        </w:tc>
        <w:tc>
          <w:tcPr>
            <w:tcW w:w="1343" w:type="dxa"/>
          </w:tcPr>
          <w:p>
            <w:pPr>
              <w:pStyle w:val="yTableNAm"/>
              <w:keepNext/>
              <w:keepLines/>
              <w:widowControl w:val="0"/>
              <w:jc w:val="center"/>
            </w:pPr>
          </w:p>
        </w:tc>
      </w:tr>
      <w:tr>
        <w:trPr>
          <w:cantSplit/>
        </w:trPr>
        <w:tc>
          <w:tcPr>
            <w:tcW w:w="630" w:type="dxa"/>
          </w:tcPr>
          <w:p>
            <w:pPr>
              <w:pStyle w:val="zyTableNAm"/>
              <w:keepNext/>
              <w:keepLines/>
              <w:widowControl w:val="0"/>
            </w:pPr>
          </w:p>
        </w:tc>
        <w:tc>
          <w:tcPr>
            <w:tcW w:w="3626" w:type="dxa"/>
          </w:tcPr>
          <w:p>
            <w:pPr>
              <w:pStyle w:val="yTableNAm"/>
              <w:keepNext/>
              <w:keepLines/>
              <w:widowControl w:val="0"/>
              <w:tabs>
                <w:tab w:val="clear" w:pos="567"/>
              </w:tabs>
              <w:ind w:left="226" w:hanging="226"/>
            </w:pPr>
            <w:r>
              <w:t>•</w:t>
            </w:r>
            <w:r>
              <w:tab/>
              <w:t>from 1 April to 31 August, an amount per day of</w:t>
            </w:r>
          </w:p>
        </w:tc>
        <w:tc>
          <w:tcPr>
            <w:tcW w:w="1343" w:type="dxa"/>
          </w:tcPr>
          <w:p>
            <w:pPr>
              <w:pStyle w:val="yTableNAm"/>
              <w:keepNext/>
              <w:keepLines/>
              <w:widowControl w:val="0"/>
              <w:jc w:val="center"/>
            </w:pPr>
            <w:r>
              <w:br/>
              <w:t>70.89</w:t>
            </w:r>
          </w:p>
        </w:tc>
      </w:tr>
      <w:tr>
        <w:trPr>
          <w:cantSplit/>
        </w:trPr>
        <w:tc>
          <w:tcPr>
            <w:tcW w:w="630" w:type="dxa"/>
          </w:tcPr>
          <w:p>
            <w:pPr>
              <w:pStyle w:val="zyTableNAm"/>
            </w:pPr>
          </w:p>
        </w:tc>
        <w:tc>
          <w:tcPr>
            <w:tcW w:w="3626" w:type="dxa"/>
          </w:tcPr>
          <w:p>
            <w:pPr>
              <w:pStyle w:val="yTableNAm"/>
              <w:tabs>
                <w:tab w:val="clear" w:pos="567"/>
              </w:tabs>
              <w:ind w:left="226" w:hanging="226"/>
            </w:pPr>
            <w:r>
              <w:t>•</w:t>
            </w:r>
            <w:r>
              <w:tab/>
              <w:t>from 1 September to 31 March, an amount per day of</w:t>
            </w:r>
          </w:p>
        </w:tc>
        <w:tc>
          <w:tcPr>
            <w:tcW w:w="1343" w:type="dxa"/>
          </w:tcPr>
          <w:p>
            <w:pPr>
              <w:pStyle w:val="yTableNAm"/>
              <w:jc w:val="center"/>
            </w:pPr>
            <w:r>
              <w:br/>
              <w:t>141.81</w:t>
            </w:r>
          </w:p>
        </w:tc>
      </w:tr>
      <w:tr>
        <w:trPr>
          <w:cantSplit/>
        </w:trPr>
        <w:tc>
          <w:tcPr>
            <w:tcW w:w="630" w:type="dxa"/>
          </w:tcPr>
          <w:p>
            <w:pPr>
              <w:pStyle w:val="yTableNAm"/>
            </w:pPr>
            <w:r>
              <w:t>2.</w:t>
            </w:r>
          </w:p>
        </w:tc>
        <w:tc>
          <w:tcPr>
            <w:tcW w:w="3626" w:type="dxa"/>
          </w:tcPr>
          <w:p>
            <w:pPr>
              <w:pStyle w:val="yTableNAm"/>
            </w:pPr>
            <w:r>
              <w:t xml:space="preserve">For haulage up and down slip — </w:t>
            </w:r>
          </w:p>
        </w:tc>
        <w:tc>
          <w:tcPr>
            <w:tcW w:w="1343" w:type="dxa"/>
          </w:tcPr>
          <w:p>
            <w:pPr>
              <w:pStyle w:val="yTableNAm"/>
              <w:jc w:val="center"/>
            </w:pPr>
          </w:p>
        </w:tc>
      </w:tr>
      <w:tr>
        <w:trPr>
          <w:cantSplit/>
        </w:trPr>
        <w:tc>
          <w:tcPr>
            <w:tcW w:w="630" w:type="dxa"/>
          </w:tcPr>
          <w:p>
            <w:pPr>
              <w:pStyle w:val="zyTableNAm"/>
            </w:pPr>
          </w:p>
        </w:tc>
        <w:tc>
          <w:tcPr>
            <w:tcW w:w="3626" w:type="dxa"/>
          </w:tcPr>
          <w:p>
            <w:pPr>
              <w:pStyle w:val="yTableNAm"/>
              <w:tabs>
                <w:tab w:val="clear" w:pos="567"/>
              </w:tabs>
              <w:ind w:left="226" w:hanging="226"/>
            </w:pPr>
            <w:r>
              <w:t>•</w:t>
            </w:r>
            <w:r>
              <w:tab/>
              <w:t>if either a swing mooring fee or an annual pen charge have been paid for the relevant vessel, an amount per haulage of</w:t>
            </w:r>
          </w:p>
        </w:tc>
        <w:tc>
          <w:tcPr>
            <w:tcW w:w="1343" w:type="dxa"/>
          </w:tcPr>
          <w:p>
            <w:pPr>
              <w:pStyle w:val="yTableNAm"/>
              <w:jc w:val="center"/>
            </w:pPr>
            <w:r>
              <w:br/>
            </w:r>
            <w:r>
              <w:br/>
              <w:t>241.15</w:t>
            </w:r>
          </w:p>
        </w:tc>
      </w:tr>
      <w:tr>
        <w:trPr>
          <w:cantSplit/>
        </w:trPr>
        <w:tc>
          <w:tcPr>
            <w:tcW w:w="630" w:type="dxa"/>
          </w:tcPr>
          <w:p>
            <w:pPr>
              <w:pStyle w:val="zyTableNAm"/>
            </w:pPr>
          </w:p>
        </w:tc>
        <w:tc>
          <w:tcPr>
            <w:tcW w:w="3626" w:type="dxa"/>
          </w:tcPr>
          <w:p>
            <w:pPr>
              <w:pStyle w:val="yTableNAm"/>
              <w:tabs>
                <w:tab w:val="clear" w:pos="567"/>
              </w:tabs>
              <w:ind w:left="226" w:hanging="226"/>
            </w:pPr>
            <w:r>
              <w:t>•</w:t>
            </w:r>
            <w:r>
              <w:tab/>
              <w:t>in any other case, an amount per haulage of</w:t>
            </w:r>
          </w:p>
        </w:tc>
        <w:tc>
          <w:tcPr>
            <w:tcW w:w="1343" w:type="dxa"/>
          </w:tcPr>
          <w:p>
            <w:pPr>
              <w:pStyle w:val="yTableNAm"/>
              <w:jc w:val="center"/>
            </w:pPr>
            <w:r>
              <w:br/>
              <w:t>288.21</w:t>
            </w:r>
          </w:p>
        </w:tc>
      </w:tr>
      <w:tr>
        <w:trPr>
          <w:cantSplit/>
        </w:trPr>
        <w:tc>
          <w:tcPr>
            <w:tcW w:w="630" w:type="dxa"/>
          </w:tcPr>
          <w:p>
            <w:pPr>
              <w:pStyle w:val="yTableNAm"/>
            </w:pPr>
            <w:r>
              <w:t>3.</w:t>
            </w:r>
          </w:p>
        </w:tc>
        <w:tc>
          <w:tcPr>
            <w:tcW w:w="3626" w:type="dxa"/>
          </w:tcPr>
          <w:p>
            <w:pPr>
              <w:pStyle w:val="yTableNAm"/>
            </w:pPr>
            <w:r>
              <w:t xml:space="preserve">For the use of the Department’s land immediately appurtenant or adjacent to a slip for maintenance or storage — </w:t>
            </w:r>
          </w:p>
        </w:tc>
        <w:tc>
          <w:tcPr>
            <w:tcW w:w="1343" w:type="dxa"/>
          </w:tcPr>
          <w:p>
            <w:pPr>
              <w:pStyle w:val="yTableNAm"/>
              <w:jc w:val="center"/>
            </w:pPr>
          </w:p>
        </w:tc>
      </w:tr>
      <w:tr>
        <w:trPr>
          <w:cantSplit/>
        </w:trPr>
        <w:tc>
          <w:tcPr>
            <w:tcW w:w="630" w:type="dxa"/>
          </w:tcPr>
          <w:p>
            <w:pPr>
              <w:pStyle w:val="zyTableNAm"/>
            </w:pPr>
          </w:p>
        </w:tc>
        <w:tc>
          <w:tcPr>
            <w:tcW w:w="3626" w:type="dxa"/>
          </w:tcPr>
          <w:p>
            <w:pPr>
              <w:pStyle w:val="yTableNAm"/>
              <w:tabs>
                <w:tab w:val="clear" w:pos="567"/>
              </w:tabs>
              <w:ind w:left="226" w:hanging="226"/>
            </w:pPr>
            <w:r>
              <w:t>•</w:t>
            </w:r>
            <w:r>
              <w:tab/>
              <w:t>for the first 30 days, an amount per day of</w:t>
            </w:r>
          </w:p>
        </w:tc>
        <w:tc>
          <w:tcPr>
            <w:tcW w:w="1343" w:type="dxa"/>
          </w:tcPr>
          <w:p>
            <w:pPr>
              <w:pStyle w:val="yTableNAm"/>
              <w:jc w:val="center"/>
            </w:pPr>
            <w:r>
              <w:br/>
              <w:t>18.91</w:t>
            </w:r>
          </w:p>
        </w:tc>
      </w:tr>
      <w:tr>
        <w:trPr>
          <w:cantSplit/>
        </w:trPr>
        <w:tc>
          <w:tcPr>
            <w:tcW w:w="630" w:type="dxa"/>
          </w:tcPr>
          <w:p>
            <w:pPr>
              <w:pStyle w:val="zyTableNAm"/>
            </w:pPr>
          </w:p>
        </w:tc>
        <w:tc>
          <w:tcPr>
            <w:tcW w:w="3626" w:type="dxa"/>
          </w:tcPr>
          <w:p>
            <w:pPr>
              <w:pStyle w:val="yTableNAm"/>
              <w:tabs>
                <w:tab w:val="clear" w:pos="567"/>
              </w:tabs>
              <w:ind w:left="226" w:hanging="226"/>
            </w:pPr>
            <w:r>
              <w:t>•</w:t>
            </w:r>
            <w:r>
              <w:tab/>
              <w:t>after the first 30 days, an amount per day of</w:t>
            </w:r>
          </w:p>
        </w:tc>
        <w:tc>
          <w:tcPr>
            <w:tcW w:w="1343" w:type="dxa"/>
          </w:tcPr>
          <w:p>
            <w:pPr>
              <w:pStyle w:val="yTableNAm"/>
              <w:jc w:val="center"/>
            </w:pPr>
            <w:r>
              <w:br/>
              <w:t>42.19</w:t>
            </w:r>
          </w:p>
        </w:tc>
      </w:tr>
      <w:tr>
        <w:trPr>
          <w:cantSplit/>
        </w:trPr>
        <w:tc>
          <w:tcPr>
            <w:tcW w:w="630" w:type="dxa"/>
          </w:tcPr>
          <w:p>
            <w:pPr>
              <w:pStyle w:val="yTableNAm"/>
            </w:pPr>
            <w:r>
              <w:t>4.</w:t>
            </w:r>
          </w:p>
        </w:tc>
        <w:tc>
          <w:tcPr>
            <w:tcW w:w="3626" w:type="dxa"/>
          </w:tcPr>
          <w:p>
            <w:pPr>
              <w:pStyle w:val="yTableNAm"/>
            </w:pPr>
            <w:r>
              <w:t xml:space="preserve">For the use of the Department’s land in the harbour appurtenant to but not immediately adjacent to the slip for maintenance or storage — </w:t>
            </w:r>
          </w:p>
        </w:tc>
        <w:tc>
          <w:tcPr>
            <w:tcW w:w="1343" w:type="dxa"/>
          </w:tcPr>
          <w:p>
            <w:pPr>
              <w:pStyle w:val="yTableNAm"/>
              <w:jc w:val="center"/>
            </w:pPr>
          </w:p>
        </w:tc>
      </w:tr>
      <w:tr>
        <w:trPr>
          <w:cantSplit/>
        </w:trPr>
        <w:tc>
          <w:tcPr>
            <w:tcW w:w="630" w:type="dxa"/>
          </w:tcPr>
          <w:p>
            <w:pPr>
              <w:pStyle w:val="zyTableNAm"/>
            </w:pPr>
          </w:p>
        </w:tc>
        <w:tc>
          <w:tcPr>
            <w:tcW w:w="3626" w:type="dxa"/>
          </w:tcPr>
          <w:p>
            <w:pPr>
              <w:pStyle w:val="yTableNAm"/>
              <w:tabs>
                <w:tab w:val="clear" w:pos="567"/>
              </w:tabs>
              <w:ind w:left="226" w:hanging="226"/>
            </w:pPr>
            <w:r>
              <w:t>•</w:t>
            </w:r>
            <w:r>
              <w:tab/>
              <w:t>for the first 90 days, an amount per day of</w:t>
            </w:r>
          </w:p>
        </w:tc>
        <w:tc>
          <w:tcPr>
            <w:tcW w:w="1343" w:type="dxa"/>
          </w:tcPr>
          <w:p>
            <w:pPr>
              <w:pStyle w:val="yTableNAm"/>
              <w:jc w:val="center"/>
            </w:pPr>
            <w:r>
              <w:br/>
              <w:t>18.91</w:t>
            </w:r>
          </w:p>
        </w:tc>
      </w:tr>
      <w:tr>
        <w:trPr>
          <w:cantSplit/>
        </w:trPr>
        <w:tc>
          <w:tcPr>
            <w:tcW w:w="630" w:type="dxa"/>
            <w:tcBorders>
              <w:bottom w:val="single" w:sz="4" w:space="0" w:color="auto"/>
            </w:tcBorders>
          </w:tcPr>
          <w:p>
            <w:pPr>
              <w:pStyle w:val="zyTableNAm"/>
            </w:pPr>
          </w:p>
        </w:tc>
        <w:tc>
          <w:tcPr>
            <w:tcW w:w="3626" w:type="dxa"/>
            <w:tcBorders>
              <w:bottom w:val="single" w:sz="4" w:space="0" w:color="auto"/>
            </w:tcBorders>
          </w:tcPr>
          <w:p>
            <w:pPr>
              <w:pStyle w:val="yTableNAm"/>
              <w:tabs>
                <w:tab w:val="clear" w:pos="567"/>
              </w:tabs>
              <w:ind w:left="226" w:hanging="226"/>
            </w:pPr>
            <w:r>
              <w:t>•</w:t>
            </w:r>
            <w:r>
              <w:tab/>
              <w:t>after the first 90 days, an amount per day of</w:t>
            </w:r>
          </w:p>
        </w:tc>
        <w:tc>
          <w:tcPr>
            <w:tcW w:w="1343" w:type="dxa"/>
            <w:tcBorders>
              <w:bottom w:val="single" w:sz="4" w:space="0" w:color="auto"/>
            </w:tcBorders>
          </w:tcPr>
          <w:p>
            <w:pPr>
              <w:pStyle w:val="yTableNAm"/>
              <w:jc w:val="center"/>
            </w:pPr>
            <w:r>
              <w:br/>
              <w:t>42.19</w:t>
            </w:r>
          </w:p>
        </w:tc>
      </w:tr>
    </w:tbl>
    <w:p>
      <w:pPr>
        <w:pStyle w:val="yFootnotesection"/>
      </w:pPr>
      <w:bookmarkStart w:id="271" w:name="_Toc402879139"/>
      <w:r>
        <w:tab/>
        <w:t>[Clause 31 inserted in Gazette 22 Jul 2015 p. 2987</w:t>
      </w:r>
      <w:r>
        <w:noBreakHyphen/>
        <w:t>9.]</w:t>
      </w:r>
    </w:p>
    <w:p>
      <w:pPr>
        <w:pStyle w:val="yHeading5"/>
      </w:pPr>
      <w:bookmarkStart w:id="272" w:name="_Toc425338107"/>
      <w:r>
        <w:rPr>
          <w:rStyle w:val="CharSClsNo"/>
        </w:rPr>
        <w:t>32</w:t>
      </w:r>
      <w:r>
        <w:t>.</w:t>
      </w:r>
      <w:r>
        <w:tab/>
        <w:t>Floating dinghy pens</w:t>
      </w:r>
      <w:bookmarkEnd w:id="271"/>
      <w:bookmarkEnd w:id="272"/>
    </w:p>
    <w:p>
      <w:pPr>
        <w:pStyle w:val="ySubsection"/>
      </w:pPr>
      <w:r>
        <w:tab/>
      </w:r>
      <w:r>
        <w:tab/>
        <w:t>The charges to be paid for the use of floating dinghy pens at a place are $272.89 per year.</w:t>
      </w:r>
    </w:p>
    <w:p>
      <w:pPr>
        <w:pStyle w:val="yFootnotesection"/>
      </w:pPr>
      <w:r>
        <w:tab/>
        <w:t>[Clause 32 inserted in Gazette 22 Jul 2015 p. 2989.]</w:t>
      </w:r>
    </w:p>
    <w:p>
      <w:pPr>
        <w:pStyle w:val="yScheduleHeading"/>
      </w:pPr>
      <w:bookmarkStart w:id="273" w:name="_Toc425337646"/>
      <w:bookmarkStart w:id="274" w:name="_Toc425337909"/>
      <w:bookmarkStart w:id="275" w:name="_Toc425338108"/>
      <w:bookmarkStart w:id="276" w:name="_Toc402878953"/>
      <w:bookmarkStart w:id="277" w:name="_Toc402879140"/>
      <w:r>
        <w:rPr>
          <w:rStyle w:val="CharSchNo"/>
        </w:rPr>
        <w:t>Schedule 1A</w:t>
      </w:r>
      <w:r>
        <w:rPr>
          <w:rStyle w:val="CharSDivNo"/>
        </w:rPr>
        <w:t> </w:t>
      </w:r>
      <w:r>
        <w:t>—</w:t>
      </w:r>
      <w:r>
        <w:rPr>
          <w:rStyle w:val="CharSDivText"/>
        </w:rPr>
        <w:t> </w:t>
      </w:r>
      <w:r>
        <w:rPr>
          <w:rStyle w:val="CharSchText"/>
        </w:rPr>
        <w:t>Fuel oil wharfage</w:t>
      </w:r>
      <w:bookmarkEnd w:id="273"/>
      <w:bookmarkEnd w:id="274"/>
      <w:bookmarkEnd w:id="275"/>
    </w:p>
    <w:p>
      <w:pPr>
        <w:pStyle w:val="yShoulderClause"/>
      </w:pPr>
      <w:r>
        <w:t>[r. 11B(2)]</w:t>
      </w:r>
    </w:p>
    <w:p>
      <w:pPr>
        <w:pStyle w:val="yFootnoteheading"/>
      </w:pPr>
      <w:r>
        <w:tab/>
        <w:t>[Heading inserted in Gazette 22 Jul 2015 p. 2989.]</w:t>
      </w:r>
    </w:p>
    <w:p>
      <w:pPr>
        <w:pStyle w:val="yHeading5"/>
      </w:pPr>
      <w:bookmarkStart w:id="278" w:name="_Toc402879141"/>
      <w:bookmarkStart w:id="279" w:name="_Toc425338109"/>
      <w:bookmarkEnd w:id="276"/>
      <w:bookmarkEnd w:id="277"/>
      <w:r>
        <w:rPr>
          <w:rStyle w:val="CharSClsNo"/>
        </w:rPr>
        <w:t>1</w:t>
      </w:r>
      <w:r>
        <w:t>.</w:t>
      </w:r>
      <w:r>
        <w:tab/>
        <w:t>Wharfage for fuel (r. 11B(2))</w:t>
      </w:r>
      <w:bookmarkEnd w:id="278"/>
      <w:bookmarkEnd w:id="279"/>
    </w:p>
    <w:p>
      <w:pPr>
        <w:pStyle w:val="ySubsection"/>
      </w:pPr>
      <w:r>
        <w:tab/>
      </w:r>
      <w:r>
        <w:tab/>
        <w:t>The rate to be paid for fuel oil under regulation 11B(2) at a place listed in the Table is set out opposite the place.</w:t>
      </w:r>
    </w:p>
    <w:p>
      <w:pPr>
        <w:pStyle w:val="yTHeadingNAm"/>
      </w:pPr>
      <w:r>
        <w:t>Table (Wharfage for fuel oil)</w:t>
      </w:r>
    </w:p>
    <w:tbl>
      <w:tblPr>
        <w:tblW w:w="5585" w:type="dxa"/>
        <w:tblInd w:w="1107" w:type="dxa"/>
        <w:tblLayout w:type="fixed"/>
        <w:tblCellMar>
          <w:top w:w="57" w:type="dxa"/>
          <w:left w:w="57" w:type="dxa"/>
          <w:right w:w="57" w:type="dxa"/>
        </w:tblCellMar>
        <w:tblLook w:val="0000" w:firstRow="0" w:lastRow="0" w:firstColumn="0" w:lastColumn="0" w:noHBand="0" w:noVBand="0"/>
      </w:tblPr>
      <w:tblGrid>
        <w:gridCol w:w="714"/>
        <w:gridCol w:w="3542"/>
        <w:gridCol w:w="1329"/>
      </w:tblGrid>
      <w:tr>
        <w:trPr>
          <w:cantSplit/>
          <w:tblHeader/>
        </w:trPr>
        <w:tc>
          <w:tcPr>
            <w:tcW w:w="714" w:type="dxa"/>
            <w:tcBorders>
              <w:top w:val="single" w:sz="4" w:space="0" w:color="auto"/>
              <w:bottom w:val="single" w:sz="4" w:space="0" w:color="auto"/>
            </w:tcBorders>
          </w:tcPr>
          <w:p>
            <w:pPr>
              <w:pStyle w:val="yTableNAm"/>
            </w:pPr>
            <w:r>
              <w:rPr>
                <w:b/>
              </w:rPr>
              <w:t>Item</w:t>
            </w:r>
          </w:p>
        </w:tc>
        <w:tc>
          <w:tcPr>
            <w:tcW w:w="3542" w:type="dxa"/>
            <w:tcBorders>
              <w:top w:val="single" w:sz="4" w:space="0" w:color="auto"/>
              <w:bottom w:val="single" w:sz="4" w:space="0" w:color="auto"/>
            </w:tcBorders>
          </w:tcPr>
          <w:p>
            <w:pPr>
              <w:pStyle w:val="yTableNAm"/>
            </w:pPr>
            <w:r>
              <w:rPr>
                <w:b/>
              </w:rPr>
              <w:t>Service</w:t>
            </w:r>
          </w:p>
        </w:tc>
        <w:tc>
          <w:tcPr>
            <w:tcW w:w="1329" w:type="dxa"/>
            <w:tcBorders>
              <w:top w:val="single" w:sz="4" w:space="0" w:color="auto"/>
              <w:bottom w:val="single" w:sz="4" w:space="0" w:color="auto"/>
            </w:tcBorders>
          </w:tcPr>
          <w:p>
            <w:pPr>
              <w:pStyle w:val="yTableNAm"/>
              <w:jc w:val="center"/>
            </w:pPr>
            <w:r>
              <w:rPr>
                <w:b/>
              </w:rPr>
              <w:t>$/L</w:t>
            </w:r>
          </w:p>
        </w:tc>
      </w:tr>
      <w:tr>
        <w:trPr>
          <w:cantSplit/>
        </w:trPr>
        <w:tc>
          <w:tcPr>
            <w:tcW w:w="714" w:type="dxa"/>
          </w:tcPr>
          <w:p>
            <w:pPr>
              <w:pStyle w:val="yTableNAm"/>
            </w:pPr>
            <w:r>
              <w:t>1.</w:t>
            </w:r>
          </w:p>
        </w:tc>
        <w:tc>
          <w:tcPr>
            <w:tcW w:w="3542" w:type="dxa"/>
          </w:tcPr>
          <w:p>
            <w:pPr>
              <w:pStyle w:val="yTableNAm"/>
            </w:pPr>
            <w:r>
              <w:t>Albany, at Albany Waterfront Marina</w:t>
            </w:r>
          </w:p>
        </w:tc>
        <w:tc>
          <w:tcPr>
            <w:tcW w:w="1329" w:type="dxa"/>
          </w:tcPr>
          <w:p>
            <w:pPr>
              <w:pStyle w:val="yTableNAm"/>
              <w:jc w:val="center"/>
            </w:pPr>
            <w:r>
              <w:t>0.055</w:t>
            </w:r>
          </w:p>
        </w:tc>
      </w:tr>
      <w:tr>
        <w:trPr>
          <w:cantSplit/>
        </w:trPr>
        <w:tc>
          <w:tcPr>
            <w:tcW w:w="714" w:type="dxa"/>
          </w:tcPr>
          <w:p>
            <w:pPr>
              <w:pStyle w:val="yTableNAm"/>
            </w:pPr>
            <w:r>
              <w:t>2.</w:t>
            </w:r>
          </w:p>
        </w:tc>
        <w:tc>
          <w:tcPr>
            <w:tcW w:w="3542" w:type="dxa"/>
          </w:tcPr>
          <w:p>
            <w:pPr>
              <w:pStyle w:val="yTableNAm"/>
            </w:pPr>
            <w:r>
              <w:t>Albany, at Emu Point Boat Harbour</w:t>
            </w:r>
          </w:p>
        </w:tc>
        <w:tc>
          <w:tcPr>
            <w:tcW w:w="1329" w:type="dxa"/>
          </w:tcPr>
          <w:p>
            <w:pPr>
              <w:pStyle w:val="yTableNAm"/>
              <w:jc w:val="center"/>
            </w:pPr>
            <w:r>
              <w:t>0.055</w:t>
            </w:r>
          </w:p>
        </w:tc>
      </w:tr>
      <w:tr>
        <w:trPr>
          <w:cantSplit/>
        </w:trPr>
        <w:tc>
          <w:tcPr>
            <w:tcW w:w="714" w:type="dxa"/>
          </w:tcPr>
          <w:p>
            <w:pPr>
              <w:pStyle w:val="yTableNAm"/>
            </w:pPr>
            <w:r>
              <w:t>3.</w:t>
            </w:r>
          </w:p>
        </w:tc>
        <w:tc>
          <w:tcPr>
            <w:tcW w:w="3542" w:type="dxa"/>
          </w:tcPr>
          <w:p>
            <w:pPr>
              <w:pStyle w:val="yTableNAm"/>
            </w:pPr>
            <w:r>
              <w:t>Augusta (Ellis Street) Maritime Facility</w:t>
            </w:r>
          </w:p>
        </w:tc>
        <w:tc>
          <w:tcPr>
            <w:tcW w:w="1329" w:type="dxa"/>
          </w:tcPr>
          <w:p>
            <w:pPr>
              <w:pStyle w:val="yTableNAm"/>
              <w:jc w:val="center"/>
            </w:pPr>
            <w:r>
              <w:t>0.055</w:t>
            </w:r>
          </w:p>
        </w:tc>
      </w:tr>
      <w:tr>
        <w:trPr>
          <w:cantSplit/>
        </w:trPr>
        <w:tc>
          <w:tcPr>
            <w:tcW w:w="714" w:type="dxa"/>
          </w:tcPr>
          <w:p>
            <w:pPr>
              <w:pStyle w:val="yTableNAm"/>
            </w:pPr>
            <w:r>
              <w:t>4.</w:t>
            </w:r>
          </w:p>
        </w:tc>
        <w:tc>
          <w:tcPr>
            <w:tcW w:w="3542" w:type="dxa"/>
          </w:tcPr>
          <w:p>
            <w:pPr>
              <w:pStyle w:val="yTableNAm"/>
            </w:pPr>
            <w:r>
              <w:t>Augusta Boat Harbour</w:t>
            </w:r>
          </w:p>
        </w:tc>
        <w:tc>
          <w:tcPr>
            <w:tcW w:w="1329" w:type="dxa"/>
          </w:tcPr>
          <w:p>
            <w:pPr>
              <w:pStyle w:val="yTableNAm"/>
              <w:jc w:val="center"/>
            </w:pPr>
            <w:r>
              <w:t>0.055</w:t>
            </w:r>
          </w:p>
        </w:tc>
      </w:tr>
      <w:tr>
        <w:trPr>
          <w:cantSplit/>
        </w:trPr>
        <w:tc>
          <w:tcPr>
            <w:tcW w:w="714" w:type="dxa"/>
          </w:tcPr>
          <w:p>
            <w:pPr>
              <w:pStyle w:val="yTableNAm"/>
            </w:pPr>
            <w:r>
              <w:t>5.</w:t>
            </w:r>
          </w:p>
        </w:tc>
        <w:tc>
          <w:tcPr>
            <w:tcW w:w="3542" w:type="dxa"/>
          </w:tcPr>
          <w:p>
            <w:pPr>
              <w:pStyle w:val="yTableNAm"/>
            </w:pPr>
            <w:r>
              <w:t>Barrack Street Jetty</w:t>
            </w:r>
          </w:p>
        </w:tc>
        <w:tc>
          <w:tcPr>
            <w:tcW w:w="1329" w:type="dxa"/>
          </w:tcPr>
          <w:p>
            <w:pPr>
              <w:pStyle w:val="yTableNAm"/>
              <w:jc w:val="center"/>
            </w:pPr>
            <w:r>
              <w:t>0.055</w:t>
            </w:r>
          </w:p>
        </w:tc>
      </w:tr>
      <w:tr>
        <w:trPr>
          <w:cantSplit/>
        </w:trPr>
        <w:tc>
          <w:tcPr>
            <w:tcW w:w="714" w:type="dxa"/>
          </w:tcPr>
          <w:p>
            <w:pPr>
              <w:pStyle w:val="yTableNAm"/>
            </w:pPr>
            <w:r>
              <w:t>6.</w:t>
            </w:r>
          </w:p>
        </w:tc>
        <w:tc>
          <w:tcPr>
            <w:tcW w:w="3542" w:type="dxa"/>
          </w:tcPr>
          <w:p>
            <w:pPr>
              <w:pStyle w:val="yTableNAm"/>
            </w:pPr>
            <w:r>
              <w:t>Bremer Bay</w:t>
            </w:r>
          </w:p>
        </w:tc>
        <w:tc>
          <w:tcPr>
            <w:tcW w:w="1329" w:type="dxa"/>
          </w:tcPr>
          <w:p>
            <w:pPr>
              <w:pStyle w:val="yTableNAm"/>
              <w:jc w:val="center"/>
            </w:pPr>
            <w:r>
              <w:t>0.055</w:t>
            </w:r>
          </w:p>
        </w:tc>
      </w:tr>
      <w:tr>
        <w:trPr>
          <w:cantSplit/>
        </w:trPr>
        <w:tc>
          <w:tcPr>
            <w:tcW w:w="714" w:type="dxa"/>
          </w:tcPr>
          <w:p>
            <w:pPr>
              <w:pStyle w:val="yTableNAm"/>
            </w:pPr>
            <w:r>
              <w:t>7.</w:t>
            </w:r>
          </w:p>
        </w:tc>
        <w:tc>
          <w:tcPr>
            <w:tcW w:w="3542" w:type="dxa"/>
          </w:tcPr>
          <w:p>
            <w:pPr>
              <w:pStyle w:val="yTableNAm"/>
            </w:pPr>
            <w:r>
              <w:t>Bunbury, at Casuarina Boat Harbour</w:t>
            </w:r>
          </w:p>
        </w:tc>
        <w:tc>
          <w:tcPr>
            <w:tcW w:w="1329" w:type="dxa"/>
          </w:tcPr>
          <w:p>
            <w:pPr>
              <w:pStyle w:val="yTableNAm"/>
              <w:jc w:val="center"/>
            </w:pPr>
            <w:r>
              <w:t>0.055</w:t>
            </w:r>
          </w:p>
        </w:tc>
      </w:tr>
      <w:tr>
        <w:trPr>
          <w:cantSplit/>
        </w:trPr>
        <w:tc>
          <w:tcPr>
            <w:tcW w:w="714" w:type="dxa"/>
          </w:tcPr>
          <w:p>
            <w:pPr>
              <w:pStyle w:val="yTableNAm"/>
            </w:pPr>
            <w:r>
              <w:t>8.</w:t>
            </w:r>
          </w:p>
        </w:tc>
        <w:tc>
          <w:tcPr>
            <w:tcW w:w="3542" w:type="dxa"/>
          </w:tcPr>
          <w:p>
            <w:pPr>
              <w:pStyle w:val="yTableNAm"/>
            </w:pPr>
            <w:r>
              <w:t>Carnarvon</w:t>
            </w:r>
          </w:p>
        </w:tc>
        <w:tc>
          <w:tcPr>
            <w:tcW w:w="1329" w:type="dxa"/>
          </w:tcPr>
          <w:p>
            <w:pPr>
              <w:pStyle w:val="yTableNAm"/>
              <w:jc w:val="center"/>
            </w:pPr>
            <w:r>
              <w:t>0.055</w:t>
            </w:r>
          </w:p>
        </w:tc>
      </w:tr>
      <w:tr>
        <w:trPr>
          <w:cantSplit/>
        </w:trPr>
        <w:tc>
          <w:tcPr>
            <w:tcW w:w="714" w:type="dxa"/>
          </w:tcPr>
          <w:p>
            <w:pPr>
              <w:pStyle w:val="yTableNAm"/>
            </w:pPr>
            <w:r>
              <w:t>9.</w:t>
            </w:r>
          </w:p>
        </w:tc>
        <w:tc>
          <w:tcPr>
            <w:tcW w:w="3542" w:type="dxa"/>
          </w:tcPr>
          <w:p>
            <w:pPr>
              <w:pStyle w:val="yTableNAm"/>
            </w:pPr>
            <w:r>
              <w:t>Cervantes</w:t>
            </w:r>
          </w:p>
        </w:tc>
        <w:tc>
          <w:tcPr>
            <w:tcW w:w="1329" w:type="dxa"/>
          </w:tcPr>
          <w:p>
            <w:pPr>
              <w:pStyle w:val="yTableNAm"/>
              <w:jc w:val="center"/>
            </w:pPr>
            <w:r>
              <w:t>0.055</w:t>
            </w:r>
          </w:p>
        </w:tc>
      </w:tr>
      <w:tr>
        <w:trPr>
          <w:cantSplit/>
        </w:trPr>
        <w:tc>
          <w:tcPr>
            <w:tcW w:w="714" w:type="dxa"/>
          </w:tcPr>
          <w:p>
            <w:pPr>
              <w:pStyle w:val="yTableNAm"/>
            </w:pPr>
            <w:r>
              <w:t>10.</w:t>
            </w:r>
          </w:p>
        </w:tc>
        <w:tc>
          <w:tcPr>
            <w:tcW w:w="3542" w:type="dxa"/>
          </w:tcPr>
          <w:p>
            <w:pPr>
              <w:pStyle w:val="yTableNAm"/>
            </w:pPr>
            <w:r>
              <w:t>Denham</w:t>
            </w:r>
          </w:p>
        </w:tc>
        <w:tc>
          <w:tcPr>
            <w:tcW w:w="1329" w:type="dxa"/>
          </w:tcPr>
          <w:p>
            <w:pPr>
              <w:pStyle w:val="yTableNAm"/>
              <w:jc w:val="center"/>
            </w:pPr>
            <w:r>
              <w:t>0.055</w:t>
            </w:r>
          </w:p>
        </w:tc>
      </w:tr>
      <w:tr>
        <w:trPr>
          <w:cantSplit/>
        </w:trPr>
        <w:tc>
          <w:tcPr>
            <w:tcW w:w="714" w:type="dxa"/>
          </w:tcPr>
          <w:p>
            <w:pPr>
              <w:pStyle w:val="yTableNAm"/>
            </w:pPr>
            <w:r>
              <w:t>11.</w:t>
            </w:r>
          </w:p>
        </w:tc>
        <w:tc>
          <w:tcPr>
            <w:tcW w:w="3542" w:type="dxa"/>
          </w:tcPr>
          <w:p>
            <w:pPr>
              <w:pStyle w:val="yTableNAm"/>
            </w:pPr>
            <w:r>
              <w:t>Esperance</w:t>
            </w:r>
          </w:p>
        </w:tc>
        <w:tc>
          <w:tcPr>
            <w:tcW w:w="1329" w:type="dxa"/>
          </w:tcPr>
          <w:p>
            <w:pPr>
              <w:pStyle w:val="yTableNAm"/>
              <w:jc w:val="center"/>
            </w:pPr>
            <w:r>
              <w:t>0.055</w:t>
            </w:r>
          </w:p>
        </w:tc>
      </w:tr>
      <w:tr>
        <w:trPr>
          <w:cantSplit/>
        </w:trPr>
        <w:tc>
          <w:tcPr>
            <w:tcW w:w="714" w:type="dxa"/>
          </w:tcPr>
          <w:p>
            <w:pPr>
              <w:pStyle w:val="yTableNAm"/>
            </w:pPr>
            <w:r>
              <w:t>12.</w:t>
            </w:r>
          </w:p>
        </w:tc>
        <w:tc>
          <w:tcPr>
            <w:tcW w:w="3542" w:type="dxa"/>
          </w:tcPr>
          <w:p>
            <w:pPr>
              <w:pStyle w:val="yTableNAm"/>
            </w:pPr>
            <w:r>
              <w:t>Exmouth</w:t>
            </w:r>
          </w:p>
        </w:tc>
        <w:tc>
          <w:tcPr>
            <w:tcW w:w="1329" w:type="dxa"/>
          </w:tcPr>
          <w:p>
            <w:pPr>
              <w:pStyle w:val="yTableNAm"/>
              <w:jc w:val="center"/>
            </w:pPr>
            <w:r>
              <w:t>0.055</w:t>
            </w:r>
          </w:p>
        </w:tc>
      </w:tr>
      <w:tr>
        <w:trPr>
          <w:cantSplit/>
        </w:trPr>
        <w:tc>
          <w:tcPr>
            <w:tcW w:w="714" w:type="dxa"/>
          </w:tcPr>
          <w:p>
            <w:pPr>
              <w:pStyle w:val="yTableNAm"/>
            </w:pPr>
            <w:r>
              <w:t>13.</w:t>
            </w:r>
          </w:p>
        </w:tc>
        <w:tc>
          <w:tcPr>
            <w:tcW w:w="3542" w:type="dxa"/>
          </w:tcPr>
          <w:p>
            <w:pPr>
              <w:pStyle w:val="yTableNAm"/>
            </w:pPr>
            <w:r>
              <w:t>Fremantle, at Fremantle Fishing Boat Harbour</w:t>
            </w:r>
          </w:p>
        </w:tc>
        <w:tc>
          <w:tcPr>
            <w:tcW w:w="1329" w:type="dxa"/>
          </w:tcPr>
          <w:p>
            <w:pPr>
              <w:pStyle w:val="yTableNAm"/>
              <w:jc w:val="center"/>
            </w:pPr>
            <w:r>
              <w:br/>
              <w:t>0.055</w:t>
            </w:r>
          </w:p>
        </w:tc>
      </w:tr>
      <w:tr>
        <w:trPr>
          <w:cantSplit/>
        </w:trPr>
        <w:tc>
          <w:tcPr>
            <w:tcW w:w="714" w:type="dxa"/>
          </w:tcPr>
          <w:p>
            <w:pPr>
              <w:pStyle w:val="yTableNAm"/>
            </w:pPr>
            <w:r>
              <w:t>14.</w:t>
            </w:r>
          </w:p>
        </w:tc>
        <w:tc>
          <w:tcPr>
            <w:tcW w:w="3542" w:type="dxa"/>
          </w:tcPr>
          <w:p>
            <w:pPr>
              <w:pStyle w:val="yTableNAm"/>
            </w:pPr>
            <w:r>
              <w:t>Green Head</w:t>
            </w:r>
          </w:p>
        </w:tc>
        <w:tc>
          <w:tcPr>
            <w:tcW w:w="1329" w:type="dxa"/>
          </w:tcPr>
          <w:p>
            <w:pPr>
              <w:pStyle w:val="yTableNAm"/>
              <w:jc w:val="center"/>
            </w:pPr>
            <w:r>
              <w:t>0.055</w:t>
            </w:r>
          </w:p>
        </w:tc>
      </w:tr>
      <w:tr>
        <w:trPr>
          <w:cantSplit/>
        </w:trPr>
        <w:tc>
          <w:tcPr>
            <w:tcW w:w="714" w:type="dxa"/>
          </w:tcPr>
          <w:p>
            <w:pPr>
              <w:pStyle w:val="yTableNAm"/>
            </w:pPr>
            <w:r>
              <w:t>15.</w:t>
            </w:r>
          </w:p>
        </w:tc>
        <w:tc>
          <w:tcPr>
            <w:tcW w:w="3542" w:type="dxa"/>
          </w:tcPr>
          <w:p>
            <w:pPr>
              <w:pStyle w:val="yTableNAm"/>
            </w:pPr>
            <w:r>
              <w:t>Hillarys Boat Harbour</w:t>
            </w:r>
          </w:p>
        </w:tc>
        <w:tc>
          <w:tcPr>
            <w:tcW w:w="1329" w:type="dxa"/>
          </w:tcPr>
          <w:p>
            <w:pPr>
              <w:pStyle w:val="yTableNAm"/>
              <w:jc w:val="center"/>
            </w:pPr>
            <w:r>
              <w:t>0.055</w:t>
            </w:r>
          </w:p>
        </w:tc>
      </w:tr>
      <w:tr>
        <w:trPr>
          <w:cantSplit/>
        </w:trPr>
        <w:tc>
          <w:tcPr>
            <w:tcW w:w="714" w:type="dxa"/>
          </w:tcPr>
          <w:p>
            <w:pPr>
              <w:pStyle w:val="yTableNAm"/>
            </w:pPr>
            <w:r>
              <w:t>16.</w:t>
            </w:r>
          </w:p>
        </w:tc>
        <w:tc>
          <w:tcPr>
            <w:tcW w:w="3542" w:type="dxa"/>
          </w:tcPr>
          <w:p>
            <w:pPr>
              <w:pStyle w:val="yTableNAm"/>
            </w:pPr>
            <w:r>
              <w:t>Hopetoun</w:t>
            </w:r>
          </w:p>
        </w:tc>
        <w:tc>
          <w:tcPr>
            <w:tcW w:w="1329" w:type="dxa"/>
          </w:tcPr>
          <w:p>
            <w:pPr>
              <w:pStyle w:val="yTableNAm"/>
              <w:jc w:val="center"/>
            </w:pPr>
            <w:r>
              <w:t>0.055</w:t>
            </w:r>
          </w:p>
        </w:tc>
      </w:tr>
      <w:tr>
        <w:trPr>
          <w:cantSplit/>
        </w:trPr>
        <w:tc>
          <w:tcPr>
            <w:tcW w:w="714" w:type="dxa"/>
          </w:tcPr>
          <w:p>
            <w:pPr>
              <w:pStyle w:val="yTableNAm"/>
            </w:pPr>
            <w:r>
              <w:t>17.</w:t>
            </w:r>
          </w:p>
        </w:tc>
        <w:tc>
          <w:tcPr>
            <w:tcW w:w="3542" w:type="dxa"/>
          </w:tcPr>
          <w:p>
            <w:pPr>
              <w:pStyle w:val="yTableNAm"/>
            </w:pPr>
            <w:r>
              <w:t>Jurien</w:t>
            </w:r>
          </w:p>
        </w:tc>
        <w:tc>
          <w:tcPr>
            <w:tcW w:w="1329" w:type="dxa"/>
          </w:tcPr>
          <w:p>
            <w:pPr>
              <w:pStyle w:val="yTableNAm"/>
              <w:jc w:val="center"/>
            </w:pPr>
            <w:r>
              <w:t>0.055</w:t>
            </w:r>
          </w:p>
        </w:tc>
      </w:tr>
      <w:tr>
        <w:trPr>
          <w:cantSplit/>
        </w:trPr>
        <w:tc>
          <w:tcPr>
            <w:tcW w:w="714" w:type="dxa"/>
          </w:tcPr>
          <w:p>
            <w:pPr>
              <w:pStyle w:val="yTableNAm"/>
            </w:pPr>
            <w:r>
              <w:t>18.</w:t>
            </w:r>
          </w:p>
        </w:tc>
        <w:tc>
          <w:tcPr>
            <w:tcW w:w="3542" w:type="dxa"/>
          </w:tcPr>
          <w:p>
            <w:pPr>
              <w:pStyle w:val="yTableNAm"/>
            </w:pPr>
            <w:r>
              <w:t>Kalbarri</w:t>
            </w:r>
          </w:p>
        </w:tc>
        <w:tc>
          <w:tcPr>
            <w:tcW w:w="1329" w:type="dxa"/>
          </w:tcPr>
          <w:p>
            <w:pPr>
              <w:pStyle w:val="yTableNAm"/>
              <w:jc w:val="center"/>
            </w:pPr>
            <w:r>
              <w:t>0.055</w:t>
            </w:r>
          </w:p>
        </w:tc>
      </w:tr>
      <w:tr>
        <w:trPr>
          <w:cantSplit/>
        </w:trPr>
        <w:tc>
          <w:tcPr>
            <w:tcW w:w="714" w:type="dxa"/>
          </w:tcPr>
          <w:p>
            <w:pPr>
              <w:pStyle w:val="yTableNAm"/>
            </w:pPr>
            <w:r>
              <w:t>19.</w:t>
            </w:r>
          </w:p>
        </w:tc>
        <w:tc>
          <w:tcPr>
            <w:tcW w:w="3542" w:type="dxa"/>
          </w:tcPr>
          <w:p>
            <w:pPr>
              <w:pStyle w:val="yTableNAm"/>
            </w:pPr>
            <w:r>
              <w:t>Lancelin</w:t>
            </w:r>
          </w:p>
        </w:tc>
        <w:tc>
          <w:tcPr>
            <w:tcW w:w="1329" w:type="dxa"/>
          </w:tcPr>
          <w:p>
            <w:pPr>
              <w:pStyle w:val="yTableNAm"/>
              <w:jc w:val="center"/>
            </w:pPr>
            <w:r>
              <w:t>0.055</w:t>
            </w:r>
          </w:p>
        </w:tc>
      </w:tr>
      <w:tr>
        <w:trPr>
          <w:cantSplit/>
        </w:trPr>
        <w:tc>
          <w:tcPr>
            <w:tcW w:w="714" w:type="dxa"/>
          </w:tcPr>
          <w:p>
            <w:pPr>
              <w:pStyle w:val="yTableNAm"/>
            </w:pPr>
            <w:r>
              <w:t>20.</w:t>
            </w:r>
          </w:p>
        </w:tc>
        <w:tc>
          <w:tcPr>
            <w:tcW w:w="3542" w:type="dxa"/>
          </w:tcPr>
          <w:p>
            <w:pPr>
              <w:pStyle w:val="yTableNAm"/>
            </w:pPr>
            <w:r>
              <w:t>Leeman</w:t>
            </w:r>
          </w:p>
        </w:tc>
        <w:tc>
          <w:tcPr>
            <w:tcW w:w="1329" w:type="dxa"/>
          </w:tcPr>
          <w:p>
            <w:pPr>
              <w:pStyle w:val="yTableNAm"/>
              <w:jc w:val="center"/>
            </w:pPr>
            <w:r>
              <w:t>0.055</w:t>
            </w:r>
          </w:p>
        </w:tc>
      </w:tr>
      <w:tr>
        <w:trPr>
          <w:cantSplit/>
        </w:trPr>
        <w:tc>
          <w:tcPr>
            <w:tcW w:w="714" w:type="dxa"/>
          </w:tcPr>
          <w:p>
            <w:pPr>
              <w:pStyle w:val="yTableNAm"/>
            </w:pPr>
            <w:r>
              <w:t>21.</w:t>
            </w:r>
          </w:p>
        </w:tc>
        <w:tc>
          <w:tcPr>
            <w:tcW w:w="3542" w:type="dxa"/>
          </w:tcPr>
          <w:p>
            <w:pPr>
              <w:pStyle w:val="yTableNAm"/>
            </w:pPr>
            <w:r>
              <w:t>Onslow, at Beadon Creek Boat Harbour</w:t>
            </w:r>
          </w:p>
        </w:tc>
        <w:tc>
          <w:tcPr>
            <w:tcW w:w="1329" w:type="dxa"/>
          </w:tcPr>
          <w:p>
            <w:pPr>
              <w:pStyle w:val="yTableNAm"/>
              <w:jc w:val="center"/>
            </w:pPr>
            <w:r>
              <w:t>0.055</w:t>
            </w:r>
          </w:p>
        </w:tc>
      </w:tr>
      <w:tr>
        <w:trPr>
          <w:cantSplit/>
        </w:trPr>
        <w:tc>
          <w:tcPr>
            <w:tcW w:w="714" w:type="dxa"/>
          </w:tcPr>
          <w:p>
            <w:pPr>
              <w:pStyle w:val="yTableNAm"/>
            </w:pPr>
            <w:r>
              <w:t>22.</w:t>
            </w:r>
          </w:p>
        </w:tc>
        <w:tc>
          <w:tcPr>
            <w:tcW w:w="3542" w:type="dxa"/>
          </w:tcPr>
          <w:p>
            <w:pPr>
              <w:pStyle w:val="yTableNAm"/>
            </w:pPr>
            <w:r>
              <w:t>Point Samson, at Johns Creek Boat Harbour</w:t>
            </w:r>
          </w:p>
        </w:tc>
        <w:tc>
          <w:tcPr>
            <w:tcW w:w="1329" w:type="dxa"/>
          </w:tcPr>
          <w:p>
            <w:pPr>
              <w:pStyle w:val="yTableNAm"/>
              <w:jc w:val="center"/>
            </w:pPr>
            <w:r>
              <w:t>0.055</w:t>
            </w:r>
          </w:p>
        </w:tc>
      </w:tr>
      <w:tr>
        <w:trPr>
          <w:cantSplit/>
        </w:trPr>
        <w:tc>
          <w:tcPr>
            <w:tcW w:w="714" w:type="dxa"/>
          </w:tcPr>
          <w:p>
            <w:pPr>
              <w:pStyle w:val="yTableNAm"/>
            </w:pPr>
            <w:r>
              <w:t>23.</w:t>
            </w:r>
          </w:p>
        </w:tc>
        <w:tc>
          <w:tcPr>
            <w:tcW w:w="3542" w:type="dxa"/>
          </w:tcPr>
          <w:p>
            <w:pPr>
              <w:pStyle w:val="yTableNAm"/>
            </w:pPr>
            <w:r>
              <w:t>Port Denison</w:t>
            </w:r>
          </w:p>
        </w:tc>
        <w:tc>
          <w:tcPr>
            <w:tcW w:w="1329" w:type="dxa"/>
          </w:tcPr>
          <w:p>
            <w:pPr>
              <w:pStyle w:val="yTableNAm"/>
              <w:jc w:val="center"/>
            </w:pPr>
            <w:r>
              <w:t>0.055</w:t>
            </w:r>
          </w:p>
        </w:tc>
      </w:tr>
      <w:tr>
        <w:trPr>
          <w:cantSplit/>
        </w:trPr>
        <w:tc>
          <w:tcPr>
            <w:tcW w:w="714" w:type="dxa"/>
          </w:tcPr>
          <w:p>
            <w:pPr>
              <w:pStyle w:val="yTableNAm"/>
            </w:pPr>
            <w:r>
              <w:t>24.</w:t>
            </w:r>
          </w:p>
        </w:tc>
        <w:tc>
          <w:tcPr>
            <w:tcW w:w="3542" w:type="dxa"/>
          </w:tcPr>
          <w:p>
            <w:pPr>
              <w:pStyle w:val="yTableNAm"/>
            </w:pPr>
            <w:r>
              <w:t>Port Gregory</w:t>
            </w:r>
          </w:p>
        </w:tc>
        <w:tc>
          <w:tcPr>
            <w:tcW w:w="1329" w:type="dxa"/>
          </w:tcPr>
          <w:p>
            <w:pPr>
              <w:pStyle w:val="yTableNAm"/>
              <w:jc w:val="center"/>
            </w:pPr>
            <w:r>
              <w:t>0.055</w:t>
            </w:r>
          </w:p>
        </w:tc>
      </w:tr>
      <w:tr>
        <w:trPr>
          <w:cantSplit/>
        </w:trPr>
        <w:tc>
          <w:tcPr>
            <w:tcW w:w="714" w:type="dxa"/>
          </w:tcPr>
          <w:p>
            <w:pPr>
              <w:pStyle w:val="yTableNAm"/>
            </w:pPr>
            <w:r>
              <w:t>25.</w:t>
            </w:r>
          </w:p>
        </w:tc>
        <w:tc>
          <w:tcPr>
            <w:tcW w:w="3542" w:type="dxa"/>
          </w:tcPr>
          <w:p>
            <w:pPr>
              <w:pStyle w:val="yTableNAm"/>
            </w:pPr>
            <w:r>
              <w:t>Two Rocks Marina</w:t>
            </w:r>
          </w:p>
        </w:tc>
        <w:tc>
          <w:tcPr>
            <w:tcW w:w="1329" w:type="dxa"/>
          </w:tcPr>
          <w:p>
            <w:pPr>
              <w:pStyle w:val="yTableNAm"/>
              <w:jc w:val="center"/>
            </w:pPr>
            <w:r>
              <w:t>0.055</w:t>
            </w:r>
          </w:p>
        </w:tc>
      </w:tr>
      <w:tr>
        <w:trPr>
          <w:cantSplit/>
        </w:trPr>
        <w:tc>
          <w:tcPr>
            <w:tcW w:w="714" w:type="dxa"/>
            <w:tcBorders>
              <w:bottom w:val="single" w:sz="4" w:space="0" w:color="auto"/>
            </w:tcBorders>
          </w:tcPr>
          <w:p>
            <w:pPr>
              <w:pStyle w:val="yTableNAm"/>
            </w:pPr>
            <w:r>
              <w:t>26.</w:t>
            </w:r>
          </w:p>
        </w:tc>
        <w:tc>
          <w:tcPr>
            <w:tcW w:w="3542" w:type="dxa"/>
            <w:tcBorders>
              <w:bottom w:val="single" w:sz="4" w:space="0" w:color="auto"/>
            </w:tcBorders>
          </w:tcPr>
          <w:p>
            <w:pPr>
              <w:pStyle w:val="yTableNAm"/>
            </w:pPr>
            <w:r>
              <w:t>Wyndham</w:t>
            </w:r>
          </w:p>
        </w:tc>
        <w:tc>
          <w:tcPr>
            <w:tcW w:w="1329" w:type="dxa"/>
            <w:tcBorders>
              <w:bottom w:val="single" w:sz="4" w:space="0" w:color="auto"/>
            </w:tcBorders>
          </w:tcPr>
          <w:p>
            <w:pPr>
              <w:pStyle w:val="yTableNAm"/>
              <w:jc w:val="center"/>
            </w:pPr>
            <w:r>
              <w:t>0.01082</w:t>
            </w:r>
          </w:p>
        </w:tc>
      </w:tr>
    </w:tbl>
    <w:p>
      <w:pPr>
        <w:pStyle w:val="yFootnotesection"/>
      </w:pPr>
      <w:bookmarkStart w:id="280" w:name="_Toc402878955"/>
      <w:bookmarkStart w:id="281" w:name="_Toc402879142"/>
      <w:r>
        <w:tab/>
        <w:t>[Clause 1 inserted in Gazette 22 Jul 2015 p. 2989</w:t>
      </w:r>
      <w:r>
        <w:noBreakHyphen/>
        <w:t>90.]</w:t>
      </w:r>
    </w:p>
    <w:p>
      <w:pPr>
        <w:pStyle w:val="yScheduleHeading"/>
      </w:pPr>
      <w:bookmarkStart w:id="282" w:name="_Toc425337648"/>
      <w:bookmarkStart w:id="283" w:name="_Toc425337911"/>
      <w:bookmarkStart w:id="284" w:name="_Toc425338110"/>
      <w:r>
        <w:rPr>
          <w:rStyle w:val="CharSchNo"/>
        </w:rPr>
        <w:t>Schedule 2</w:t>
      </w:r>
      <w:r>
        <w:t> — </w:t>
      </w:r>
      <w:r>
        <w:rPr>
          <w:rStyle w:val="CharSchText"/>
        </w:rPr>
        <w:t>Port of Perth charges</w:t>
      </w:r>
      <w:bookmarkEnd w:id="282"/>
      <w:bookmarkEnd w:id="283"/>
      <w:bookmarkEnd w:id="284"/>
    </w:p>
    <w:p>
      <w:pPr>
        <w:pStyle w:val="yShoulderClause"/>
      </w:pPr>
      <w:r>
        <w:t>[r. 72]</w:t>
      </w:r>
    </w:p>
    <w:p>
      <w:pPr>
        <w:pStyle w:val="yFootnoteheading"/>
      </w:pPr>
      <w:r>
        <w:tab/>
        <w:t>[Heading inserted in Gazette 22 Jul 2015 p. 2990.]</w:t>
      </w:r>
    </w:p>
    <w:p>
      <w:pPr>
        <w:pStyle w:val="yHeading3"/>
      </w:pPr>
      <w:bookmarkStart w:id="285" w:name="_Toc425337649"/>
      <w:bookmarkStart w:id="286" w:name="_Toc425337912"/>
      <w:bookmarkStart w:id="287" w:name="_Toc425338111"/>
      <w:r>
        <w:rPr>
          <w:rStyle w:val="CharSDivNo"/>
        </w:rPr>
        <w:t>Division 1A</w:t>
      </w:r>
      <w:r>
        <w:rPr>
          <w:b w:val="0"/>
        </w:rPr>
        <w:t> — </w:t>
      </w:r>
      <w:r>
        <w:rPr>
          <w:rStyle w:val="CharSDivText"/>
        </w:rPr>
        <w:t>Application and Standard rates</w:t>
      </w:r>
      <w:bookmarkEnd w:id="285"/>
      <w:bookmarkEnd w:id="286"/>
      <w:bookmarkEnd w:id="287"/>
    </w:p>
    <w:p>
      <w:pPr>
        <w:pStyle w:val="yFootnoteheading"/>
      </w:pPr>
      <w:r>
        <w:tab/>
        <w:t>[Heading inserted in Gazette 22 Jul 2015 p. 2990.]</w:t>
      </w:r>
    </w:p>
    <w:p>
      <w:pPr>
        <w:pStyle w:val="yHeading5"/>
      </w:pPr>
      <w:bookmarkStart w:id="288" w:name="_Toc425338112"/>
      <w:bookmarkEnd w:id="280"/>
      <w:bookmarkEnd w:id="281"/>
      <w:r>
        <w:rPr>
          <w:rStyle w:val="CharSClsNo"/>
        </w:rPr>
        <w:t>1A</w:t>
      </w:r>
      <w:r>
        <w:t>.</w:t>
      </w:r>
      <w:r>
        <w:tab/>
        <w:t>Application of this Schedule</w:t>
      </w:r>
      <w:bookmarkEnd w:id="288"/>
    </w:p>
    <w:p>
      <w:pPr>
        <w:pStyle w:val="ySubsection"/>
      </w:pPr>
      <w:r>
        <w:tab/>
      </w:r>
      <w:r>
        <w:tab/>
        <w:t>The charges in this Schedule apply to the specified jetties and harbours in addition to the charges that apply State</w:t>
      </w:r>
      <w:r>
        <w:noBreakHyphen/>
        <w:t>wide under Schedule 1 Division 2.</w:t>
      </w:r>
    </w:p>
    <w:p>
      <w:pPr>
        <w:pStyle w:val="yFootnotesection"/>
      </w:pPr>
      <w:r>
        <w:tab/>
        <w:t>[Clause 1 inserted in Gazette 22 Jul 2015 p. 2990.]</w:t>
      </w:r>
    </w:p>
    <w:p>
      <w:pPr>
        <w:pStyle w:val="yHeading5"/>
      </w:pPr>
      <w:bookmarkStart w:id="289" w:name="_Toc425338113"/>
      <w:r>
        <w:rPr>
          <w:rStyle w:val="CharSClsNo"/>
        </w:rPr>
        <w:t>1B</w:t>
      </w:r>
      <w:r>
        <w:t>.</w:t>
      </w:r>
      <w:r>
        <w:tab/>
        <w:t>Standard rates for this Schedule</w:t>
      </w:r>
      <w:bookmarkEnd w:id="289"/>
    </w:p>
    <w:p>
      <w:pPr>
        <w:pStyle w:val="ySubsection"/>
      </w:pPr>
      <w:r>
        <w:tab/>
      </w:r>
      <w:r>
        <w:tab/>
        <w:t xml:space="preserve">In this Schedule, the following rates are standard rates — </w:t>
      </w:r>
    </w:p>
    <w:p>
      <w:pPr>
        <w:pStyle w:val="ySubsection"/>
        <w:rPr>
          <w:b/>
        </w:rPr>
      </w:pPr>
      <w:r>
        <w:rPr>
          <w:b/>
        </w:rPr>
        <w:tab/>
      </w:r>
      <w:r>
        <w:rPr>
          <w:b/>
        </w:rPr>
        <w:tab/>
        <w:t>Rate 1: a casual daily rate of $7.15 per metre of the vessel’s length</w:t>
      </w:r>
    </w:p>
    <w:p>
      <w:pPr>
        <w:pStyle w:val="ySubsection"/>
      </w:pPr>
      <w:r>
        <w:tab/>
      </w:r>
      <w:r>
        <w:tab/>
        <w:t>Typically used to calculate the standard daily rate for casual use of a pen or alongside berth (whether or not the alongside berth is on a service wharf or jetty) for a commercial vessel.</w:t>
      </w:r>
    </w:p>
    <w:p>
      <w:pPr>
        <w:pStyle w:val="ySubsection"/>
        <w:rPr>
          <w:b/>
        </w:rPr>
      </w:pPr>
      <w:r>
        <w:rPr>
          <w:b/>
        </w:rPr>
        <w:tab/>
      </w:r>
      <w:r>
        <w:rPr>
          <w:b/>
        </w:rPr>
        <w:tab/>
        <w:t>Rate 2: a casual daily rate of $50.00</w:t>
      </w:r>
    </w:p>
    <w:p>
      <w:pPr>
        <w:pStyle w:val="ySubsection"/>
      </w:pPr>
      <w:r>
        <w:tab/>
      </w:r>
      <w:r>
        <w:tab/>
        <w:t>Typically used to calculate the standard daily rate for casual use of a pen or alongside berth for a recreational vessel.</w:t>
      </w:r>
    </w:p>
    <w:p>
      <w:pPr>
        <w:pStyle w:val="ySubsection"/>
        <w:rPr>
          <w:b/>
        </w:rPr>
      </w:pPr>
      <w:r>
        <w:rPr>
          <w:b/>
        </w:rPr>
        <w:tab/>
      </w:r>
      <w:r>
        <w:rPr>
          <w:b/>
        </w:rPr>
        <w:tab/>
        <w:t>Rate 3: an annual rate of $80.00 per metre of the vessel’s length</w:t>
      </w:r>
    </w:p>
    <w:p>
      <w:pPr>
        <w:pStyle w:val="ySubsection"/>
      </w:pPr>
      <w:r>
        <w:tab/>
      </w:r>
      <w:r>
        <w:tab/>
        <w:t>Typically used to calculate the standard annual rate for short term use of a service wharf or jetty for a vessel.</w:t>
      </w:r>
    </w:p>
    <w:p>
      <w:pPr>
        <w:pStyle w:val="yFootnotesection"/>
      </w:pPr>
      <w:r>
        <w:tab/>
        <w:t>[Clause 1B inserted in Gazette 22 Jul 2015 p. 2991.]</w:t>
      </w:r>
    </w:p>
    <w:p>
      <w:pPr>
        <w:pStyle w:val="yHeading5"/>
      </w:pPr>
      <w:bookmarkStart w:id="290" w:name="_Toc425338114"/>
      <w:r>
        <w:rPr>
          <w:rStyle w:val="CharSClsNo"/>
        </w:rPr>
        <w:t>1C</w:t>
      </w:r>
      <w:r>
        <w:t>.</w:t>
      </w:r>
      <w:r>
        <w:tab/>
        <w:t>Transferability of annual payments</w:t>
      </w:r>
      <w:bookmarkEnd w:id="290"/>
    </w:p>
    <w:p>
      <w:pPr>
        <w:pStyle w:val="ySubsection"/>
      </w:pPr>
      <w:r>
        <w:tab/>
        <w:t>(1)</w:t>
      </w:r>
      <w:r>
        <w:tab/>
        <w:t>A vessel for which there has been paid an annual amount for short term use of a service wharf or jetty at one of the specified places in a Schedule, may use the service wharf or jetty for up to an hour in a day at any of the other specified places.</w:t>
      </w:r>
    </w:p>
    <w:p>
      <w:pPr>
        <w:pStyle w:val="ySubsection"/>
      </w:pPr>
      <w:r>
        <w:tab/>
        <w:t>(2)</w:t>
      </w:r>
      <w:r>
        <w:tab/>
        <w:t>A vessel for which there has been paid an amount to the Department for annual use of a pen, alongside berth or mooring at a specified place in a Schedule, may use the service wharf or jetty for up to an hour in a day at any of the other specified places.</w:t>
      </w:r>
    </w:p>
    <w:p>
      <w:pPr>
        <w:pStyle w:val="yFootnotesection"/>
      </w:pPr>
      <w:r>
        <w:tab/>
        <w:t>[Clause 1C inserted in Gazette 22 Jul 2015 p. 2991.]</w:t>
      </w:r>
    </w:p>
    <w:p>
      <w:pPr>
        <w:pStyle w:val="yHeading5"/>
      </w:pPr>
      <w:bookmarkStart w:id="291" w:name="_Toc425338115"/>
      <w:r>
        <w:rPr>
          <w:rStyle w:val="CharSClsNo"/>
        </w:rPr>
        <w:t>1D</w:t>
      </w:r>
      <w:r>
        <w:t>.</w:t>
      </w:r>
      <w:r>
        <w:tab/>
        <w:t>Service wharf or jetty entitlements</w:t>
      </w:r>
      <w:bookmarkEnd w:id="291"/>
    </w:p>
    <w:p>
      <w:pPr>
        <w:pStyle w:val="ySubsection"/>
      </w:pPr>
      <w:r>
        <w:tab/>
      </w:r>
      <w:r>
        <w:tab/>
        <w:t>A vessel for which there has been paid an amount to the Department for use of a pen, alongside berth or mooring at a specified place in a Schedule may have access to the service wharf or jetty for up to an hour in a day for the duration of that stay at that specified place.</w:t>
      </w:r>
    </w:p>
    <w:p>
      <w:pPr>
        <w:pStyle w:val="yFootnotesection"/>
      </w:pPr>
      <w:r>
        <w:tab/>
        <w:t>[Clause 1D inserted in Gazette 22 Jul 2015 p. 2991.]</w:t>
      </w:r>
    </w:p>
    <w:p>
      <w:pPr>
        <w:pStyle w:val="yHeading3"/>
      </w:pPr>
      <w:bookmarkStart w:id="292" w:name="_Toc425337654"/>
      <w:bookmarkStart w:id="293" w:name="_Toc425337917"/>
      <w:bookmarkStart w:id="294" w:name="_Toc425338116"/>
      <w:bookmarkStart w:id="295" w:name="_Toc402878956"/>
      <w:bookmarkStart w:id="296" w:name="_Toc402879143"/>
      <w:r>
        <w:rPr>
          <w:rStyle w:val="CharSDivNo"/>
        </w:rPr>
        <w:t>Division 1</w:t>
      </w:r>
      <w:r>
        <w:rPr>
          <w:b w:val="0"/>
        </w:rPr>
        <w:t> — </w:t>
      </w:r>
      <w:r>
        <w:rPr>
          <w:rStyle w:val="CharSDivText"/>
        </w:rPr>
        <w:t>Specific charges for Port of Perth jetties</w:t>
      </w:r>
      <w:bookmarkEnd w:id="292"/>
      <w:bookmarkEnd w:id="293"/>
      <w:bookmarkEnd w:id="294"/>
    </w:p>
    <w:p>
      <w:pPr>
        <w:pStyle w:val="yFootnoteheading"/>
      </w:pPr>
      <w:r>
        <w:tab/>
        <w:t>[Heading inserted in Gazette 22 Jul 2015 p. 2992.]</w:t>
      </w:r>
    </w:p>
    <w:p>
      <w:pPr>
        <w:pStyle w:val="yHeading5"/>
      </w:pPr>
      <w:bookmarkStart w:id="297" w:name="_Toc402879144"/>
      <w:bookmarkStart w:id="298" w:name="_Toc425338117"/>
      <w:bookmarkEnd w:id="295"/>
      <w:bookmarkEnd w:id="296"/>
      <w:r>
        <w:rPr>
          <w:rStyle w:val="CharSClsNo"/>
        </w:rPr>
        <w:t>1</w:t>
      </w:r>
      <w:r>
        <w:t>.</w:t>
      </w:r>
      <w:r>
        <w:tab/>
        <w:t xml:space="preserve">Barrack Street and </w:t>
      </w:r>
      <w:smartTag w:uri="urn:schemas-microsoft-com:office:smarttags" w:element="Street">
        <w:smartTag w:uri="urn:schemas-microsoft-com:office:smarttags" w:element="address">
          <w:r>
            <w:t>Mends Street</w:t>
          </w:r>
        </w:smartTag>
      </w:smartTag>
      <w:r>
        <w:t xml:space="preserve"> jetties</w:t>
      </w:r>
      <w:bookmarkEnd w:id="297"/>
      <w:bookmarkEnd w:id="298"/>
    </w:p>
    <w:p>
      <w:pPr>
        <w:pStyle w:val="ySubsection"/>
      </w:pPr>
      <w:r>
        <w:tab/>
        <w:t>(1)</w:t>
      </w:r>
      <w:r>
        <w:tab/>
        <w:t xml:space="preserve">This clause applies to jetties at </w:t>
      </w:r>
      <w:smartTag w:uri="urn:schemas-microsoft-com:office:smarttags" w:element="Street">
        <w:smartTag w:uri="urn:schemas-microsoft-com:office:smarttags" w:element="address">
          <w:r>
            <w:t>Barrack Street</w:t>
          </w:r>
        </w:smartTag>
      </w:smartTag>
      <w:r>
        <w:t xml:space="preserve"> and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1.1.</w:t>
      </w:r>
    </w:p>
    <w:p>
      <w:pPr>
        <w:pStyle w:val="yTHeadingNAm"/>
      </w:pPr>
      <w:r>
        <w:t>Table 1.1 (Jetty permits)</w:t>
      </w:r>
    </w:p>
    <w:tbl>
      <w:tblPr>
        <w:tblW w:w="5515" w:type="dxa"/>
        <w:tblInd w:w="1135" w:type="dxa"/>
        <w:tblLayout w:type="fixed"/>
        <w:tblCellMar>
          <w:top w:w="57" w:type="dxa"/>
          <w:left w:w="57" w:type="dxa"/>
          <w:right w:w="57" w:type="dxa"/>
        </w:tblCellMar>
        <w:tblLook w:val="0000" w:firstRow="0" w:lastRow="0" w:firstColumn="0" w:lastColumn="0" w:noHBand="0" w:noVBand="0"/>
      </w:tblPr>
      <w:tblGrid>
        <w:gridCol w:w="630"/>
        <w:gridCol w:w="4885"/>
      </w:tblGrid>
      <w:tr>
        <w:trPr>
          <w:cantSplit/>
          <w:tblHeader/>
        </w:trPr>
        <w:tc>
          <w:tcPr>
            <w:tcW w:w="630" w:type="dxa"/>
            <w:tcBorders>
              <w:top w:val="single" w:sz="4" w:space="0" w:color="auto"/>
              <w:bottom w:val="single" w:sz="4" w:space="0" w:color="auto"/>
            </w:tcBorders>
          </w:tcPr>
          <w:p>
            <w:pPr>
              <w:pStyle w:val="yTableNAm"/>
            </w:pPr>
            <w:r>
              <w:rPr>
                <w:b/>
              </w:rPr>
              <w:t>Item</w:t>
            </w:r>
          </w:p>
        </w:tc>
        <w:tc>
          <w:tcPr>
            <w:tcW w:w="4885" w:type="dxa"/>
            <w:tcBorders>
              <w:top w:val="single" w:sz="4" w:space="0" w:color="auto"/>
              <w:bottom w:val="single" w:sz="4" w:space="0" w:color="auto"/>
            </w:tcBorders>
          </w:tcPr>
          <w:p>
            <w:pPr>
              <w:pStyle w:val="yTableNAm"/>
            </w:pPr>
            <w:r>
              <w:rPr>
                <w:b/>
              </w:rPr>
              <w:t>Service and charge</w:t>
            </w:r>
          </w:p>
        </w:tc>
      </w:tr>
      <w:tr>
        <w:trPr>
          <w:cantSplit/>
        </w:trPr>
        <w:tc>
          <w:tcPr>
            <w:tcW w:w="630" w:type="dxa"/>
          </w:tcPr>
          <w:p>
            <w:pPr>
              <w:pStyle w:val="yTableNAm"/>
            </w:pPr>
            <w:r>
              <w:t>1.</w:t>
            </w:r>
          </w:p>
        </w:tc>
        <w:tc>
          <w:tcPr>
            <w:tcW w:w="4885" w:type="dxa"/>
          </w:tcPr>
          <w:p>
            <w:pPr>
              <w:pStyle w:val="yTableNAm"/>
            </w:pPr>
            <w:r>
              <w:t>For a vessel for 12 months — the higher of $4 429.71 and the result of the following calculation —</w:t>
            </w:r>
          </w:p>
        </w:tc>
      </w:tr>
      <w:tr>
        <w:trPr>
          <w:cantSplit/>
        </w:trPr>
        <w:tc>
          <w:tcPr>
            <w:tcW w:w="630" w:type="dxa"/>
          </w:tcPr>
          <w:p>
            <w:pPr>
              <w:pStyle w:val="zyTableNAm"/>
            </w:pPr>
          </w:p>
        </w:tc>
        <w:tc>
          <w:tcPr>
            <w:tcW w:w="4885" w:type="dxa"/>
          </w:tcPr>
          <w:p>
            <w:pPr>
              <w:pStyle w:val="yTableNAm"/>
              <w:tabs>
                <w:tab w:val="clear" w:pos="567"/>
              </w:tabs>
              <w:ind w:left="226" w:hanging="226"/>
            </w:pPr>
            <w:r>
              <w:t>•</w:t>
            </w:r>
            <w:r>
              <w:tab/>
              <w:t>$62.01 per passenger calculated on the vessel’s passenger carrying capacity under its highest class of survey</w:t>
            </w:r>
          </w:p>
        </w:tc>
      </w:tr>
      <w:tr>
        <w:trPr>
          <w:cantSplit/>
        </w:trPr>
        <w:tc>
          <w:tcPr>
            <w:tcW w:w="630" w:type="dxa"/>
          </w:tcPr>
          <w:p>
            <w:pPr>
              <w:pStyle w:val="zyTableNAm"/>
            </w:pPr>
          </w:p>
        </w:tc>
        <w:tc>
          <w:tcPr>
            <w:tcW w:w="4885" w:type="dxa"/>
          </w:tcPr>
          <w:p>
            <w:pPr>
              <w:pStyle w:val="yTableNAm"/>
              <w:tabs>
                <w:tab w:val="clear" w:pos="567"/>
              </w:tabs>
              <w:ind w:left="226" w:hanging="226"/>
            </w:pPr>
            <w:r>
              <w:t>•</w:t>
            </w:r>
            <w:r>
              <w:tab/>
              <w:t>plus —</w:t>
            </w:r>
          </w:p>
        </w:tc>
      </w:tr>
      <w:tr>
        <w:trPr>
          <w:cantSplit/>
        </w:trPr>
        <w:tc>
          <w:tcPr>
            <w:tcW w:w="630" w:type="dxa"/>
          </w:tcPr>
          <w:p>
            <w:pPr>
              <w:pStyle w:val="zyTableNAm"/>
            </w:pPr>
          </w:p>
        </w:tc>
        <w:tc>
          <w:tcPr>
            <w:tcW w:w="4885" w:type="dxa"/>
          </w:tcPr>
          <w:p>
            <w:pPr>
              <w:pStyle w:val="yTableNAm"/>
              <w:tabs>
                <w:tab w:val="clear" w:pos="567"/>
              </w:tabs>
              <w:ind w:left="226" w:hanging="226"/>
            </w:pPr>
            <w:r>
              <w:t>•</w:t>
            </w:r>
            <w:r>
              <w:tab/>
              <w:t>for a vessel up to 35 m long, the higher of $7 973.45 and $442.97 per metre of the vessel’s length; or</w:t>
            </w:r>
          </w:p>
        </w:tc>
      </w:tr>
      <w:tr>
        <w:trPr>
          <w:cantSplit/>
        </w:trPr>
        <w:tc>
          <w:tcPr>
            <w:tcW w:w="630" w:type="dxa"/>
          </w:tcPr>
          <w:p>
            <w:pPr>
              <w:pStyle w:val="zyTableNAm"/>
            </w:pPr>
          </w:p>
        </w:tc>
        <w:tc>
          <w:tcPr>
            <w:tcW w:w="4885" w:type="dxa"/>
          </w:tcPr>
          <w:p>
            <w:pPr>
              <w:pStyle w:val="yTableNAm"/>
              <w:tabs>
                <w:tab w:val="clear" w:pos="567"/>
              </w:tabs>
              <w:ind w:left="226" w:hanging="226"/>
            </w:pPr>
            <w:r>
              <w:t>•</w:t>
            </w:r>
            <w:r>
              <w:tab/>
              <w:t>for a vessel 35 m long or over, $708.76 per metre of the vessel’s length</w:t>
            </w:r>
          </w:p>
        </w:tc>
      </w:tr>
      <w:tr>
        <w:trPr>
          <w:cantSplit/>
        </w:trPr>
        <w:tc>
          <w:tcPr>
            <w:tcW w:w="630" w:type="dxa"/>
          </w:tcPr>
          <w:p>
            <w:pPr>
              <w:pStyle w:val="zyTableNAm"/>
            </w:pPr>
          </w:p>
        </w:tc>
        <w:tc>
          <w:tcPr>
            <w:tcW w:w="4885" w:type="dxa"/>
          </w:tcPr>
          <w:p>
            <w:pPr>
              <w:pStyle w:val="yTableNAm"/>
              <w:tabs>
                <w:tab w:val="clear" w:pos="567"/>
              </w:tabs>
              <w:ind w:left="226" w:hanging="226"/>
            </w:pPr>
            <w:r>
              <w:t>•</w:t>
            </w:r>
            <w:r>
              <w:tab/>
              <w:t>minus — $6 201.61</w:t>
            </w:r>
          </w:p>
        </w:tc>
      </w:tr>
      <w:tr>
        <w:trPr>
          <w:cantSplit/>
        </w:trPr>
        <w:tc>
          <w:tcPr>
            <w:tcW w:w="630" w:type="dxa"/>
            <w:tcBorders>
              <w:bottom w:val="single" w:sz="4" w:space="0" w:color="auto"/>
            </w:tcBorders>
          </w:tcPr>
          <w:p>
            <w:pPr>
              <w:pStyle w:val="yTableNAm"/>
            </w:pPr>
            <w:r>
              <w:t>2.</w:t>
            </w:r>
          </w:p>
        </w:tc>
        <w:tc>
          <w:tcPr>
            <w:tcW w:w="4885" w:type="dxa"/>
            <w:tcBorders>
              <w:bottom w:val="single" w:sz="4" w:space="0" w:color="auto"/>
            </w:tcBorders>
          </w:tcPr>
          <w:p>
            <w:pPr>
              <w:pStyle w:val="yTableNAm"/>
            </w:pPr>
            <w:r>
              <w:t>Sullage charge for a vessel for which the item 1 charge has not been paid, per pump out — $88.60</w:t>
            </w:r>
          </w:p>
        </w:tc>
      </w:tr>
    </w:tbl>
    <w:p>
      <w:pPr>
        <w:pStyle w:val="yFootnotesection"/>
      </w:pPr>
      <w:bookmarkStart w:id="299" w:name="_Toc402879145"/>
      <w:r>
        <w:tab/>
        <w:t>[Clause 1 inserted in Gazette 22 Jul 2015 p. 2992.]</w:t>
      </w:r>
    </w:p>
    <w:p>
      <w:pPr>
        <w:pStyle w:val="yHeading5"/>
      </w:pPr>
      <w:bookmarkStart w:id="300" w:name="_Toc425338118"/>
      <w:r>
        <w:rPr>
          <w:rStyle w:val="CharSClsNo"/>
        </w:rPr>
        <w:t>2</w:t>
      </w:r>
      <w:r>
        <w:t>.</w:t>
      </w:r>
      <w:r>
        <w:tab/>
        <w:t xml:space="preserve">Other jetties in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bookmarkEnd w:id="299"/>
      <w:bookmarkEnd w:id="300"/>
    </w:p>
    <w:p>
      <w:pPr>
        <w:pStyle w:val="ySubsection"/>
      </w:pPr>
      <w:r>
        <w:tab/>
        <w:t>(1)</w:t>
      </w:r>
      <w:r>
        <w:tab/>
        <w:t xml:space="preserve">This clause applies to jetties in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other than at </w:t>
      </w:r>
      <w:smartTag w:uri="urn:schemas-microsoft-com:office:smarttags" w:element="Street">
        <w:smartTag w:uri="urn:schemas-microsoft-com:office:smarttags" w:element="address">
          <w:r>
            <w:t>Barrack Street</w:t>
          </w:r>
        </w:smartTag>
      </w:smartTag>
      <w:r>
        <w:t xml:space="preserve"> or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2.1.</w:t>
      </w:r>
    </w:p>
    <w:p>
      <w:pPr>
        <w:pStyle w:val="yTHeadingNAm"/>
      </w:pPr>
      <w:r>
        <w:t>Table 2.1 (Jetty permits)</w:t>
      </w:r>
    </w:p>
    <w:tbl>
      <w:tblPr>
        <w:tblW w:w="5529" w:type="dxa"/>
        <w:tblInd w:w="1163" w:type="dxa"/>
        <w:tblLayout w:type="fixed"/>
        <w:tblCellMar>
          <w:top w:w="57" w:type="dxa"/>
          <w:left w:w="57" w:type="dxa"/>
          <w:right w:w="57" w:type="dxa"/>
        </w:tblCellMar>
        <w:tblLook w:val="0000" w:firstRow="0" w:lastRow="0" w:firstColumn="0" w:lastColumn="0" w:noHBand="0" w:noVBand="0"/>
      </w:tblPr>
      <w:tblGrid>
        <w:gridCol w:w="602"/>
        <w:gridCol w:w="3626"/>
        <w:gridCol w:w="1301"/>
      </w:tblGrid>
      <w:tr>
        <w:trPr>
          <w:cantSplit/>
          <w:tblHeader/>
        </w:trPr>
        <w:tc>
          <w:tcPr>
            <w:tcW w:w="602" w:type="dxa"/>
            <w:tcBorders>
              <w:top w:val="single" w:sz="4" w:space="0" w:color="auto"/>
              <w:bottom w:val="single" w:sz="4" w:space="0" w:color="auto"/>
            </w:tcBorders>
          </w:tcPr>
          <w:p>
            <w:pPr>
              <w:pStyle w:val="yTableNAm"/>
            </w:pPr>
            <w:r>
              <w:rPr>
                <w:b/>
              </w:rPr>
              <w:t>Item</w:t>
            </w:r>
          </w:p>
        </w:tc>
        <w:tc>
          <w:tcPr>
            <w:tcW w:w="3626" w:type="dxa"/>
            <w:tcBorders>
              <w:top w:val="single" w:sz="4" w:space="0" w:color="auto"/>
              <w:bottom w:val="single" w:sz="4" w:space="0" w:color="auto"/>
            </w:tcBorders>
          </w:tcPr>
          <w:p>
            <w:pPr>
              <w:pStyle w:val="yTableNAm"/>
            </w:pPr>
            <w:r>
              <w:rPr>
                <w:b/>
              </w:rPr>
              <w:t>Service</w:t>
            </w:r>
          </w:p>
        </w:tc>
        <w:tc>
          <w:tcPr>
            <w:tcW w:w="1301" w:type="dxa"/>
            <w:tcBorders>
              <w:top w:val="single" w:sz="4" w:space="0" w:color="auto"/>
              <w:bottom w:val="single" w:sz="4" w:space="0" w:color="auto"/>
            </w:tcBorders>
          </w:tcPr>
          <w:p>
            <w:pPr>
              <w:pStyle w:val="yTableNAm"/>
              <w:jc w:val="center"/>
            </w:pPr>
            <w:r>
              <w:rPr>
                <w:b/>
              </w:rPr>
              <w:t>$</w:t>
            </w:r>
          </w:p>
        </w:tc>
      </w:tr>
      <w:tr>
        <w:trPr>
          <w:cantSplit/>
        </w:trPr>
        <w:tc>
          <w:tcPr>
            <w:tcW w:w="602" w:type="dxa"/>
            <w:tcBorders>
              <w:top w:val="single" w:sz="4" w:space="0" w:color="auto"/>
              <w:bottom w:val="single" w:sz="4" w:space="0" w:color="auto"/>
            </w:tcBorders>
          </w:tcPr>
          <w:p>
            <w:pPr>
              <w:pStyle w:val="yTableNAm"/>
            </w:pPr>
            <w:r>
              <w:t>1.</w:t>
            </w:r>
          </w:p>
        </w:tc>
        <w:tc>
          <w:tcPr>
            <w:tcW w:w="3626" w:type="dxa"/>
            <w:tcBorders>
              <w:top w:val="single" w:sz="4" w:space="0" w:color="auto"/>
              <w:bottom w:val="single" w:sz="4" w:space="0" w:color="auto"/>
            </w:tcBorders>
          </w:tcPr>
          <w:p>
            <w:pPr>
              <w:pStyle w:val="yTableNAm"/>
            </w:pPr>
            <w:r>
              <w:t>For short term use by a vessel, an amount calculated using standard Rate 3</w:t>
            </w:r>
          </w:p>
        </w:tc>
        <w:tc>
          <w:tcPr>
            <w:tcW w:w="1301" w:type="dxa"/>
            <w:tcBorders>
              <w:top w:val="single" w:sz="4" w:space="0" w:color="auto"/>
              <w:bottom w:val="single" w:sz="4" w:space="0" w:color="auto"/>
            </w:tcBorders>
          </w:tcPr>
          <w:p>
            <w:pPr>
              <w:pStyle w:val="yTableNAm"/>
              <w:jc w:val="center"/>
            </w:pPr>
          </w:p>
        </w:tc>
      </w:tr>
    </w:tbl>
    <w:p>
      <w:pPr>
        <w:pStyle w:val="yFootnotesection"/>
      </w:pPr>
      <w:bookmarkStart w:id="301" w:name="_Toc402878959"/>
      <w:bookmarkStart w:id="302" w:name="_Toc402879146"/>
      <w:r>
        <w:tab/>
        <w:t>[Clause 2 inserted in Gazette 22 Jul 2015 p. 2992</w:t>
      </w:r>
      <w:r>
        <w:noBreakHyphen/>
        <w:t>3.]</w:t>
      </w:r>
    </w:p>
    <w:p>
      <w:pPr>
        <w:pStyle w:val="yHeading3"/>
      </w:pPr>
      <w:bookmarkStart w:id="303" w:name="_Toc425337657"/>
      <w:bookmarkStart w:id="304" w:name="_Toc425337920"/>
      <w:bookmarkStart w:id="305" w:name="_Toc425338119"/>
      <w:r>
        <w:rPr>
          <w:rStyle w:val="CharSDivNo"/>
        </w:rPr>
        <w:t>Division 2</w:t>
      </w:r>
      <w:r>
        <w:rPr>
          <w:b w:val="0"/>
        </w:rPr>
        <w:t> — </w:t>
      </w:r>
      <w:r>
        <w:rPr>
          <w:rStyle w:val="CharSDivText"/>
        </w:rPr>
        <w:t>Charges for boat pens</w:t>
      </w:r>
      <w:bookmarkEnd w:id="303"/>
      <w:bookmarkEnd w:id="304"/>
      <w:bookmarkEnd w:id="305"/>
    </w:p>
    <w:p>
      <w:pPr>
        <w:pStyle w:val="yFootnoteheading"/>
      </w:pPr>
      <w:r>
        <w:tab/>
        <w:t>[Heading inserted in Gazette 22 Jul 2015 p. 2993.]</w:t>
      </w:r>
    </w:p>
    <w:p>
      <w:pPr>
        <w:pStyle w:val="yHeading5"/>
      </w:pPr>
      <w:bookmarkStart w:id="306" w:name="_Toc402879147"/>
      <w:bookmarkStart w:id="307" w:name="_Toc425338120"/>
      <w:bookmarkEnd w:id="301"/>
      <w:bookmarkEnd w:id="302"/>
      <w:r>
        <w:rPr>
          <w:rStyle w:val="CharSClsNo"/>
        </w:rPr>
        <w:t>3</w:t>
      </w:r>
      <w:r>
        <w:t>.</w:t>
      </w:r>
      <w:r>
        <w:tab/>
        <w:t xml:space="preserve">Fremantle,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06"/>
      <w:bookmarkEnd w:id="307"/>
    </w:p>
    <w:p>
      <w:pPr>
        <w:pStyle w:val="ySubsection"/>
      </w:pPr>
      <w:r>
        <w:tab/>
        <w:t>(1)</w:t>
      </w:r>
      <w:r>
        <w:tab/>
        <w:t xml:space="preserve">This clause applies to the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Fremantle.</w:t>
      </w:r>
    </w:p>
    <w:p>
      <w:pPr>
        <w:pStyle w:val="ySubsection"/>
      </w:pPr>
      <w:r>
        <w:tab/>
        <w:t>(2)</w:t>
      </w:r>
      <w:r>
        <w:tab/>
        <w:t>The charges to be paid under regulation 72 for a permit to use a boat pen are set out in Table 3.1.</w:t>
      </w:r>
    </w:p>
    <w:p>
      <w:pPr>
        <w:pStyle w:val="yTHeadingNAm"/>
      </w:pPr>
      <w:r>
        <w:t>Table 3.1 (Pen permits)</w:t>
      </w:r>
    </w:p>
    <w:tbl>
      <w:tblPr>
        <w:tblW w:w="5529" w:type="dxa"/>
        <w:tblInd w:w="1163" w:type="dxa"/>
        <w:tblLayout w:type="fixed"/>
        <w:tblCellMar>
          <w:top w:w="57" w:type="dxa"/>
          <w:left w:w="57" w:type="dxa"/>
          <w:right w:w="57" w:type="dxa"/>
        </w:tblCellMar>
        <w:tblLook w:val="0000" w:firstRow="0" w:lastRow="0" w:firstColumn="0" w:lastColumn="0" w:noHBand="0" w:noVBand="0"/>
      </w:tblPr>
      <w:tblGrid>
        <w:gridCol w:w="630"/>
        <w:gridCol w:w="3598"/>
        <w:gridCol w:w="1301"/>
      </w:tblGrid>
      <w:tr>
        <w:trPr>
          <w:cantSplit/>
          <w:tblHeader/>
        </w:trPr>
        <w:tc>
          <w:tcPr>
            <w:tcW w:w="630" w:type="dxa"/>
            <w:tcBorders>
              <w:top w:val="single" w:sz="4" w:space="0" w:color="auto"/>
              <w:bottom w:val="single" w:sz="4" w:space="0" w:color="auto"/>
            </w:tcBorders>
          </w:tcPr>
          <w:p>
            <w:pPr>
              <w:pStyle w:val="yTableNAm"/>
            </w:pPr>
            <w:r>
              <w:rPr>
                <w:b/>
              </w:rPr>
              <w:t>Item</w:t>
            </w:r>
          </w:p>
        </w:tc>
        <w:tc>
          <w:tcPr>
            <w:tcW w:w="3598" w:type="dxa"/>
            <w:tcBorders>
              <w:top w:val="single" w:sz="4" w:space="0" w:color="auto"/>
              <w:bottom w:val="single" w:sz="4" w:space="0" w:color="auto"/>
            </w:tcBorders>
          </w:tcPr>
          <w:p>
            <w:pPr>
              <w:pStyle w:val="yTableNAm"/>
            </w:pPr>
            <w:r>
              <w:rPr>
                <w:b/>
              </w:rPr>
              <w:t>Service</w:t>
            </w:r>
          </w:p>
        </w:tc>
        <w:tc>
          <w:tcPr>
            <w:tcW w:w="1301"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3598" w:type="dxa"/>
          </w:tcPr>
          <w:p>
            <w:pPr>
              <w:pStyle w:val="yTableNAm"/>
            </w:pPr>
            <w:r>
              <w:t>For the use of a pen with a walkway, an amount calculated per metre of the pen’s length using the annual rate of</w:t>
            </w:r>
          </w:p>
        </w:tc>
        <w:tc>
          <w:tcPr>
            <w:tcW w:w="1301" w:type="dxa"/>
          </w:tcPr>
          <w:p>
            <w:pPr>
              <w:pStyle w:val="yTableNAm"/>
              <w:jc w:val="center"/>
            </w:pPr>
            <w:r>
              <w:br/>
            </w:r>
            <w:r>
              <w:br/>
              <w:t>587.19</w:t>
            </w:r>
          </w:p>
        </w:tc>
      </w:tr>
      <w:tr>
        <w:trPr>
          <w:cantSplit/>
        </w:trPr>
        <w:tc>
          <w:tcPr>
            <w:tcW w:w="630" w:type="dxa"/>
          </w:tcPr>
          <w:p>
            <w:pPr>
              <w:pStyle w:val="yTableNAm"/>
            </w:pPr>
            <w:r>
              <w:t>2.</w:t>
            </w:r>
          </w:p>
        </w:tc>
        <w:tc>
          <w:tcPr>
            <w:tcW w:w="3598" w:type="dxa"/>
          </w:tcPr>
          <w:p>
            <w:pPr>
              <w:pStyle w:val="yTableNAm"/>
            </w:pPr>
            <w:r>
              <w:t>For the use of a pen without a walkway, an amount calculated per metre of the pen’s length using the annual rate of</w:t>
            </w:r>
          </w:p>
        </w:tc>
        <w:tc>
          <w:tcPr>
            <w:tcW w:w="1301" w:type="dxa"/>
          </w:tcPr>
          <w:p>
            <w:pPr>
              <w:pStyle w:val="yTableNAm"/>
              <w:jc w:val="center"/>
            </w:pPr>
            <w:r>
              <w:br/>
            </w:r>
            <w:r>
              <w:br/>
            </w:r>
            <w:r>
              <w:br/>
              <w:t>530.37</w:t>
            </w:r>
          </w:p>
        </w:tc>
      </w:tr>
      <w:tr>
        <w:trPr>
          <w:cantSplit/>
        </w:trPr>
        <w:tc>
          <w:tcPr>
            <w:tcW w:w="630" w:type="dxa"/>
          </w:tcPr>
          <w:p>
            <w:pPr>
              <w:pStyle w:val="yTableNAm"/>
            </w:pPr>
            <w:r>
              <w:t>3.</w:t>
            </w:r>
          </w:p>
        </w:tc>
        <w:tc>
          <w:tcPr>
            <w:tcW w:w="3598" w:type="dxa"/>
          </w:tcPr>
          <w:p>
            <w:pPr>
              <w:pStyle w:val="yTableNAm"/>
            </w:pPr>
            <w:r>
              <w:t>For the use of an alongside berth, an amount calculated per metre of the vessel’s length using the annual rate of</w:t>
            </w:r>
          </w:p>
        </w:tc>
        <w:tc>
          <w:tcPr>
            <w:tcW w:w="1301" w:type="dxa"/>
          </w:tcPr>
          <w:p>
            <w:pPr>
              <w:pStyle w:val="yTableNAm"/>
              <w:jc w:val="center"/>
            </w:pPr>
            <w:r>
              <w:br/>
            </w:r>
            <w:r>
              <w:br/>
              <w:t>587.19</w:t>
            </w:r>
          </w:p>
        </w:tc>
      </w:tr>
      <w:tr>
        <w:trPr>
          <w:cantSplit/>
        </w:trPr>
        <w:tc>
          <w:tcPr>
            <w:tcW w:w="630" w:type="dxa"/>
            <w:tcBorders>
              <w:bottom w:val="single" w:sz="4" w:space="0" w:color="auto"/>
            </w:tcBorders>
          </w:tcPr>
          <w:p>
            <w:pPr>
              <w:pStyle w:val="yTableNAm"/>
            </w:pPr>
            <w:r>
              <w:t>4.</w:t>
            </w:r>
          </w:p>
        </w:tc>
        <w:tc>
          <w:tcPr>
            <w:tcW w:w="3598" w:type="dxa"/>
            <w:tcBorders>
              <w:bottom w:val="single" w:sz="4" w:space="0" w:color="auto"/>
            </w:tcBorders>
          </w:tcPr>
          <w:p>
            <w:pPr>
              <w:pStyle w:val="yTableNAm"/>
            </w:pPr>
            <w:r>
              <w:t>For the casual daily use of a pen or alongside berth by a recreational vessel, an amount calculated using standard Rate 2</w:t>
            </w:r>
          </w:p>
        </w:tc>
        <w:tc>
          <w:tcPr>
            <w:tcW w:w="1301" w:type="dxa"/>
            <w:tcBorders>
              <w:bottom w:val="single" w:sz="4" w:space="0" w:color="auto"/>
            </w:tcBorders>
          </w:tcPr>
          <w:p>
            <w:pPr>
              <w:pStyle w:val="yTableNAm"/>
              <w:jc w:val="center"/>
            </w:pPr>
          </w:p>
        </w:tc>
      </w:tr>
    </w:tbl>
    <w:p>
      <w:pPr>
        <w:pStyle w:val="yFootnotesection"/>
      </w:pPr>
      <w:bookmarkStart w:id="308" w:name="_Toc402879148"/>
      <w:r>
        <w:tab/>
        <w:t>[Clause 3 inserted in Gazette 22 Jul 2015 p. 2993.]</w:t>
      </w:r>
    </w:p>
    <w:p>
      <w:pPr>
        <w:pStyle w:val="yHeading5"/>
      </w:pPr>
      <w:bookmarkStart w:id="309" w:name="_Toc425338121"/>
      <w:r>
        <w:rPr>
          <w:rStyle w:val="CharSClsNo"/>
        </w:rPr>
        <w:t>4</w:t>
      </w:r>
      <w:r>
        <w:t>.</w:t>
      </w:r>
      <w:r>
        <w:tab/>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08"/>
      <w:bookmarkEnd w:id="309"/>
    </w:p>
    <w:p>
      <w:pPr>
        <w:pStyle w:val="ySubsection"/>
      </w:pPr>
      <w:r>
        <w:tab/>
        <w:t>(1)</w:t>
      </w:r>
      <w:r>
        <w:tab/>
        <w:t xml:space="preserve">This clause applies to the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charges to be paid under regulation 72 for a permit to use a jetty or boat pen are set out in Table 4.1.</w:t>
      </w:r>
    </w:p>
    <w:p>
      <w:pPr>
        <w:pStyle w:val="yTHeadingNAm"/>
      </w:pPr>
      <w:r>
        <w:t>Table 4.1 (Jetty and pen permits)</w:t>
      </w:r>
    </w:p>
    <w:tbl>
      <w:tblPr>
        <w:tblW w:w="0" w:type="auto"/>
        <w:tblInd w:w="1191" w:type="dxa"/>
        <w:tblLayout w:type="fixed"/>
        <w:tblCellMar>
          <w:top w:w="57" w:type="dxa"/>
          <w:left w:w="57" w:type="dxa"/>
          <w:right w:w="57" w:type="dxa"/>
        </w:tblCellMar>
        <w:tblLook w:val="0000" w:firstRow="0" w:lastRow="0" w:firstColumn="0" w:lastColumn="0" w:noHBand="0" w:noVBand="0"/>
      </w:tblPr>
      <w:tblGrid>
        <w:gridCol w:w="630"/>
        <w:gridCol w:w="3612"/>
        <w:gridCol w:w="1259"/>
      </w:tblGrid>
      <w:tr>
        <w:trPr>
          <w:tblHeader/>
        </w:trPr>
        <w:tc>
          <w:tcPr>
            <w:tcW w:w="630" w:type="dxa"/>
            <w:tcBorders>
              <w:top w:val="single" w:sz="4" w:space="0" w:color="auto"/>
              <w:bottom w:val="single" w:sz="4" w:space="0" w:color="auto"/>
            </w:tcBorders>
          </w:tcPr>
          <w:p>
            <w:pPr>
              <w:pStyle w:val="yTableNAm"/>
            </w:pPr>
            <w:r>
              <w:rPr>
                <w:b/>
              </w:rPr>
              <w:t>Item</w:t>
            </w:r>
          </w:p>
        </w:tc>
        <w:tc>
          <w:tcPr>
            <w:tcW w:w="3612" w:type="dxa"/>
            <w:tcBorders>
              <w:top w:val="single" w:sz="4" w:space="0" w:color="auto"/>
              <w:bottom w:val="single" w:sz="4" w:space="0" w:color="auto"/>
            </w:tcBorders>
          </w:tcPr>
          <w:p>
            <w:pPr>
              <w:pStyle w:val="yTableNAm"/>
            </w:pPr>
            <w:r>
              <w:rPr>
                <w:b/>
              </w:rPr>
              <w:t>Service</w:t>
            </w:r>
          </w:p>
        </w:tc>
        <w:tc>
          <w:tcPr>
            <w:tcW w:w="1259" w:type="dxa"/>
            <w:tcBorders>
              <w:top w:val="single" w:sz="4" w:space="0" w:color="auto"/>
              <w:bottom w:val="single" w:sz="4" w:space="0" w:color="auto"/>
            </w:tcBorders>
          </w:tcPr>
          <w:p>
            <w:pPr>
              <w:pStyle w:val="yTableNAm"/>
              <w:jc w:val="center"/>
            </w:pPr>
            <w:r>
              <w:rPr>
                <w:b/>
              </w:rPr>
              <w:t>$</w:t>
            </w:r>
          </w:p>
        </w:tc>
      </w:tr>
      <w:tr>
        <w:trPr>
          <w:cantSplit/>
        </w:trPr>
        <w:tc>
          <w:tcPr>
            <w:tcW w:w="630" w:type="dxa"/>
            <w:tcBorders>
              <w:top w:val="single" w:sz="4" w:space="0" w:color="auto"/>
            </w:tcBorders>
          </w:tcPr>
          <w:p>
            <w:pPr>
              <w:pStyle w:val="yTableNAm"/>
            </w:pPr>
            <w:r>
              <w:t>1.</w:t>
            </w:r>
          </w:p>
        </w:tc>
        <w:tc>
          <w:tcPr>
            <w:tcW w:w="3612" w:type="dxa"/>
            <w:tcBorders>
              <w:top w:val="single" w:sz="4" w:space="0" w:color="auto"/>
            </w:tcBorders>
          </w:tcPr>
          <w:p>
            <w:pPr>
              <w:pStyle w:val="yTableNAm"/>
            </w:pPr>
            <w:r>
              <w:t>For the use, other than casual daily use, of a pen, an amount calculated per metre of the pen’s length using the annual rate of</w:t>
            </w:r>
          </w:p>
        </w:tc>
        <w:tc>
          <w:tcPr>
            <w:tcW w:w="1259" w:type="dxa"/>
            <w:tcBorders>
              <w:top w:val="single" w:sz="4" w:space="0" w:color="auto"/>
            </w:tcBorders>
          </w:tcPr>
          <w:p>
            <w:pPr>
              <w:pStyle w:val="yTableNAm"/>
              <w:jc w:val="center"/>
            </w:pPr>
            <w:r>
              <w:br/>
            </w:r>
            <w:r>
              <w:rPr>
                <w:szCs w:val="24"/>
              </w:rPr>
              <w:br/>
              <w:t>535.56</w:t>
            </w:r>
          </w:p>
        </w:tc>
      </w:tr>
      <w:tr>
        <w:trPr>
          <w:cantSplit/>
        </w:trPr>
        <w:tc>
          <w:tcPr>
            <w:tcW w:w="630" w:type="dxa"/>
          </w:tcPr>
          <w:p>
            <w:pPr>
              <w:pStyle w:val="yTableNAm"/>
            </w:pPr>
            <w:r>
              <w:t>2.</w:t>
            </w:r>
          </w:p>
        </w:tc>
        <w:tc>
          <w:tcPr>
            <w:tcW w:w="3612" w:type="dxa"/>
          </w:tcPr>
          <w:p>
            <w:pPr>
              <w:pStyle w:val="yTableNAm"/>
            </w:pPr>
            <w:r>
              <w:t>For the use, other than casual daily use, of an alongside berth, an amount calculated per metre of the vessel’s length using the annual rate of</w:t>
            </w:r>
          </w:p>
        </w:tc>
        <w:tc>
          <w:tcPr>
            <w:tcW w:w="1259" w:type="dxa"/>
          </w:tcPr>
          <w:p>
            <w:pPr>
              <w:pStyle w:val="yTableNAm"/>
              <w:jc w:val="center"/>
            </w:pPr>
            <w:r>
              <w:br/>
            </w:r>
            <w:r>
              <w:br/>
            </w:r>
            <w:r>
              <w:rPr>
                <w:szCs w:val="24"/>
              </w:rPr>
              <w:br/>
              <w:t>535.56</w:t>
            </w:r>
          </w:p>
        </w:tc>
      </w:tr>
      <w:tr>
        <w:trPr>
          <w:cantSplit/>
        </w:trPr>
        <w:tc>
          <w:tcPr>
            <w:tcW w:w="630" w:type="dxa"/>
          </w:tcPr>
          <w:p>
            <w:pPr>
              <w:pStyle w:val="yTableNAm"/>
            </w:pPr>
            <w:r>
              <w:t>3.</w:t>
            </w:r>
          </w:p>
        </w:tc>
        <w:tc>
          <w:tcPr>
            <w:tcW w:w="3612" w:type="dxa"/>
          </w:tcPr>
          <w:p>
            <w:pPr>
              <w:pStyle w:val="yTableNAm"/>
            </w:pPr>
            <w:r>
              <w:t xml:space="preserve">For the casual daily use of a pen or an alongside berth — </w:t>
            </w:r>
          </w:p>
        </w:tc>
        <w:tc>
          <w:tcPr>
            <w:tcW w:w="1259" w:type="dxa"/>
          </w:tcPr>
          <w:p>
            <w:pPr>
              <w:pStyle w:val="yTableNAm"/>
              <w:jc w:val="center"/>
            </w:pPr>
          </w:p>
        </w:tc>
      </w:tr>
      <w:tr>
        <w:trPr>
          <w:cantSplit/>
        </w:trPr>
        <w:tc>
          <w:tcPr>
            <w:tcW w:w="630" w:type="dxa"/>
          </w:tcPr>
          <w:p>
            <w:pPr>
              <w:pStyle w:val="zyTableNAm"/>
            </w:pPr>
          </w:p>
        </w:tc>
        <w:tc>
          <w:tcPr>
            <w:tcW w:w="3612" w:type="dxa"/>
          </w:tcPr>
          <w:p>
            <w:pPr>
              <w:pStyle w:val="yTableNAm"/>
              <w:tabs>
                <w:tab w:val="clear" w:pos="567"/>
              </w:tabs>
              <w:ind w:left="226" w:hanging="226"/>
            </w:pPr>
            <w:r>
              <w:t>•</w:t>
            </w:r>
            <w:r>
              <w:tab/>
              <w:t>by a commercial vessel, an amount calculated using standard Rate 1</w:t>
            </w:r>
          </w:p>
        </w:tc>
        <w:tc>
          <w:tcPr>
            <w:tcW w:w="1259" w:type="dxa"/>
          </w:tcPr>
          <w:p>
            <w:pPr>
              <w:pStyle w:val="yTableNAm"/>
              <w:jc w:val="center"/>
            </w:pPr>
          </w:p>
        </w:tc>
      </w:tr>
      <w:tr>
        <w:trPr>
          <w:cantSplit/>
        </w:trPr>
        <w:tc>
          <w:tcPr>
            <w:tcW w:w="630" w:type="dxa"/>
          </w:tcPr>
          <w:p>
            <w:pPr>
              <w:pStyle w:val="zyTableNAm"/>
            </w:pPr>
          </w:p>
        </w:tc>
        <w:tc>
          <w:tcPr>
            <w:tcW w:w="3612" w:type="dxa"/>
          </w:tcPr>
          <w:p>
            <w:pPr>
              <w:pStyle w:val="yTableNAm"/>
              <w:tabs>
                <w:tab w:val="clear" w:pos="567"/>
              </w:tabs>
              <w:ind w:left="226" w:hanging="226"/>
            </w:pPr>
            <w:r>
              <w:t>•</w:t>
            </w:r>
            <w:r>
              <w:tab/>
              <w:t>by a recreational vessel, an amount calculated using standard Rate 2</w:t>
            </w:r>
          </w:p>
        </w:tc>
        <w:tc>
          <w:tcPr>
            <w:tcW w:w="1259" w:type="dxa"/>
          </w:tcPr>
          <w:p>
            <w:pPr>
              <w:pStyle w:val="yTableNAm"/>
              <w:jc w:val="center"/>
            </w:pPr>
          </w:p>
        </w:tc>
      </w:tr>
      <w:tr>
        <w:trPr>
          <w:cantSplit/>
        </w:trPr>
        <w:tc>
          <w:tcPr>
            <w:tcW w:w="630" w:type="dxa"/>
            <w:tcBorders>
              <w:bottom w:val="single" w:sz="4" w:space="0" w:color="auto"/>
            </w:tcBorders>
          </w:tcPr>
          <w:p>
            <w:pPr>
              <w:pStyle w:val="yTableNAm"/>
            </w:pPr>
            <w:r>
              <w:t>4.</w:t>
            </w:r>
          </w:p>
        </w:tc>
        <w:tc>
          <w:tcPr>
            <w:tcW w:w="3612" w:type="dxa"/>
            <w:tcBorders>
              <w:bottom w:val="single" w:sz="4" w:space="0" w:color="auto"/>
            </w:tcBorders>
          </w:tcPr>
          <w:p>
            <w:pPr>
              <w:pStyle w:val="yTableNAm"/>
            </w:pPr>
            <w:r>
              <w:t>For the short term use of the service jetty by a vessel, an amount calculated using standard Rate 3</w:t>
            </w:r>
          </w:p>
        </w:tc>
        <w:tc>
          <w:tcPr>
            <w:tcW w:w="1259" w:type="dxa"/>
            <w:tcBorders>
              <w:bottom w:val="single" w:sz="4" w:space="0" w:color="auto"/>
            </w:tcBorders>
          </w:tcPr>
          <w:p>
            <w:pPr>
              <w:pStyle w:val="yTableNAm"/>
              <w:jc w:val="center"/>
            </w:pPr>
          </w:p>
        </w:tc>
      </w:tr>
    </w:tbl>
    <w:p>
      <w:pPr>
        <w:pStyle w:val="yFootnotesection"/>
      </w:pPr>
      <w:r>
        <w:tab/>
        <w:t>[Clause 4 inserted in Gazette 22 Jul 2015 p. 2994.]</w:t>
      </w:r>
    </w:p>
    <w:p>
      <w:pPr>
        <w:pStyle w:val="yHeading5"/>
      </w:pPr>
      <w:bookmarkStart w:id="310" w:name="_Toc425338122"/>
      <w:r>
        <w:rPr>
          <w:rStyle w:val="CharSClsNo"/>
        </w:rPr>
        <w:t>5</w:t>
      </w:r>
      <w:r>
        <w:t>.</w:t>
      </w:r>
      <w:r>
        <w:tab/>
        <w:t>Jervoise Bay</w:t>
      </w:r>
      <w:bookmarkEnd w:id="310"/>
    </w:p>
    <w:p>
      <w:pPr>
        <w:pStyle w:val="ySubsection"/>
      </w:pPr>
      <w:r>
        <w:tab/>
        <w:t>(1)</w:t>
      </w:r>
      <w:r>
        <w:tab/>
        <w:t>This clause applies to the Jervoise Bay.</w:t>
      </w:r>
    </w:p>
    <w:p>
      <w:pPr>
        <w:pStyle w:val="ySubsection"/>
      </w:pPr>
      <w:r>
        <w:tab/>
        <w:t>(2)</w:t>
      </w:r>
      <w:r>
        <w:tab/>
        <w:t>The dues and charges to be paid under these regulations are set out in Table 5.1.</w:t>
      </w:r>
    </w:p>
    <w:p>
      <w:pPr>
        <w:pStyle w:val="yTHeadingNAm"/>
      </w:pPr>
      <w:r>
        <w:t>Table 5.1 (Mooring use)</w:t>
      </w:r>
    </w:p>
    <w:tbl>
      <w:tblPr>
        <w:tblW w:w="5417" w:type="dxa"/>
        <w:tblInd w:w="1233" w:type="dxa"/>
        <w:tblLayout w:type="fixed"/>
        <w:tblCellMar>
          <w:top w:w="57" w:type="dxa"/>
          <w:left w:w="57" w:type="dxa"/>
          <w:right w:w="57" w:type="dxa"/>
        </w:tblCellMar>
        <w:tblLook w:val="0000" w:firstRow="0" w:lastRow="0" w:firstColumn="0" w:lastColumn="0" w:noHBand="0" w:noVBand="0"/>
      </w:tblPr>
      <w:tblGrid>
        <w:gridCol w:w="588"/>
        <w:gridCol w:w="3640"/>
        <w:gridCol w:w="1189"/>
      </w:tblGrid>
      <w:tr>
        <w:trPr>
          <w:cantSplit/>
          <w:tblHeader/>
        </w:trPr>
        <w:tc>
          <w:tcPr>
            <w:tcW w:w="588" w:type="dxa"/>
            <w:tcBorders>
              <w:top w:val="single" w:sz="4" w:space="0" w:color="auto"/>
              <w:bottom w:val="single" w:sz="4" w:space="0" w:color="auto"/>
            </w:tcBorders>
          </w:tcPr>
          <w:p>
            <w:pPr>
              <w:pStyle w:val="yTableNAm"/>
            </w:pPr>
            <w:r>
              <w:rPr>
                <w:b/>
              </w:rPr>
              <w:t>Item</w:t>
            </w:r>
          </w:p>
        </w:tc>
        <w:tc>
          <w:tcPr>
            <w:tcW w:w="3640" w:type="dxa"/>
            <w:tcBorders>
              <w:top w:val="single" w:sz="4" w:space="0" w:color="auto"/>
              <w:bottom w:val="single" w:sz="4" w:space="0" w:color="auto"/>
            </w:tcBorders>
          </w:tcPr>
          <w:p>
            <w:pPr>
              <w:pStyle w:val="yTableNAm"/>
            </w:pPr>
            <w:r>
              <w:rPr>
                <w:b/>
              </w:rPr>
              <w:t>Service</w:t>
            </w:r>
          </w:p>
        </w:tc>
        <w:tc>
          <w:tcPr>
            <w:tcW w:w="1189" w:type="dxa"/>
            <w:tcBorders>
              <w:top w:val="single" w:sz="4" w:space="0" w:color="auto"/>
              <w:bottom w:val="single" w:sz="4" w:space="0" w:color="auto"/>
            </w:tcBorders>
          </w:tcPr>
          <w:p>
            <w:pPr>
              <w:pStyle w:val="yTableNAm"/>
              <w:jc w:val="center"/>
            </w:pPr>
            <w:r>
              <w:rPr>
                <w:b/>
              </w:rPr>
              <w:t>$</w:t>
            </w:r>
          </w:p>
        </w:tc>
      </w:tr>
      <w:tr>
        <w:trPr>
          <w:cantSplit/>
        </w:trPr>
        <w:tc>
          <w:tcPr>
            <w:tcW w:w="588" w:type="dxa"/>
          </w:tcPr>
          <w:p>
            <w:pPr>
              <w:pStyle w:val="yTableNAm"/>
            </w:pPr>
            <w:r>
              <w:t>1.</w:t>
            </w:r>
          </w:p>
        </w:tc>
        <w:tc>
          <w:tcPr>
            <w:tcW w:w="3640" w:type="dxa"/>
          </w:tcPr>
          <w:p>
            <w:pPr>
              <w:pStyle w:val="yTableNAm"/>
            </w:pPr>
            <w:r>
              <w:t>For the use, other than casual daily use, of a piled mooring, an amount calculated per metre of the vessel’s length using the annual rate of</w:t>
            </w:r>
          </w:p>
        </w:tc>
        <w:tc>
          <w:tcPr>
            <w:tcW w:w="1189" w:type="dxa"/>
          </w:tcPr>
          <w:p>
            <w:pPr>
              <w:pStyle w:val="yTableNAm"/>
              <w:jc w:val="center"/>
            </w:pPr>
            <w:r>
              <w:br/>
            </w:r>
            <w:r>
              <w:br/>
            </w:r>
            <w:r>
              <w:br/>
              <w:t>165.59</w:t>
            </w:r>
          </w:p>
        </w:tc>
      </w:tr>
      <w:tr>
        <w:trPr>
          <w:cantSplit/>
        </w:trPr>
        <w:tc>
          <w:tcPr>
            <w:tcW w:w="588" w:type="dxa"/>
          </w:tcPr>
          <w:p>
            <w:pPr>
              <w:pStyle w:val="yTableNAm"/>
            </w:pPr>
            <w:r>
              <w:t>2.</w:t>
            </w:r>
          </w:p>
        </w:tc>
        <w:tc>
          <w:tcPr>
            <w:tcW w:w="3640" w:type="dxa"/>
          </w:tcPr>
          <w:p>
            <w:pPr>
              <w:pStyle w:val="yTableNAm"/>
            </w:pPr>
            <w:r>
              <w:t>For the casual daily use of a piled mooring by a commercial vessel, an amount calculated using standard Rate 1</w:t>
            </w:r>
          </w:p>
        </w:tc>
        <w:tc>
          <w:tcPr>
            <w:tcW w:w="1189" w:type="dxa"/>
          </w:tcPr>
          <w:p>
            <w:pPr>
              <w:pStyle w:val="yTableNAm"/>
              <w:jc w:val="center"/>
            </w:pPr>
            <w:r>
              <w:br/>
            </w:r>
            <w:r>
              <w:br/>
            </w:r>
          </w:p>
        </w:tc>
      </w:tr>
      <w:tr>
        <w:trPr>
          <w:cantSplit/>
        </w:trPr>
        <w:tc>
          <w:tcPr>
            <w:tcW w:w="588" w:type="dxa"/>
            <w:tcBorders>
              <w:bottom w:val="single" w:sz="4" w:space="0" w:color="auto"/>
            </w:tcBorders>
          </w:tcPr>
          <w:p>
            <w:pPr>
              <w:pStyle w:val="yTableNAm"/>
            </w:pPr>
            <w:r>
              <w:t>3.</w:t>
            </w:r>
          </w:p>
        </w:tc>
        <w:tc>
          <w:tcPr>
            <w:tcW w:w="3640" w:type="dxa"/>
            <w:tcBorders>
              <w:bottom w:val="single" w:sz="4" w:space="0" w:color="auto"/>
            </w:tcBorders>
          </w:tcPr>
          <w:p>
            <w:pPr>
              <w:pStyle w:val="yTableNAm"/>
            </w:pPr>
            <w:r>
              <w:t>For the casual daily use of a piled mooring by a recreational vessel, an amount calculated using standard Rate 2</w:t>
            </w:r>
          </w:p>
        </w:tc>
        <w:tc>
          <w:tcPr>
            <w:tcW w:w="1189" w:type="dxa"/>
            <w:tcBorders>
              <w:bottom w:val="single" w:sz="4" w:space="0" w:color="auto"/>
            </w:tcBorders>
          </w:tcPr>
          <w:p>
            <w:pPr>
              <w:pStyle w:val="yTableNAm"/>
              <w:jc w:val="center"/>
            </w:pPr>
            <w:r>
              <w:br/>
            </w:r>
            <w:r>
              <w:br/>
            </w:r>
          </w:p>
        </w:tc>
      </w:tr>
    </w:tbl>
    <w:p>
      <w:pPr>
        <w:pStyle w:val="yFootnotesection"/>
      </w:pPr>
      <w:r>
        <w:tab/>
        <w:t>[Clause 5 inserted in Gazette 22 Jul 2015 p. 2995.]</w:t>
      </w:r>
    </w:p>
    <w:p>
      <w:pPr>
        <w:tabs>
          <w:tab w:val="left" w:pos="423"/>
        </w:tabs>
        <w:ind w:left="423" w:hanging="423"/>
        <w:sectPr>
          <w:headerReference w:type="even" r:id="rId27"/>
          <w:headerReference w:type="default" r:id="rId28"/>
          <w:pgSz w:w="11907" w:h="16840" w:code="9"/>
          <w:pgMar w:top="2376" w:right="2404" w:bottom="3544" w:left="2404" w:header="709" w:footer="3380" w:gutter="0"/>
          <w:cols w:space="720"/>
          <w:noEndnote/>
          <w:docGrid w:linePitch="326"/>
        </w:sectPr>
      </w:pPr>
      <w:r>
        <w:t xml:space="preserve">  </w:t>
      </w:r>
    </w:p>
    <w:p>
      <w:pPr>
        <w:pStyle w:val="yScheduleHeading"/>
        <w:outlineLvl w:val="0"/>
      </w:pPr>
      <w:bookmarkStart w:id="312" w:name="_Toc425337661"/>
      <w:bookmarkStart w:id="313" w:name="_Toc425337924"/>
      <w:bookmarkStart w:id="314" w:name="_Toc425338123"/>
      <w:r>
        <w:rPr>
          <w:rStyle w:val="CharSchNo"/>
        </w:rPr>
        <w:t>Schedule 3</w:t>
      </w:r>
      <w:r>
        <w:rPr>
          <w:rStyle w:val="CharSDivNo"/>
        </w:rPr>
        <w:t> </w:t>
      </w:r>
      <w:r>
        <w:t>—</w:t>
      </w:r>
      <w:r>
        <w:rPr>
          <w:rStyle w:val="CharSDivText"/>
        </w:rPr>
        <w:t> </w:t>
      </w:r>
      <w:r>
        <w:rPr>
          <w:rStyle w:val="CharSchText"/>
        </w:rPr>
        <w:t>Forms</w:t>
      </w:r>
      <w:bookmarkEnd w:id="312"/>
      <w:bookmarkEnd w:id="313"/>
      <w:bookmarkEnd w:id="314"/>
    </w:p>
    <w:p>
      <w:pPr>
        <w:pStyle w:val="yFootnoteheading"/>
      </w:pPr>
      <w:r>
        <w:tab/>
        <w:t>[Heading inserted in Gazette 24 Jun 2005 p. 2829.]</w:t>
      </w:r>
    </w:p>
    <w:p>
      <w:pPr>
        <w:pStyle w:val="yFootnotesection"/>
      </w:pPr>
      <w:r>
        <w:tab/>
        <w:t>[Forms 1 and 2 deleted in Gazette 24 Nov 1972 p. 4491.]</w:t>
      </w:r>
    </w:p>
    <w:p>
      <w:pPr>
        <w:pStyle w:val="yTable"/>
        <w:jc w:val="center"/>
        <w:outlineLvl w:val="0"/>
        <w:rPr>
          <w:b/>
        </w:rPr>
      </w:pPr>
      <w:r>
        <w:rPr>
          <w:b/>
        </w:rPr>
        <w:t>Form 3</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t>Department of Marine and Harbours</w:t>
      </w:r>
      <w:r>
        <w:rPr>
          <w:vertAlign w:val="superscript"/>
        </w:rPr>
        <w:t> 7</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i/>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i/>
          <w:snapToGrid w:val="0"/>
        </w:rPr>
        <w:t>—</w:t>
      </w:r>
      <w:r>
        <w:t xml:space="preserve"> Forward ........................... </w:t>
      </w:r>
      <w:r>
        <w:tab/>
        <w:t>........................................... metres</w:t>
      </w:r>
    </w:p>
    <w:p>
      <w:pPr>
        <w:pStyle w:val="yTable"/>
        <w:tabs>
          <w:tab w:val="left" w:pos="3686"/>
        </w:tabs>
        <w:spacing w:before="0"/>
        <w:ind w:right="8"/>
      </w:pPr>
      <w:r>
        <w:t xml:space="preserve">              </w:t>
      </w:r>
      <w:r>
        <w:rPr>
          <w:i/>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pPr>
        <w:pStyle w:val="yTable"/>
        <w:tabs>
          <w:tab w:val="left" w:pos="4253"/>
        </w:tabs>
        <w:spacing w:before="240"/>
      </w:pPr>
      <w:r>
        <w:t>Date ...................................................</w:t>
      </w:r>
      <w:r>
        <w:tab/>
        <w:t>...................................................</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The charge payable is $ ......................................... Details are shown on Docket No.</w:t>
      </w:r>
    </w:p>
    <w:p>
      <w:pPr>
        <w:pStyle w:val="yTable"/>
        <w:tabs>
          <w:tab w:val="right" w:leader="dot" w:pos="3686"/>
        </w:tabs>
        <w:spacing w:before="0"/>
      </w:pPr>
      <w:r>
        <w:t xml:space="preserve">....................................................................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in Gazette 6 Jul 1984 p. 2029; amended in Gazette 25 Jul 2014 p. 2661.]</w:t>
      </w:r>
    </w:p>
    <w:p>
      <w:pPr>
        <w:pStyle w:val="yEdnoteschedule"/>
        <w:outlineLvl w:val="9"/>
      </w:pPr>
      <w:r>
        <w:t>[Schedule 4 deleted in Gazette 22 Jun 2007 p. 2940.]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outlineLvl w:val="0"/>
      </w:pPr>
      <w:bookmarkStart w:id="315" w:name="_Toc425337662"/>
      <w:bookmarkStart w:id="316" w:name="_Toc425337925"/>
      <w:bookmarkStart w:id="317" w:name="_Toc425338124"/>
      <w:r>
        <w:t>Notes</w:t>
      </w:r>
      <w:bookmarkEnd w:id="315"/>
      <w:bookmarkEnd w:id="316"/>
      <w:bookmarkEnd w:id="317"/>
    </w:p>
    <w:p>
      <w:pPr>
        <w:pStyle w:val="nSubsection"/>
        <w:rPr>
          <w:snapToGrid w:val="0"/>
        </w:rPr>
      </w:pPr>
      <w:r>
        <w:rPr>
          <w:snapToGrid w:val="0"/>
          <w:vertAlign w:val="superscript"/>
        </w:rPr>
        <w:t>1</w:t>
      </w:r>
      <w:r>
        <w:rPr>
          <w:snapToGrid w:val="0"/>
        </w:rPr>
        <w:tab/>
        <w:t xml:space="preserve">This is a compilation of the </w:t>
      </w:r>
      <w:r>
        <w:rPr>
          <w:i/>
          <w:snapToGrid w:val="0"/>
        </w:rPr>
        <w:t>Jetties Regulations 1940</w:t>
      </w:r>
      <w:r>
        <w:rPr>
          <w:snapToGrid w:val="0"/>
        </w:rPr>
        <w:t xml:space="preserve"> and includes the amendments made by the other written laws referred to in the following table.  The table also contains information about any reprint.</w:t>
      </w:r>
    </w:p>
    <w:p>
      <w:pPr>
        <w:pStyle w:val="nHeading3"/>
      </w:pPr>
      <w:bookmarkStart w:id="318" w:name="_Toc425338125"/>
      <w:r>
        <w:t>Compilation table</w:t>
      </w:r>
      <w:bookmarkEnd w:id="31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Jetties Act Regulations 1940 </w:t>
            </w:r>
            <w:r>
              <w:rPr>
                <w:vertAlign w:val="superscript"/>
              </w:rPr>
              <w:t>9, 10</w:t>
            </w:r>
          </w:p>
        </w:tc>
        <w:tc>
          <w:tcPr>
            <w:tcW w:w="1276" w:type="dxa"/>
          </w:tcPr>
          <w:p>
            <w:pPr>
              <w:pStyle w:val="nTable"/>
              <w:spacing w:after="40"/>
            </w:pPr>
            <w:r>
              <w:t>6 Sep 1940 p. 1622</w:t>
            </w:r>
            <w:r>
              <w:noBreakHyphen/>
              <w:t xml:space="preserve">40 </w:t>
            </w:r>
          </w:p>
        </w:tc>
        <w:tc>
          <w:tcPr>
            <w:tcW w:w="2693" w:type="dxa"/>
          </w:tcPr>
          <w:p>
            <w:pPr>
              <w:pStyle w:val="nTable"/>
              <w:spacing w:after="40"/>
            </w:pPr>
            <w:r>
              <w:t xml:space="preserve">6 Sep 1940 (see direction preceding regulations in </w:t>
            </w:r>
            <w:r>
              <w:rPr>
                <w:i/>
              </w:rPr>
              <w:t>Gazette</w:t>
            </w:r>
            <w:r>
              <w:t xml:space="preserve"> 6 Sep 1940 p. 1622)</w:t>
            </w:r>
          </w:p>
        </w:tc>
      </w:tr>
      <w:tr>
        <w:trPr>
          <w:cantSplit/>
        </w:trPr>
        <w:tc>
          <w:tcPr>
            <w:tcW w:w="3118" w:type="dxa"/>
          </w:tcPr>
          <w:p>
            <w:pPr>
              <w:pStyle w:val="nTable"/>
              <w:spacing w:after="40"/>
              <w:ind w:right="170"/>
            </w:pPr>
            <w:r>
              <w:t>Untitled regulations</w:t>
            </w:r>
          </w:p>
        </w:tc>
        <w:tc>
          <w:tcPr>
            <w:tcW w:w="1276" w:type="dxa"/>
          </w:tcPr>
          <w:p>
            <w:pPr>
              <w:pStyle w:val="nTable"/>
              <w:spacing w:after="40"/>
            </w:pPr>
            <w:r>
              <w:t>1 Aug 1941 p. 1073</w:t>
            </w:r>
          </w:p>
        </w:tc>
        <w:tc>
          <w:tcPr>
            <w:tcW w:w="2693" w:type="dxa"/>
          </w:tcPr>
          <w:p>
            <w:pPr>
              <w:pStyle w:val="nTable"/>
              <w:spacing w:after="40"/>
            </w:pPr>
            <w:r>
              <w:t>1 Aug 1941</w:t>
            </w:r>
          </w:p>
        </w:tc>
      </w:tr>
      <w:tr>
        <w:trPr>
          <w:cantSplit/>
        </w:trPr>
        <w:tc>
          <w:tcPr>
            <w:tcW w:w="3118" w:type="dxa"/>
          </w:tcPr>
          <w:p>
            <w:pPr>
              <w:pStyle w:val="nTable"/>
              <w:spacing w:after="40"/>
              <w:ind w:right="170"/>
            </w:pPr>
            <w:r>
              <w:t>Untitled regulations</w:t>
            </w:r>
          </w:p>
        </w:tc>
        <w:tc>
          <w:tcPr>
            <w:tcW w:w="1276" w:type="dxa"/>
          </w:tcPr>
          <w:p>
            <w:pPr>
              <w:pStyle w:val="nTable"/>
              <w:spacing w:after="40"/>
              <w:rPr>
                <w:rFonts w:ascii="Arial" w:hAnsi="Arial"/>
                <w:b/>
              </w:rPr>
            </w:pPr>
            <w:r>
              <w:t>5 Sep 1941 p. 1244</w:t>
            </w:r>
          </w:p>
        </w:tc>
        <w:tc>
          <w:tcPr>
            <w:tcW w:w="2693" w:type="dxa"/>
          </w:tcPr>
          <w:p>
            <w:pPr>
              <w:pStyle w:val="nTable"/>
              <w:spacing w:after="40"/>
            </w:pPr>
            <w:r>
              <w:t>5 Sep 1941</w:t>
            </w:r>
          </w:p>
        </w:tc>
      </w:tr>
      <w:tr>
        <w:trPr>
          <w:cantSplit/>
        </w:trPr>
        <w:tc>
          <w:tcPr>
            <w:tcW w:w="3118" w:type="dxa"/>
          </w:tcPr>
          <w:p>
            <w:pPr>
              <w:pStyle w:val="nTable"/>
              <w:spacing w:after="40"/>
              <w:ind w:right="170"/>
            </w:pPr>
            <w:r>
              <w:t>Untitled regulations</w:t>
            </w:r>
          </w:p>
        </w:tc>
        <w:tc>
          <w:tcPr>
            <w:tcW w:w="1276" w:type="dxa"/>
          </w:tcPr>
          <w:p>
            <w:pPr>
              <w:pStyle w:val="nTable"/>
              <w:spacing w:after="40"/>
            </w:pPr>
            <w:r>
              <w:t xml:space="preserve">21 Jan 1944 p. 26 </w:t>
            </w:r>
          </w:p>
        </w:tc>
        <w:tc>
          <w:tcPr>
            <w:tcW w:w="2693" w:type="dxa"/>
          </w:tcPr>
          <w:p>
            <w:pPr>
              <w:pStyle w:val="nTable"/>
              <w:spacing w:after="40"/>
            </w:pPr>
            <w:r>
              <w:t>21 Jan 1944</w:t>
            </w:r>
          </w:p>
        </w:tc>
      </w:tr>
      <w:tr>
        <w:trPr>
          <w:cantSplit/>
        </w:trPr>
        <w:tc>
          <w:tcPr>
            <w:tcW w:w="3118" w:type="dxa"/>
          </w:tcPr>
          <w:p>
            <w:pPr>
              <w:pStyle w:val="nTable"/>
              <w:spacing w:after="40"/>
              <w:ind w:right="170"/>
            </w:pPr>
            <w:r>
              <w:t>Untitled regulations</w:t>
            </w:r>
          </w:p>
        </w:tc>
        <w:tc>
          <w:tcPr>
            <w:tcW w:w="1276" w:type="dxa"/>
          </w:tcPr>
          <w:p>
            <w:pPr>
              <w:pStyle w:val="nTable"/>
              <w:spacing w:after="40"/>
            </w:pPr>
            <w:r>
              <w:t>10 Mar 1944 p. 154</w:t>
            </w:r>
          </w:p>
        </w:tc>
        <w:tc>
          <w:tcPr>
            <w:tcW w:w="2693" w:type="dxa"/>
          </w:tcPr>
          <w:p>
            <w:pPr>
              <w:pStyle w:val="nTable"/>
              <w:spacing w:after="40"/>
            </w:pPr>
            <w:r>
              <w:t>10 Mar 1944</w:t>
            </w:r>
          </w:p>
        </w:tc>
      </w:tr>
      <w:tr>
        <w:trPr>
          <w:cantSplit/>
        </w:trPr>
        <w:tc>
          <w:tcPr>
            <w:tcW w:w="3118" w:type="dxa"/>
          </w:tcPr>
          <w:p>
            <w:pPr>
              <w:pStyle w:val="nTable"/>
              <w:spacing w:after="40"/>
              <w:ind w:right="170"/>
            </w:pPr>
            <w:r>
              <w:t>Untitled regulations</w:t>
            </w:r>
          </w:p>
        </w:tc>
        <w:tc>
          <w:tcPr>
            <w:tcW w:w="1276" w:type="dxa"/>
          </w:tcPr>
          <w:p>
            <w:pPr>
              <w:pStyle w:val="nTable"/>
              <w:spacing w:after="40"/>
              <w:rPr>
                <w:rFonts w:ascii="Arial" w:hAnsi="Arial"/>
                <w:b/>
              </w:rPr>
            </w:pPr>
            <w:r>
              <w:t>20 Oct 1944 p. 893</w:t>
            </w:r>
          </w:p>
        </w:tc>
        <w:tc>
          <w:tcPr>
            <w:tcW w:w="2693" w:type="dxa"/>
          </w:tcPr>
          <w:p>
            <w:pPr>
              <w:pStyle w:val="nTable"/>
              <w:spacing w:after="40"/>
            </w:pPr>
            <w:r>
              <w:t>20 Oct 1944</w:t>
            </w:r>
          </w:p>
        </w:tc>
      </w:tr>
      <w:tr>
        <w:trPr>
          <w:cantSplit/>
        </w:trPr>
        <w:tc>
          <w:tcPr>
            <w:tcW w:w="3118" w:type="dxa"/>
          </w:tcPr>
          <w:p>
            <w:pPr>
              <w:pStyle w:val="nTable"/>
              <w:spacing w:after="40"/>
              <w:ind w:right="170"/>
            </w:pPr>
            <w:r>
              <w:t>Untitled regulations</w:t>
            </w:r>
          </w:p>
        </w:tc>
        <w:tc>
          <w:tcPr>
            <w:tcW w:w="1276" w:type="dxa"/>
          </w:tcPr>
          <w:p>
            <w:pPr>
              <w:pStyle w:val="nTable"/>
              <w:spacing w:after="40"/>
            </w:pPr>
            <w:r>
              <w:t>11 Jan 1946 p. 13</w:t>
            </w:r>
          </w:p>
        </w:tc>
        <w:tc>
          <w:tcPr>
            <w:tcW w:w="2693" w:type="dxa"/>
          </w:tcPr>
          <w:p>
            <w:pPr>
              <w:pStyle w:val="nTable"/>
              <w:spacing w:after="40"/>
              <w:rPr>
                <w:rFonts w:ascii="Arial" w:hAnsi="Arial"/>
                <w:b/>
              </w:rPr>
            </w:pPr>
            <w:r>
              <w:t>11 Jan 1946</w:t>
            </w:r>
          </w:p>
        </w:tc>
      </w:tr>
      <w:tr>
        <w:trPr>
          <w:cantSplit/>
        </w:trPr>
        <w:tc>
          <w:tcPr>
            <w:tcW w:w="3118" w:type="dxa"/>
          </w:tcPr>
          <w:p>
            <w:pPr>
              <w:pStyle w:val="nTable"/>
              <w:spacing w:after="40"/>
              <w:ind w:right="170"/>
            </w:pPr>
            <w:r>
              <w:t>Untitled regulations</w:t>
            </w:r>
          </w:p>
        </w:tc>
        <w:tc>
          <w:tcPr>
            <w:tcW w:w="1276" w:type="dxa"/>
          </w:tcPr>
          <w:p>
            <w:pPr>
              <w:pStyle w:val="nTable"/>
              <w:spacing w:after="40"/>
              <w:rPr>
                <w:rFonts w:ascii="Arial" w:hAnsi="Arial"/>
                <w:b/>
              </w:rPr>
            </w:pPr>
            <w:r>
              <w:t>3 Jan 1947</w:t>
            </w:r>
            <w:r>
              <w:br/>
              <w:t>p. 7</w:t>
            </w:r>
          </w:p>
        </w:tc>
        <w:tc>
          <w:tcPr>
            <w:tcW w:w="2693" w:type="dxa"/>
          </w:tcPr>
          <w:p>
            <w:pPr>
              <w:pStyle w:val="nTable"/>
              <w:spacing w:after="40"/>
            </w:pPr>
            <w:r>
              <w:t>3 Jan 1947</w:t>
            </w:r>
          </w:p>
        </w:tc>
      </w:tr>
      <w:tr>
        <w:trPr>
          <w:cantSplit/>
        </w:trPr>
        <w:tc>
          <w:tcPr>
            <w:tcW w:w="3118" w:type="dxa"/>
          </w:tcPr>
          <w:p>
            <w:pPr>
              <w:pStyle w:val="nTable"/>
              <w:spacing w:after="40"/>
              <w:ind w:right="170"/>
            </w:pPr>
            <w:r>
              <w:t>Untitled regulations</w:t>
            </w:r>
          </w:p>
        </w:tc>
        <w:tc>
          <w:tcPr>
            <w:tcW w:w="1276" w:type="dxa"/>
          </w:tcPr>
          <w:p>
            <w:pPr>
              <w:pStyle w:val="nTable"/>
              <w:spacing w:after="40"/>
              <w:rPr>
                <w:rFonts w:ascii="Arial" w:hAnsi="Arial"/>
                <w:b/>
              </w:rPr>
            </w:pPr>
            <w:r>
              <w:t>31 Jan 1947 p. 182</w:t>
            </w:r>
          </w:p>
        </w:tc>
        <w:tc>
          <w:tcPr>
            <w:tcW w:w="2693" w:type="dxa"/>
          </w:tcPr>
          <w:p>
            <w:pPr>
              <w:pStyle w:val="nTable"/>
              <w:spacing w:after="40"/>
            </w:pPr>
            <w:r>
              <w:t>31 Jan 1947</w:t>
            </w:r>
          </w:p>
        </w:tc>
      </w:tr>
      <w:tr>
        <w:trPr>
          <w:cantSplit/>
        </w:trPr>
        <w:tc>
          <w:tcPr>
            <w:tcW w:w="3118" w:type="dxa"/>
          </w:tcPr>
          <w:p>
            <w:pPr>
              <w:pStyle w:val="nTable"/>
              <w:spacing w:after="40"/>
              <w:ind w:right="170"/>
            </w:pPr>
            <w:r>
              <w:t>Untitled regulations</w:t>
            </w:r>
          </w:p>
        </w:tc>
        <w:tc>
          <w:tcPr>
            <w:tcW w:w="1276" w:type="dxa"/>
          </w:tcPr>
          <w:p>
            <w:pPr>
              <w:pStyle w:val="nTable"/>
              <w:spacing w:after="40"/>
            </w:pPr>
            <w:r>
              <w:t>23 May 1947 p. 885</w:t>
            </w:r>
          </w:p>
        </w:tc>
        <w:tc>
          <w:tcPr>
            <w:tcW w:w="2693" w:type="dxa"/>
          </w:tcPr>
          <w:p>
            <w:pPr>
              <w:pStyle w:val="nTable"/>
              <w:spacing w:after="40"/>
            </w:pPr>
            <w:r>
              <w:t>23 May 1947</w:t>
            </w:r>
          </w:p>
        </w:tc>
      </w:tr>
      <w:tr>
        <w:trPr>
          <w:cantSplit/>
        </w:trPr>
        <w:tc>
          <w:tcPr>
            <w:tcW w:w="3118" w:type="dxa"/>
          </w:tcPr>
          <w:p>
            <w:pPr>
              <w:pStyle w:val="nTable"/>
              <w:spacing w:after="40"/>
              <w:ind w:right="170"/>
            </w:pPr>
            <w:r>
              <w:t>Untitled regulations</w:t>
            </w:r>
          </w:p>
        </w:tc>
        <w:tc>
          <w:tcPr>
            <w:tcW w:w="1276" w:type="dxa"/>
          </w:tcPr>
          <w:p>
            <w:pPr>
              <w:pStyle w:val="nTable"/>
              <w:spacing w:after="40"/>
              <w:rPr>
                <w:rFonts w:ascii="Arial" w:hAnsi="Arial"/>
                <w:b/>
              </w:rPr>
            </w:pPr>
            <w:r>
              <w:t>29 Oct 1948 p. 2579</w:t>
            </w:r>
          </w:p>
        </w:tc>
        <w:tc>
          <w:tcPr>
            <w:tcW w:w="2693" w:type="dxa"/>
          </w:tcPr>
          <w:p>
            <w:pPr>
              <w:pStyle w:val="nTable"/>
              <w:spacing w:after="40"/>
              <w:rPr>
                <w:rFonts w:ascii="Arial" w:hAnsi="Arial"/>
                <w:b/>
              </w:rPr>
            </w:pPr>
            <w:r>
              <w:t>29 Oct 1948</w:t>
            </w:r>
          </w:p>
        </w:tc>
      </w:tr>
      <w:tr>
        <w:trPr>
          <w:cantSplit/>
        </w:trPr>
        <w:tc>
          <w:tcPr>
            <w:tcW w:w="3118" w:type="dxa"/>
          </w:tcPr>
          <w:p>
            <w:pPr>
              <w:pStyle w:val="nTable"/>
              <w:spacing w:after="40"/>
              <w:ind w:right="170"/>
            </w:pPr>
            <w:r>
              <w:t>Untitled regulations</w:t>
            </w:r>
          </w:p>
        </w:tc>
        <w:tc>
          <w:tcPr>
            <w:tcW w:w="1276" w:type="dxa"/>
          </w:tcPr>
          <w:p>
            <w:pPr>
              <w:pStyle w:val="nTable"/>
              <w:spacing w:after="40"/>
              <w:rPr>
                <w:rFonts w:ascii="Arial" w:hAnsi="Arial"/>
                <w:b/>
              </w:rPr>
            </w:pPr>
            <w:r>
              <w:t>31 Dec 1948 p. 3114</w:t>
            </w:r>
          </w:p>
        </w:tc>
        <w:tc>
          <w:tcPr>
            <w:tcW w:w="2693" w:type="dxa"/>
          </w:tcPr>
          <w:p>
            <w:pPr>
              <w:pStyle w:val="nTable"/>
              <w:spacing w:after="40"/>
            </w:pPr>
            <w:r>
              <w:t>31 Dec 1948</w:t>
            </w:r>
          </w:p>
        </w:tc>
      </w:tr>
      <w:tr>
        <w:trPr>
          <w:cantSplit/>
        </w:trPr>
        <w:tc>
          <w:tcPr>
            <w:tcW w:w="3118" w:type="dxa"/>
          </w:tcPr>
          <w:p>
            <w:pPr>
              <w:pStyle w:val="nTable"/>
              <w:spacing w:after="40"/>
              <w:ind w:right="170"/>
            </w:pPr>
            <w:r>
              <w:t>Untitled regulations</w:t>
            </w:r>
          </w:p>
        </w:tc>
        <w:tc>
          <w:tcPr>
            <w:tcW w:w="1276" w:type="dxa"/>
          </w:tcPr>
          <w:p>
            <w:pPr>
              <w:pStyle w:val="nTable"/>
              <w:spacing w:after="40"/>
            </w:pPr>
            <w:r>
              <w:t>3 Nov 1950 p. 2461</w:t>
            </w:r>
          </w:p>
        </w:tc>
        <w:tc>
          <w:tcPr>
            <w:tcW w:w="2693" w:type="dxa"/>
          </w:tcPr>
          <w:p>
            <w:pPr>
              <w:pStyle w:val="nTable"/>
              <w:spacing w:after="40"/>
            </w:pPr>
            <w:r>
              <w:t>3 Nov 1950</w:t>
            </w:r>
          </w:p>
        </w:tc>
      </w:tr>
      <w:tr>
        <w:trPr>
          <w:cantSplit/>
        </w:trPr>
        <w:tc>
          <w:tcPr>
            <w:tcW w:w="3118" w:type="dxa"/>
          </w:tcPr>
          <w:p>
            <w:pPr>
              <w:pStyle w:val="nTable"/>
              <w:spacing w:after="40"/>
              <w:ind w:right="170"/>
            </w:pPr>
            <w:r>
              <w:t>Untitled regulations</w:t>
            </w:r>
          </w:p>
        </w:tc>
        <w:tc>
          <w:tcPr>
            <w:tcW w:w="1276" w:type="dxa"/>
          </w:tcPr>
          <w:p>
            <w:pPr>
              <w:pStyle w:val="nTable"/>
              <w:spacing w:after="40"/>
              <w:rPr>
                <w:rFonts w:ascii="Arial" w:hAnsi="Arial"/>
                <w:b/>
              </w:rPr>
            </w:pPr>
            <w:r>
              <w:t>2 Mar 1951 p. 470</w:t>
            </w:r>
          </w:p>
        </w:tc>
        <w:tc>
          <w:tcPr>
            <w:tcW w:w="2693" w:type="dxa"/>
          </w:tcPr>
          <w:p>
            <w:pPr>
              <w:pStyle w:val="nTable"/>
              <w:spacing w:after="40"/>
            </w:pPr>
            <w:r>
              <w:t>2 Mar 1951</w:t>
            </w:r>
          </w:p>
        </w:tc>
      </w:tr>
      <w:tr>
        <w:trPr>
          <w:cantSplit/>
        </w:trPr>
        <w:tc>
          <w:tcPr>
            <w:tcW w:w="3118" w:type="dxa"/>
          </w:tcPr>
          <w:p>
            <w:pPr>
              <w:pStyle w:val="nTable"/>
              <w:spacing w:after="40"/>
              <w:ind w:right="170"/>
            </w:pPr>
            <w:r>
              <w:t>Untitled regulations</w:t>
            </w:r>
          </w:p>
        </w:tc>
        <w:tc>
          <w:tcPr>
            <w:tcW w:w="1276" w:type="dxa"/>
          </w:tcPr>
          <w:p>
            <w:pPr>
              <w:pStyle w:val="nTable"/>
              <w:spacing w:after="40"/>
            </w:pPr>
            <w:r>
              <w:t xml:space="preserve">28 Sep 1951 p. 2575 </w:t>
            </w:r>
          </w:p>
        </w:tc>
        <w:tc>
          <w:tcPr>
            <w:tcW w:w="2693" w:type="dxa"/>
          </w:tcPr>
          <w:p>
            <w:pPr>
              <w:pStyle w:val="nTable"/>
              <w:spacing w:after="40"/>
            </w:pPr>
            <w:r>
              <w:t>28 Sep 1951</w:t>
            </w:r>
          </w:p>
        </w:tc>
      </w:tr>
      <w:tr>
        <w:trPr>
          <w:cantSplit/>
        </w:trPr>
        <w:tc>
          <w:tcPr>
            <w:tcW w:w="3118" w:type="dxa"/>
          </w:tcPr>
          <w:p>
            <w:pPr>
              <w:pStyle w:val="nTable"/>
              <w:spacing w:after="40"/>
              <w:ind w:right="170"/>
            </w:pPr>
            <w:r>
              <w:t>Untitled regulations</w:t>
            </w:r>
          </w:p>
        </w:tc>
        <w:tc>
          <w:tcPr>
            <w:tcW w:w="1276" w:type="dxa"/>
          </w:tcPr>
          <w:p>
            <w:pPr>
              <w:pStyle w:val="nTable"/>
              <w:spacing w:after="40"/>
            </w:pPr>
            <w:r>
              <w:t>2 Nov 1951 p. 3021</w:t>
            </w:r>
          </w:p>
        </w:tc>
        <w:tc>
          <w:tcPr>
            <w:tcW w:w="2693" w:type="dxa"/>
          </w:tcPr>
          <w:p>
            <w:pPr>
              <w:pStyle w:val="nTable"/>
              <w:spacing w:after="40"/>
            </w:pPr>
            <w:r>
              <w:t>2 Nov 1951</w:t>
            </w:r>
          </w:p>
        </w:tc>
      </w:tr>
      <w:tr>
        <w:trPr>
          <w:cantSplit/>
        </w:trPr>
        <w:tc>
          <w:tcPr>
            <w:tcW w:w="3118" w:type="dxa"/>
          </w:tcPr>
          <w:p>
            <w:pPr>
              <w:pStyle w:val="nTable"/>
              <w:spacing w:after="40"/>
              <w:ind w:right="170"/>
            </w:pPr>
            <w:r>
              <w:t>Untitled regulations</w:t>
            </w:r>
          </w:p>
        </w:tc>
        <w:tc>
          <w:tcPr>
            <w:tcW w:w="1276" w:type="dxa"/>
          </w:tcPr>
          <w:p>
            <w:pPr>
              <w:pStyle w:val="nTable"/>
              <w:spacing w:after="40"/>
            </w:pPr>
            <w:r>
              <w:t>2 May 1952 p. 1106</w:t>
            </w:r>
          </w:p>
        </w:tc>
        <w:tc>
          <w:tcPr>
            <w:tcW w:w="2693" w:type="dxa"/>
          </w:tcPr>
          <w:p>
            <w:pPr>
              <w:pStyle w:val="nTable"/>
              <w:spacing w:after="40"/>
              <w:rPr>
                <w:rFonts w:ascii="Arial" w:hAnsi="Arial"/>
                <w:b/>
              </w:rPr>
            </w:pPr>
            <w:r>
              <w:t>2 May 1952</w:t>
            </w:r>
          </w:p>
        </w:tc>
      </w:tr>
      <w:tr>
        <w:trPr>
          <w:cantSplit/>
        </w:trPr>
        <w:tc>
          <w:tcPr>
            <w:tcW w:w="3118" w:type="dxa"/>
          </w:tcPr>
          <w:p>
            <w:pPr>
              <w:pStyle w:val="nTable"/>
              <w:spacing w:after="40"/>
              <w:ind w:right="170"/>
            </w:pPr>
            <w:r>
              <w:t>Untitled regulations</w:t>
            </w:r>
          </w:p>
        </w:tc>
        <w:tc>
          <w:tcPr>
            <w:tcW w:w="1276" w:type="dxa"/>
          </w:tcPr>
          <w:p>
            <w:pPr>
              <w:pStyle w:val="nTable"/>
              <w:spacing w:after="40"/>
            </w:pPr>
            <w:r>
              <w:t>30 May 1952 p. 1335</w:t>
            </w:r>
          </w:p>
        </w:tc>
        <w:tc>
          <w:tcPr>
            <w:tcW w:w="2693" w:type="dxa"/>
          </w:tcPr>
          <w:p>
            <w:pPr>
              <w:pStyle w:val="nTable"/>
              <w:spacing w:after="40"/>
            </w:pPr>
            <w:r>
              <w:t>30 May 1952</w:t>
            </w:r>
          </w:p>
        </w:tc>
      </w:tr>
      <w:tr>
        <w:trPr>
          <w:cantSplit/>
        </w:trPr>
        <w:tc>
          <w:tcPr>
            <w:tcW w:w="3118" w:type="dxa"/>
          </w:tcPr>
          <w:p>
            <w:pPr>
              <w:pStyle w:val="nTable"/>
              <w:spacing w:after="40"/>
              <w:ind w:right="170"/>
            </w:pPr>
            <w:r>
              <w:t>Untitled regulations</w:t>
            </w:r>
          </w:p>
        </w:tc>
        <w:tc>
          <w:tcPr>
            <w:tcW w:w="1276" w:type="dxa"/>
          </w:tcPr>
          <w:p>
            <w:pPr>
              <w:pStyle w:val="nTable"/>
              <w:spacing w:after="40"/>
            </w:pPr>
            <w:r>
              <w:t>5 Dec 1952 p. 2867</w:t>
            </w:r>
          </w:p>
        </w:tc>
        <w:tc>
          <w:tcPr>
            <w:tcW w:w="2693" w:type="dxa"/>
          </w:tcPr>
          <w:p>
            <w:pPr>
              <w:pStyle w:val="nTable"/>
              <w:spacing w:after="40"/>
            </w:pPr>
            <w:r>
              <w:t>5 Dec 1952</w:t>
            </w:r>
          </w:p>
        </w:tc>
      </w:tr>
      <w:tr>
        <w:trPr>
          <w:cantSplit/>
        </w:trPr>
        <w:tc>
          <w:tcPr>
            <w:tcW w:w="3118" w:type="dxa"/>
          </w:tcPr>
          <w:p>
            <w:pPr>
              <w:pStyle w:val="nTable"/>
              <w:spacing w:after="40"/>
              <w:ind w:right="170"/>
            </w:pPr>
            <w:r>
              <w:t>Untitled regulations</w:t>
            </w:r>
          </w:p>
        </w:tc>
        <w:tc>
          <w:tcPr>
            <w:tcW w:w="1276" w:type="dxa"/>
          </w:tcPr>
          <w:p>
            <w:pPr>
              <w:pStyle w:val="nTable"/>
              <w:spacing w:after="40"/>
            </w:pPr>
            <w:r>
              <w:t>22 May 1953 p. 987</w:t>
            </w:r>
          </w:p>
        </w:tc>
        <w:tc>
          <w:tcPr>
            <w:tcW w:w="2693" w:type="dxa"/>
          </w:tcPr>
          <w:p>
            <w:pPr>
              <w:pStyle w:val="nTable"/>
              <w:spacing w:after="40"/>
            </w:pPr>
            <w:r>
              <w:t>22 May 1953</w:t>
            </w:r>
          </w:p>
        </w:tc>
      </w:tr>
      <w:tr>
        <w:trPr>
          <w:cantSplit/>
        </w:trPr>
        <w:tc>
          <w:tcPr>
            <w:tcW w:w="3118" w:type="dxa"/>
          </w:tcPr>
          <w:p>
            <w:pPr>
              <w:pStyle w:val="nTable"/>
              <w:spacing w:after="40"/>
              <w:ind w:right="170"/>
            </w:pPr>
            <w:r>
              <w:t>Untitled regulations</w:t>
            </w:r>
          </w:p>
        </w:tc>
        <w:tc>
          <w:tcPr>
            <w:tcW w:w="1276" w:type="dxa"/>
          </w:tcPr>
          <w:p>
            <w:pPr>
              <w:pStyle w:val="nTable"/>
              <w:spacing w:after="40"/>
            </w:pPr>
            <w:r>
              <w:t>23 Jul 1954 p. 1291</w:t>
            </w:r>
          </w:p>
        </w:tc>
        <w:tc>
          <w:tcPr>
            <w:tcW w:w="2693" w:type="dxa"/>
          </w:tcPr>
          <w:p>
            <w:pPr>
              <w:pStyle w:val="nTable"/>
              <w:spacing w:after="40"/>
            </w:pPr>
            <w:r>
              <w:t>23 Jul 1954</w:t>
            </w:r>
          </w:p>
        </w:tc>
      </w:tr>
      <w:tr>
        <w:trPr>
          <w:cantSplit/>
        </w:trPr>
        <w:tc>
          <w:tcPr>
            <w:tcW w:w="3118" w:type="dxa"/>
          </w:tcPr>
          <w:p>
            <w:pPr>
              <w:pStyle w:val="nTable"/>
              <w:spacing w:after="40"/>
              <w:ind w:right="170"/>
            </w:pPr>
            <w:r>
              <w:t>Untitled regulations</w:t>
            </w:r>
          </w:p>
        </w:tc>
        <w:tc>
          <w:tcPr>
            <w:tcW w:w="1276" w:type="dxa"/>
          </w:tcPr>
          <w:p>
            <w:pPr>
              <w:pStyle w:val="nTable"/>
              <w:spacing w:after="40"/>
            </w:pPr>
            <w:r>
              <w:t>19 Jul 1956 p. 1781</w:t>
            </w:r>
          </w:p>
        </w:tc>
        <w:tc>
          <w:tcPr>
            <w:tcW w:w="2693" w:type="dxa"/>
          </w:tcPr>
          <w:p>
            <w:pPr>
              <w:pStyle w:val="nTable"/>
              <w:spacing w:after="40"/>
            </w:pPr>
            <w:r>
              <w:t>19 Jul 1956</w:t>
            </w:r>
          </w:p>
        </w:tc>
      </w:tr>
      <w:tr>
        <w:trPr>
          <w:cantSplit/>
        </w:trPr>
        <w:tc>
          <w:tcPr>
            <w:tcW w:w="3118" w:type="dxa"/>
          </w:tcPr>
          <w:p>
            <w:pPr>
              <w:pStyle w:val="nTable"/>
              <w:spacing w:after="40"/>
              <w:ind w:right="170"/>
            </w:pPr>
            <w:r>
              <w:t>Untitled regulations</w:t>
            </w:r>
          </w:p>
        </w:tc>
        <w:tc>
          <w:tcPr>
            <w:tcW w:w="1276" w:type="dxa"/>
          </w:tcPr>
          <w:p>
            <w:pPr>
              <w:pStyle w:val="nTable"/>
              <w:spacing w:after="40"/>
            </w:pPr>
            <w:r>
              <w:t>16 Apr 1957 p. 1127</w:t>
            </w:r>
          </w:p>
        </w:tc>
        <w:tc>
          <w:tcPr>
            <w:tcW w:w="2693" w:type="dxa"/>
          </w:tcPr>
          <w:p>
            <w:pPr>
              <w:pStyle w:val="nTable"/>
              <w:spacing w:after="40"/>
            </w:pPr>
            <w:r>
              <w:t>16 Apr 1957</w:t>
            </w:r>
          </w:p>
        </w:tc>
      </w:tr>
      <w:tr>
        <w:trPr>
          <w:cantSplit/>
        </w:trPr>
        <w:tc>
          <w:tcPr>
            <w:tcW w:w="3118" w:type="dxa"/>
          </w:tcPr>
          <w:p>
            <w:pPr>
              <w:pStyle w:val="nTable"/>
              <w:spacing w:after="40"/>
              <w:ind w:right="170"/>
              <w:rPr>
                <w:i/>
              </w:rPr>
            </w:pPr>
            <w:r>
              <w:t>Untitled regulations</w:t>
            </w:r>
          </w:p>
        </w:tc>
        <w:tc>
          <w:tcPr>
            <w:tcW w:w="1276" w:type="dxa"/>
          </w:tcPr>
          <w:p>
            <w:pPr>
              <w:pStyle w:val="nTable"/>
              <w:spacing w:after="40"/>
            </w:pPr>
            <w:r>
              <w:t>12 Jul 1957 p. 2269-78</w:t>
            </w:r>
          </w:p>
        </w:tc>
        <w:tc>
          <w:tcPr>
            <w:tcW w:w="2693" w:type="dxa"/>
          </w:tcPr>
          <w:p>
            <w:pPr>
              <w:pStyle w:val="nTable"/>
              <w:spacing w:after="40"/>
            </w:pPr>
            <w:r>
              <w:t>12 Jul 1957</w:t>
            </w:r>
          </w:p>
        </w:tc>
      </w:tr>
      <w:tr>
        <w:trPr>
          <w:cantSplit/>
        </w:trPr>
        <w:tc>
          <w:tcPr>
            <w:tcW w:w="3118" w:type="dxa"/>
          </w:tcPr>
          <w:p>
            <w:pPr>
              <w:pStyle w:val="nTable"/>
              <w:spacing w:after="40"/>
              <w:ind w:right="170"/>
              <w:rPr>
                <w:i/>
              </w:rPr>
            </w:pPr>
            <w:r>
              <w:t>Untitled regulations</w:t>
            </w:r>
          </w:p>
        </w:tc>
        <w:tc>
          <w:tcPr>
            <w:tcW w:w="1276" w:type="dxa"/>
          </w:tcPr>
          <w:p>
            <w:pPr>
              <w:pStyle w:val="nTable"/>
              <w:spacing w:after="40"/>
            </w:pPr>
            <w:r>
              <w:t>17 Mar 1960 p. 777-92</w:t>
            </w:r>
          </w:p>
        </w:tc>
        <w:tc>
          <w:tcPr>
            <w:tcW w:w="2693" w:type="dxa"/>
          </w:tcPr>
          <w:p>
            <w:pPr>
              <w:pStyle w:val="nTable"/>
              <w:spacing w:after="40"/>
            </w:pPr>
            <w:r>
              <w:t>17 Mar 1960</w:t>
            </w:r>
          </w:p>
        </w:tc>
      </w:tr>
      <w:tr>
        <w:trPr>
          <w:cantSplit/>
        </w:trPr>
        <w:tc>
          <w:tcPr>
            <w:tcW w:w="3118" w:type="dxa"/>
          </w:tcPr>
          <w:p>
            <w:pPr>
              <w:pStyle w:val="nTable"/>
              <w:spacing w:after="40"/>
              <w:ind w:right="170"/>
              <w:rPr>
                <w:i/>
              </w:rPr>
            </w:pPr>
            <w:r>
              <w:t>Untitled regulations</w:t>
            </w:r>
          </w:p>
        </w:tc>
        <w:tc>
          <w:tcPr>
            <w:tcW w:w="1276" w:type="dxa"/>
          </w:tcPr>
          <w:p>
            <w:pPr>
              <w:pStyle w:val="nTable"/>
              <w:spacing w:after="40"/>
            </w:pPr>
            <w:r>
              <w:t>28 Sep 1960 p. 2987-8</w:t>
            </w:r>
          </w:p>
        </w:tc>
        <w:tc>
          <w:tcPr>
            <w:tcW w:w="2693" w:type="dxa"/>
          </w:tcPr>
          <w:p>
            <w:pPr>
              <w:pStyle w:val="nTable"/>
              <w:spacing w:after="40"/>
            </w:pPr>
            <w:r>
              <w:t>28 Sep 1960</w:t>
            </w:r>
          </w:p>
        </w:tc>
      </w:tr>
      <w:tr>
        <w:trPr>
          <w:cantSplit/>
        </w:trPr>
        <w:tc>
          <w:tcPr>
            <w:tcW w:w="7087" w:type="dxa"/>
            <w:gridSpan w:val="3"/>
          </w:tcPr>
          <w:p>
            <w:pPr>
              <w:pStyle w:val="nTable"/>
              <w:spacing w:after="40"/>
            </w:pPr>
            <w:r>
              <w:rPr>
                <w:b/>
              </w:rPr>
              <w:t xml:space="preserve">Reprint of the </w:t>
            </w:r>
            <w:r>
              <w:rPr>
                <w:b/>
                <w:i/>
              </w:rPr>
              <w:t xml:space="preserve">Jetties Act Regulations 1940 </w:t>
            </w:r>
            <w:r>
              <w:rPr>
                <w:b/>
              </w:rPr>
              <w:t xml:space="preserve">authorised 21 Jul 1961 in </w:t>
            </w:r>
            <w:r>
              <w:rPr>
                <w:b/>
                <w:i/>
              </w:rPr>
              <w:t>Gazette</w:t>
            </w:r>
            <w:r>
              <w:rPr>
                <w:b/>
              </w:rPr>
              <w:t xml:space="preserve"> 1 Aug 1961 p. 2323-68</w:t>
            </w:r>
            <w:r>
              <w:t xml:space="preserve"> (includes amendments listed above) </w:t>
            </w:r>
          </w:p>
        </w:tc>
      </w:tr>
      <w:tr>
        <w:trPr>
          <w:cantSplit/>
        </w:trPr>
        <w:tc>
          <w:tcPr>
            <w:tcW w:w="3118" w:type="dxa"/>
          </w:tcPr>
          <w:p>
            <w:pPr>
              <w:pStyle w:val="nTable"/>
              <w:spacing w:after="40"/>
              <w:ind w:right="170"/>
              <w:rPr>
                <w:i/>
              </w:rPr>
            </w:pPr>
            <w:r>
              <w:t>Untitled regulations</w:t>
            </w:r>
          </w:p>
        </w:tc>
        <w:tc>
          <w:tcPr>
            <w:tcW w:w="1276" w:type="dxa"/>
          </w:tcPr>
          <w:p>
            <w:pPr>
              <w:pStyle w:val="nTable"/>
              <w:spacing w:after="40"/>
            </w:pPr>
            <w:r>
              <w:t>26 Oct 1962 p. 3482-3</w:t>
            </w:r>
          </w:p>
        </w:tc>
        <w:tc>
          <w:tcPr>
            <w:tcW w:w="2693" w:type="dxa"/>
          </w:tcPr>
          <w:p>
            <w:pPr>
              <w:pStyle w:val="nTable"/>
              <w:spacing w:after="40"/>
            </w:pPr>
            <w:r>
              <w:t>26 Oct 1962</w:t>
            </w:r>
          </w:p>
        </w:tc>
      </w:tr>
      <w:tr>
        <w:trPr>
          <w:cantSplit/>
        </w:trPr>
        <w:tc>
          <w:tcPr>
            <w:tcW w:w="3118" w:type="dxa"/>
          </w:tcPr>
          <w:p>
            <w:pPr>
              <w:pStyle w:val="nTable"/>
              <w:spacing w:after="40"/>
              <w:ind w:right="170"/>
              <w:rPr>
                <w:i/>
              </w:rPr>
            </w:pPr>
            <w:r>
              <w:t>Untitled regulations</w:t>
            </w:r>
          </w:p>
        </w:tc>
        <w:tc>
          <w:tcPr>
            <w:tcW w:w="1276" w:type="dxa"/>
          </w:tcPr>
          <w:p>
            <w:pPr>
              <w:pStyle w:val="nTable"/>
              <w:spacing w:after="40"/>
            </w:pPr>
            <w:r>
              <w:t>20 Dec 1962 p. 4054</w:t>
            </w:r>
          </w:p>
        </w:tc>
        <w:tc>
          <w:tcPr>
            <w:tcW w:w="2693" w:type="dxa"/>
          </w:tcPr>
          <w:p>
            <w:pPr>
              <w:pStyle w:val="nTable"/>
              <w:spacing w:after="40"/>
            </w:pPr>
            <w:r>
              <w:t>20 Dec 1962</w:t>
            </w:r>
          </w:p>
        </w:tc>
      </w:tr>
      <w:tr>
        <w:trPr>
          <w:cantSplit/>
        </w:trPr>
        <w:tc>
          <w:tcPr>
            <w:tcW w:w="3118" w:type="dxa"/>
          </w:tcPr>
          <w:p>
            <w:pPr>
              <w:pStyle w:val="nTable"/>
              <w:spacing w:after="40"/>
              <w:ind w:right="170"/>
              <w:rPr>
                <w:i/>
              </w:rPr>
            </w:pPr>
            <w:r>
              <w:t>Untitled regulations</w:t>
            </w:r>
          </w:p>
        </w:tc>
        <w:tc>
          <w:tcPr>
            <w:tcW w:w="1276" w:type="dxa"/>
          </w:tcPr>
          <w:p>
            <w:pPr>
              <w:pStyle w:val="nTable"/>
              <w:spacing w:after="40"/>
            </w:pPr>
            <w:r>
              <w:t>7 Feb 1963 p. 570</w:t>
            </w:r>
          </w:p>
        </w:tc>
        <w:tc>
          <w:tcPr>
            <w:tcW w:w="2693" w:type="dxa"/>
          </w:tcPr>
          <w:p>
            <w:pPr>
              <w:pStyle w:val="nTable"/>
              <w:spacing w:after="40"/>
            </w:pPr>
            <w:r>
              <w:t>7 Feb 1963</w:t>
            </w:r>
          </w:p>
        </w:tc>
      </w:tr>
      <w:tr>
        <w:trPr>
          <w:cantSplit/>
        </w:trPr>
        <w:tc>
          <w:tcPr>
            <w:tcW w:w="3118" w:type="dxa"/>
          </w:tcPr>
          <w:p>
            <w:pPr>
              <w:pStyle w:val="nTable"/>
              <w:spacing w:after="40"/>
              <w:ind w:right="170"/>
              <w:rPr>
                <w:i/>
              </w:rPr>
            </w:pPr>
            <w:r>
              <w:t>Untitled regulations</w:t>
            </w:r>
          </w:p>
        </w:tc>
        <w:tc>
          <w:tcPr>
            <w:tcW w:w="1276" w:type="dxa"/>
          </w:tcPr>
          <w:p>
            <w:pPr>
              <w:pStyle w:val="nTable"/>
              <w:spacing w:after="40"/>
            </w:pPr>
            <w:r>
              <w:t>16 Sep 1963 p. 2828-31</w:t>
            </w:r>
          </w:p>
        </w:tc>
        <w:tc>
          <w:tcPr>
            <w:tcW w:w="2693" w:type="dxa"/>
          </w:tcPr>
          <w:p>
            <w:pPr>
              <w:pStyle w:val="nTable"/>
              <w:spacing w:after="40"/>
            </w:pPr>
            <w:r>
              <w:t>16 Sep 1963</w:t>
            </w:r>
          </w:p>
        </w:tc>
      </w:tr>
      <w:tr>
        <w:trPr>
          <w:cantSplit/>
        </w:trPr>
        <w:tc>
          <w:tcPr>
            <w:tcW w:w="3118" w:type="dxa"/>
          </w:tcPr>
          <w:p>
            <w:pPr>
              <w:pStyle w:val="nTable"/>
              <w:spacing w:after="40"/>
              <w:ind w:right="170"/>
              <w:rPr>
                <w:i/>
              </w:rPr>
            </w:pPr>
            <w:r>
              <w:t>Untitled regulations</w:t>
            </w:r>
          </w:p>
        </w:tc>
        <w:tc>
          <w:tcPr>
            <w:tcW w:w="1276" w:type="dxa"/>
          </w:tcPr>
          <w:p>
            <w:pPr>
              <w:pStyle w:val="nTable"/>
              <w:spacing w:after="40"/>
            </w:pPr>
            <w:r>
              <w:t>23 Jun 1964 p. 2500</w:t>
            </w:r>
          </w:p>
        </w:tc>
        <w:tc>
          <w:tcPr>
            <w:tcW w:w="2693" w:type="dxa"/>
          </w:tcPr>
          <w:p>
            <w:pPr>
              <w:pStyle w:val="nTable"/>
              <w:spacing w:after="40"/>
            </w:pPr>
            <w:r>
              <w:t>23 Jun 1964</w:t>
            </w:r>
          </w:p>
        </w:tc>
      </w:tr>
      <w:tr>
        <w:trPr>
          <w:cantSplit/>
        </w:trPr>
        <w:tc>
          <w:tcPr>
            <w:tcW w:w="3118" w:type="dxa"/>
          </w:tcPr>
          <w:p>
            <w:pPr>
              <w:pStyle w:val="nTable"/>
              <w:spacing w:after="40"/>
              <w:ind w:right="170"/>
              <w:rPr>
                <w:i/>
              </w:rPr>
            </w:pPr>
            <w:r>
              <w:t>Untitled regulations</w:t>
            </w:r>
          </w:p>
        </w:tc>
        <w:tc>
          <w:tcPr>
            <w:tcW w:w="1276" w:type="dxa"/>
          </w:tcPr>
          <w:p>
            <w:pPr>
              <w:pStyle w:val="nTable"/>
              <w:spacing w:after="40"/>
            </w:pPr>
            <w:r>
              <w:t>11 Aug 1964 p. 2880</w:t>
            </w:r>
          </w:p>
        </w:tc>
        <w:tc>
          <w:tcPr>
            <w:tcW w:w="2693" w:type="dxa"/>
          </w:tcPr>
          <w:p>
            <w:pPr>
              <w:pStyle w:val="nTable"/>
              <w:spacing w:after="40"/>
            </w:pPr>
            <w:r>
              <w:t>11 Aug 1964</w:t>
            </w:r>
          </w:p>
        </w:tc>
      </w:tr>
      <w:tr>
        <w:trPr>
          <w:cantSplit/>
        </w:trPr>
        <w:tc>
          <w:tcPr>
            <w:tcW w:w="3118" w:type="dxa"/>
          </w:tcPr>
          <w:p>
            <w:pPr>
              <w:pStyle w:val="nTable"/>
              <w:spacing w:after="40"/>
              <w:ind w:right="170"/>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rPr>
          <w:cantSplit/>
        </w:trPr>
        <w:tc>
          <w:tcPr>
            <w:tcW w:w="3118" w:type="dxa"/>
          </w:tcPr>
          <w:p>
            <w:pPr>
              <w:pStyle w:val="nTable"/>
              <w:spacing w:after="40"/>
              <w:ind w:right="170"/>
            </w:pPr>
            <w:r>
              <w:t>Untitled regulations</w:t>
            </w:r>
          </w:p>
        </w:tc>
        <w:tc>
          <w:tcPr>
            <w:tcW w:w="1276" w:type="dxa"/>
          </w:tcPr>
          <w:p>
            <w:pPr>
              <w:pStyle w:val="nTable"/>
              <w:spacing w:after="40"/>
            </w:pPr>
            <w:r>
              <w:t>8 Feb 1965 p. 467</w:t>
            </w:r>
          </w:p>
        </w:tc>
        <w:tc>
          <w:tcPr>
            <w:tcW w:w="2693" w:type="dxa"/>
          </w:tcPr>
          <w:p>
            <w:pPr>
              <w:pStyle w:val="nTable"/>
              <w:spacing w:after="40"/>
            </w:pPr>
            <w:r>
              <w:t>8 Feb 1965</w:t>
            </w:r>
          </w:p>
        </w:tc>
      </w:tr>
      <w:tr>
        <w:trPr>
          <w:cantSplit/>
        </w:trPr>
        <w:tc>
          <w:tcPr>
            <w:tcW w:w="3118" w:type="dxa"/>
          </w:tcPr>
          <w:p>
            <w:pPr>
              <w:pStyle w:val="nTable"/>
              <w:spacing w:after="40"/>
              <w:ind w:right="170"/>
            </w:pPr>
            <w:r>
              <w:t>Untitled regulations</w:t>
            </w:r>
          </w:p>
        </w:tc>
        <w:tc>
          <w:tcPr>
            <w:tcW w:w="1276" w:type="dxa"/>
          </w:tcPr>
          <w:p>
            <w:pPr>
              <w:pStyle w:val="nTable"/>
              <w:spacing w:after="40"/>
            </w:pPr>
            <w:r>
              <w:t>12 May 1965 p. 1464</w:t>
            </w:r>
          </w:p>
        </w:tc>
        <w:tc>
          <w:tcPr>
            <w:tcW w:w="2693" w:type="dxa"/>
          </w:tcPr>
          <w:p>
            <w:pPr>
              <w:pStyle w:val="nTable"/>
              <w:spacing w:after="40"/>
            </w:pPr>
            <w:r>
              <w:t>12 May 1965</w:t>
            </w:r>
          </w:p>
        </w:tc>
      </w:tr>
      <w:tr>
        <w:trPr>
          <w:cantSplit/>
        </w:trPr>
        <w:tc>
          <w:tcPr>
            <w:tcW w:w="3118" w:type="dxa"/>
          </w:tcPr>
          <w:p>
            <w:pPr>
              <w:pStyle w:val="nTable"/>
              <w:spacing w:after="40"/>
              <w:ind w:right="170"/>
            </w:pPr>
            <w:r>
              <w:t>Untitled regulations</w:t>
            </w:r>
          </w:p>
        </w:tc>
        <w:tc>
          <w:tcPr>
            <w:tcW w:w="1276" w:type="dxa"/>
          </w:tcPr>
          <w:p>
            <w:pPr>
              <w:pStyle w:val="nTable"/>
              <w:spacing w:after="40"/>
            </w:pPr>
            <w:r>
              <w:t>26 May 1965 p. 1614</w:t>
            </w:r>
          </w:p>
        </w:tc>
        <w:tc>
          <w:tcPr>
            <w:tcW w:w="2693" w:type="dxa"/>
          </w:tcPr>
          <w:p>
            <w:pPr>
              <w:pStyle w:val="nTable"/>
              <w:spacing w:after="40"/>
            </w:pPr>
            <w:r>
              <w:t>26 May 1965</w:t>
            </w:r>
          </w:p>
        </w:tc>
      </w:tr>
      <w:tr>
        <w:trPr>
          <w:cantSplit/>
        </w:trPr>
        <w:tc>
          <w:tcPr>
            <w:tcW w:w="3118" w:type="dxa"/>
          </w:tcPr>
          <w:p>
            <w:pPr>
              <w:pStyle w:val="nTable"/>
              <w:spacing w:after="40"/>
              <w:ind w:right="170"/>
            </w:pPr>
            <w:r>
              <w:t>Untitled regulations</w:t>
            </w:r>
          </w:p>
        </w:tc>
        <w:tc>
          <w:tcPr>
            <w:tcW w:w="1276" w:type="dxa"/>
          </w:tcPr>
          <w:p>
            <w:pPr>
              <w:pStyle w:val="nTable"/>
              <w:spacing w:after="40"/>
            </w:pPr>
            <w:r>
              <w:t>10 Jun 1965 p. 1726</w:t>
            </w:r>
          </w:p>
        </w:tc>
        <w:tc>
          <w:tcPr>
            <w:tcW w:w="2693" w:type="dxa"/>
          </w:tcPr>
          <w:p>
            <w:pPr>
              <w:pStyle w:val="nTable"/>
              <w:spacing w:after="40"/>
            </w:pPr>
            <w:r>
              <w:t>10 Jun 1965</w:t>
            </w:r>
          </w:p>
        </w:tc>
      </w:tr>
      <w:tr>
        <w:trPr>
          <w:cantSplit/>
        </w:trPr>
        <w:tc>
          <w:tcPr>
            <w:tcW w:w="3118" w:type="dxa"/>
          </w:tcPr>
          <w:p>
            <w:pPr>
              <w:pStyle w:val="nTable"/>
              <w:spacing w:after="40"/>
              <w:ind w:right="170"/>
            </w:pPr>
            <w:r>
              <w:t>Untitled regulations</w:t>
            </w:r>
          </w:p>
        </w:tc>
        <w:tc>
          <w:tcPr>
            <w:tcW w:w="1276" w:type="dxa"/>
          </w:tcPr>
          <w:p>
            <w:pPr>
              <w:pStyle w:val="nTable"/>
              <w:spacing w:after="40"/>
            </w:pPr>
            <w:r>
              <w:t>1 Sep 1965 p. 2590-6</w:t>
            </w:r>
          </w:p>
        </w:tc>
        <w:tc>
          <w:tcPr>
            <w:tcW w:w="2693" w:type="dxa"/>
          </w:tcPr>
          <w:p>
            <w:pPr>
              <w:pStyle w:val="nTable"/>
              <w:spacing w:after="40"/>
            </w:pPr>
            <w:r>
              <w:t>1 Sep 1965</w:t>
            </w:r>
          </w:p>
        </w:tc>
      </w:tr>
      <w:tr>
        <w:trPr>
          <w:cantSplit/>
        </w:trPr>
        <w:tc>
          <w:tcPr>
            <w:tcW w:w="4394" w:type="dxa"/>
            <w:gridSpan w:val="2"/>
          </w:tcPr>
          <w:p>
            <w:pPr>
              <w:pStyle w:val="nTable"/>
              <w:spacing w:after="40"/>
              <w:ind w:right="170"/>
              <w:rPr>
                <w:rFonts w:ascii="Arial" w:hAnsi="Arial"/>
                <w:b/>
              </w:rPr>
            </w:pPr>
            <w:r>
              <w:rPr>
                <w:i/>
              </w:rPr>
              <w:t>Decimal Currency Act 1965</w:t>
            </w:r>
            <w:r>
              <w:rPr>
                <w:b/>
                <w:i/>
              </w:rPr>
              <w:t xml:space="preserve"> </w:t>
            </w:r>
            <w:r>
              <w:t>assented to 21 Dec 1965</w:t>
            </w:r>
          </w:p>
        </w:tc>
        <w:tc>
          <w:tcPr>
            <w:tcW w:w="2693" w:type="dxa"/>
          </w:tcPr>
          <w:p>
            <w:pPr>
              <w:pStyle w:val="nTable"/>
              <w:spacing w:after="40"/>
            </w:pPr>
            <w:r>
              <w:t>Act other than s. 4-9: 21 Dec 1965 (see s. 2(1));</w:t>
            </w:r>
            <w:r>
              <w:br/>
              <w:t>s. 4-9: 14 Feb 1966 (see s. 2(2))</w:t>
            </w:r>
          </w:p>
        </w:tc>
      </w:tr>
      <w:tr>
        <w:trPr>
          <w:cantSplit/>
        </w:trPr>
        <w:tc>
          <w:tcPr>
            <w:tcW w:w="3118" w:type="dxa"/>
          </w:tcPr>
          <w:p>
            <w:pPr>
              <w:pStyle w:val="nTable"/>
              <w:spacing w:after="40"/>
              <w:ind w:right="170"/>
            </w:pPr>
            <w:r>
              <w:t>Untitled regulations</w:t>
            </w:r>
          </w:p>
        </w:tc>
        <w:tc>
          <w:tcPr>
            <w:tcW w:w="1276" w:type="dxa"/>
          </w:tcPr>
          <w:p>
            <w:pPr>
              <w:pStyle w:val="nTable"/>
              <w:spacing w:after="40"/>
            </w:pPr>
            <w:r>
              <w:t>17 Mar 1966 p. 731</w:t>
            </w:r>
          </w:p>
        </w:tc>
        <w:tc>
          <w:tcPr>
            <w:tcW w:w="2693" w:type="dxa"/>
          </w:tcPr>
          <w:p>
            <w:pPr>
              <w:pStyle w:val="nTable"/>
              <w:spacing w:after="40"/>
            </w:pPr>
            <w:r>
              <w:t>17 Mar 1966</w:t>
            </w:r>
          </w:p>
        </w:tc>
      </w:tr>
      <w:tr>
        <w:trPr>
          <w:cantSplit/>
        </w:trPr>
        <w:tc>
          <w:tcPr>
            <w:tcW w:w="3118" w:type="dxa"/>
          </w:tcPr>
          <w:p>
            <w:pPr>
              <w:pStyle w:val="nTable"/>
              <w:spacing w:after="40"/>
              <w:ind w:right="170"/>
            </w:pPr>
            <w:r>
              <w:t>Untitled regulations</w:t>
            </w:r>
          </w:p>
        </w:tc>
        <w:tc>
          <w:tcPr>
            <w:tcW w:w="1276" w:type="dxa"/>
          </w:tcPr>
          <w:p>
            <w:pPr>
              <w:pStyle w:val="nTable"/>
              <w:spacing w:after="40"/>
            </w:pPr>
            <w:r>
              <w:t>14 Apr 1966 p. 918</w:t>
            </w:r>
          </w:p>
        </w:tc>
        <w:tc>
          <w:tcPr>
            <w:tcW w:w="2693" w:type="dxa"/>
          </w:tcPr>
          <w:p>
            <w:pPr>
              <w:pStyle w:val="nTable"/>
              <w:spacing w:after="40"/>
            </w:pPr>
            <w:r>
              <w:t>14 Apr 1966</w:t>
            </w:r>
          </w:p>
        </w:tc>
      </w:tr>
      <w:tr>
        <w:trPr>
          <w:cantSplit/>
        </w:trPr>
        <w:tc>
          <w:tcPr>
            <w:tcW w:w="3118" w:type="dxa"/>
          </w:tcPr>
          <w:p>
            <w:pPr>
              <w:pStyle w:val="nTable"/>
              <w:spacing w:after="40"/>
              <w:ind w:right="170"/>
            </w:pPr>
            <w:r>
              <w:t>Untitled regulations</w:t>
            </w:r>
          </w:p>
        </w:tc>
        <w:tc>
          <w:tcPr>
            <w:tcW w:w="1276" w:type="dxa"/>
          </w:tcPr>
          <w:p>
            <w:pPr>
              <w:pStyle w:val="nTable"/>
              <w:spacing w:after="40"/>
            </w:pPr>
            <w:r>
              <w:t>4 Jun 1968 p. 1684-93</w:t>
            </w:r>
          </w:p>
        </w:tc>
        <w:tc>
          <w:tcPr>
            <w:tcW w:w="2693" w:type="dxa"/>
          </w:tcPr>
          <w:p>
            <w:pPr>
              <w:pStyle w:val="nTable"/>
              <w:spacing w:after="40"/>
            </w:pPr>
            <w:r>
              <w:t>4 Jun 1968</w:t>
            </w:r>
          </w:p>
        </w:tc>
      </w:tr>
      <w:tr>
        <w:trPr>
          <w:cantSplit/>
        </w:trPr>
        <w:tc>
          <w:tcPr>
            <w:tcW w:w="3118" w:type="dxa"/>
          </w:tcPr>
          <w:p>
            <w:pPr>
              <w:pStyle w:val="nTable"/>
              <w:spacing w:after="40"/>
              <w:ind w:right="170"/>
            </w:pPr>
            <w:r>
              <w:t>Untitled regulations</w:t>
            </w:r>
          </w:p>
        </w:tc>
        <w:tc>
          <w:tcPr>
            <w:tcW w:w="1276" w:type="dxa"/>
          </w:tcPr>
          <w:p>
            <w:pPr>
              <w:pStyle w:val="nTable"/>
              <w:spacing w:after="40"/>
            </w:pPr>
            <w:r>
              <w:t>30 Dec 1968 p. 3949</w:t>
            </w:r>
          </w:p>
        </w:tc>
        <w:tc>
          <w:tcPr>
            <w:tcW w:w="2693" w:type="dxa"/>
          </w:tcPr>
          <w:p>
            <w:pPr>
              <w:pStyle w:val="nTable"/>
              <w:spacing w:after="40"/>
            </w:pPr>
            <w:r>
              <w:t>30 Dec 1968</w:t>
            </w:r>
          </w:p>
        </w:tc>
      </w:tr>
      <w:tr>
        <w:trPr>
          <w:cantSplit/>
        </w:trPr>
        <w:tc>
          <w:tcPr>
            <w:tcW w:w="3118" w:type="dxa"/>
          </w:tcPr>
          <w:p>
            <w:pPr>
              <w:pStyle w:val="nTable"/>
              <w:spacing w:after="40"/>
              <w:ind w:right="170"/>
            </w:pPr>
            <w:r>
              <w:t>Untitled regulations</w:t>
            </w:r>
          </w:p>
        </w:tc>
        <w:tc>
          <w:tcPr>
            <w:tcW w:w="1276" w:type="dxa"/>
          </w:tcPr>
          <w:p>
            <w:pPr>
              <w:pStyle w:val="nTable"/>
              <w:spacing w:after="40"/>
            </w:pPr>
            <w:r>
              <w:t>24 Nov 1972 p. 4486-91</w:t>
            </w:r>
          </w:p>
        </w:tc>
        <w:tc>
          <w:tcPr>
            <w:tcW w:w="2693" w:type="dxa"/>
          </w:tcPr>
          <w:p>
            <w:pPr>
              <w:pStyle w:val="nTable"/>
              <w:spacing w:after="40"/>
            </w:pPr>
            <w:r>
              <w:t>24 Nov 1972</w:t>
            </w:r>
          </w:p>
        </w:tc>
      </w:tr>
      <w:tr>
        <w:trPr>
          <w:cantSplit/>
        </w:trPr>
        <w:tc>
          <w:tcPr>
            <w:tcW w:w="3118" w:type="dxa"/>
          </w:tcPr>
          <w:p>
            <w:pPr>
              <w:pStyle w:val="nTable"/>
              <w:spacing w:after="40"/>
              <w:ind w:right="170"/>
            </w:pPr>
            <w:r>
              <w:t>Untitled regulations</w:t>
            </w:r>
          </w:p>
        </w:tc>
        <w:tc>
          <w:tcPr>
            <w:tcW w:w="1276" w:type="dxa"/>
          </w:tcPr>
          <w:p>
            <w:pPr>
              <w:pStyle w:val="nTable"/>
              <w:spacing w:after="40"/>
            </w:pPr>
            <w:r>
              <w:t>15 Jun 1973 p. 2237</w:t>
            </w:r>
            <w:r>
              <w:noBreakHyphen/>
              <w:t>42 (erratum 13 Dec 1974 p. 5544)</w:t>
            </w:r>
          </w:p>
        </w:tc>
        <w:tc>
          <w:tcPr>
            <w:tcW w:w="2693" w:type="dxa"/>
          </w:tcPr>
          <w:p>
            <w:pPr>
              <w:pStyle w:val="nTable"/>
              <w:spacing w:after="40"/>
            </w:pPr>
            <w:r>
              <w:t>1 Jul 1973</w:t>
            </w:r>
          </w:p>
        </w:tc>
      </w:tr>
      <w:tr>
        <w:trPr>
          <w:cantSplit/>
        </w:trPr>
        <w:tc>
          <w:tcPr>
            <w:tcW w:w="3118" w:type="dxa"/>
          </w:tcPr>
          <w:p>
            <w:pPr>
              <w:pStyle w:val="nTable"/>
              <w:spacing w:after="40"/>
              <w:ind w:right="170"/>
            </w:pPr>
            <w:r>
              <w:t>Untitled regulations</w:t>
            </w:r>
          </w:p>
        </w:tc>
        <w:tc>
          <w:tcPr>
            <w:tcW w:w="1276" w:type="dxa"/>
          </w:tcPr>
          <w:p>
            <w:pPr>
              <w:pStyle w:val="nTable"/>
              <w:spacing w:after="40"/>
            </w:pPr>
            <w:r>
              <w:t>19 Oct 1973 p. 3818-19</w:t>
            </w:r>
          </w:p>
        </w:tc>
        <w:tc>
          <w:tcPr>
            <w:tcW w:w="2693" w:type="dxa"/>
          </w:tcPr>
          <w:p>
            <w:pPr>
              <w:pStyle w:val="nTable"/>
              <w:spacing w:after="40"/>
            </w:pPr>
            <w:r>
              <w:t>19 Oct 1973</w:t>
            </w:r>
          </w:p>
        </w:tc>
      </w:tr>
      <w:tr>
        <w:trPr>
          <w:cantSplit/>
        </w:trPr>
        <w:tc>
          <w:tcPr>
            <w:tcW w:w="3118" w:type="dxa"/>
          </w:tcPr>
          <w:p>
            <w:pPr>
              <w:pStyle w:val="nTable"/>
              <w:spacing w:after="40"/>
              <w:ind w:right="170"/>
            </w:pPr>
            <w:r>
              <w:t>Untitled regulations</w:t>
            </w:r>
          </w:p>
        </w:tc>
        <w:tc>
          <w:tcPr>
            <w:tcW w:w="1276" w:type="dxa"/>
          </w:tcPr>
          <w:p>
            <w:pPr>
              <w:pStyle w:val="nTable"/>
              <w:spacing w:after="40"/>
            </w:pPr>
            <w:r>
              <w:t>9 Nov 1973 p. 4192</w:t>
            </w:r>
          </w:p>
        </w:tc>
        <w:tc>
          <w:tcPr>
            <w:tcW w:w="2693" w:type="dxa"/>
          </w:tcPr>
          <w:p>
            <w:pPr>
              <w:pStyle w:val="nTable"/>
              <w:spacing w:after="40"/>
            </w:pPr>
            <w:r>
              <w:t xml:space="preserve">9 Nov 1973 </w:t>
            </w:r>
          </w:p>
        </w:tc>
      </w:tr>
      <w:tr>
        <w:trPr>
          <w:cantSplit/>
        </w:trPr>
        <w:tc>
          <w:tcPr>
            <w:tcW w:w="7087" w:type="dxa"/>
            <w:gridSpan w:val="3"/>
          </w:tcPr>
          <w:p>
            <w:pPr>
              <w:pStyle w:val="nTable"/>
              <w:spacing w:after="40"/>
            </w:pPr>
            <w:r>
              <w:rPr>
                <w:b/>
              </w:rPr>
              <w:t xml:space="preserve">Reprint of the </w:t>
            </w:r>
            <w:r>
              <w:rPr>
                <w:b/>
                <w:i/>
              </w:rPr>
              <w:t xml:space="preserve">Jetties Act Regulations 1940 </w:t>
            </w:r>
            <w:r>
              <w:rPr>
                <w:b/>
              </w:rPr>
              <w:t xml:space="preserve">authorised 29 Nov 1974 in </w:t>
            </w:r>
            <w:r>
              <w:rPr>
                <w:b/>
                <w:i/>
              </w:rPr>
              <w:t xml:space="preserve">Gazette </w:t>
            </w:r>
            <w:r>
              <w:rPr>
                <w:b/>
              </w:rPr>
              <w:t>10 Dec 1974 p. 5291-318</w:t>
            </w:r>
            <w:r>
              <w:t xml:space="preserve"> (includes amendments listed above)</w:t>
            </w:r>
          </w:p>
        </w:tc>
      </w:tr>
      <w:tr>
        <w:trPr>
          <w:cantSplit/>
        </w:trPr>
        <w:tc>
          <w:tcPr>
            <w:tcW w:w="3118" w:type="dxa"/>
          </w:tcPr>
          <w:p>
            <w:pPr>
              <w:pStyle w:val="nTable"/>
              <w:spacing w:after="40"/>
              <w:ind w:right="170"/>
              <w:rPr>
                <w:rFonts w:ascii="Arial" w:hAnsi="Arial"/>
                <w:b/>
              </w:rPr>
            </w:pPr>
            <w:r>
              <w:t>Untitled regulations</w:t>
            </w:r>
          </w:p>
        </w:tc>
        <w:tc>
          <w:tcPr>
            <w:tcW w:w="1276" w:type="dxa"/>
          </w:tcPr>
          <w:p>
            <w:pPr>
              <w:pStyle w:val="nTable"/>
              <w:spacing w:after="40"/>
              <w:rPr>
                <w:rFonts w:ascii="Arial" w:hAnsi="Arial"/>
                <w:b/>
              </w:rPr>
            </w:pPr>
            <w:r>
              <w:t>22 Aug 1975 p. 3040-3</w:t>
            </w:r>
          </w:p>
        </w:tc>
        <w:tc>
          <w:tcPr>
            <w:tcW w:w="2693" w:type="dxa"/>
          </w:tcPr>
          <w:p>
            <w:pPr>
              <w:pStyle w:val="nTable"/>
              <w:spacing w:after="40"/>
              <w:rPr>
                <w:rFonts w:ascii="Arial" w:hAnsi="Arial"/>
                <w:b/>
              </w:rPr>
            </w:pPr>
            <w:r>
              <w:t>22 Aug 1975</w:t>
            </w:r>
          </w:p>
        </w:tc>
      </w:tr>
      <w:tr>
        <w:trPr>
          <w:cantSplit/>
        </w:trPr>
        <w:tc>
          <w:tcPr>
            <w:tcW w:w="3118" w:type="dxa"/>
          </w:tcPr>
          <w:p>
            <w:pPr>
              <w:pStyle w:val="nTable"/>
              <w:spacing w:after="40"/>
              <w:ind w:right="170"/>
            </w:pPr>
            <w:r>
              <w:t>Untitled regulations</w:t>
            </w:r>
          </w:p>
        </w:tc>
        <w:tc>
          <w:tcPr>
            <w:tcW w:w="1276" w:type="dxa"/>
          </w:tcPr>
          <w:p>
            <w:pPr>
              <w:pStyle w:val="nTable"/>
              <w:spacing w:after="40"/>
            </w:pPr>
            <w:r>
              <w:t>20 Feb 1976 p. 484-7</w:t>
            </w:r>
          </w:p>
        </w:tc>
        <w:tc>
          <w:tcPr>
            <w:tcW w:w="2693" w:type="dxa"/>
          </w:tcPr>
          <w:p>
            <w:pPr>
              <w:pStyle w:val="nTable"/>
              <w:spacing w:after="40"/>
            </w:pPr>
            <w:r>
              <w:t>20 Feb 1976</w:t>
            </w:r>
          </w:p>
        </w:tc>
      </w:tr>
      <w:tr>
        <w:trPr>
          <w:cantSplit/>
        </w:trPr>
        <w:tc>
          <w:tcPr>
            <w:tcW w:w="3118" w:type="dxa"/>
          </w:tcPr>
          <w:p>
            <w:pPr>
              <w:pStyle w:val="nTable"/>
              <w:spacing w:after="40"/>
              <w:ind w:right="170"/>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rPr>
          <w:cantSplit/>
        </w:trPr>
        <w:tc>
          <w:tcPr>
            <w:tcW w:w="3118" w:type="dxa"/>
          </w:tcPr>
          <w:p>
            <w:pPr>
              <w:pStyle w:val="nTable"/>
              <w:spacing w:after="40"/>
              <w:ind w:right="170"/>
            </w:pPr>
            <w:r>
              <w:t>Untitled regulations</w:t>
            </w:r>
          </w:p>
        </w:tc>
        <w:tc>
          <w:tcPr>
            <w:tcW w:w="1276" w:type="dxa"/>
          </w:tcPr>
          <w:p>
            <w:pPr>
              <w:pStyle w:val="nTable"/>
              <w:spacing w:after="40"/>
            </w:pPr>
            <w:r>
              <w:t>13 Jan 1978 p. 149-52</w:t>
            </w:r>
          </w:p>
        </w:tc>
        <w:tc>
          <w:tcPr>
            <w:tcW w:w="2693" w:type="dxa"/>
          </w:tcPr>
          <w:p>
            <w:pPr>
              <w:pStyle w:val="nTable"/>
              <w:spacing w:after="40"/>
            </w:pPr>
            <w:r>
              <w:t>13 Feb 1978</w:t>
            </w:r>
          </w:p>
        </w:tc>
      </w:tr>
      <w:tr>
        <w:trPr>
          <w:cantSplit/>
        </w:trPr>
        <w:tc>
          <w:tcPr>
            <w:tcW w:w="3118" w:type="dxa"/>
          </w:tcPr>
          <w:p>
            <w:pPr>
              <w:pStyle w:val="nTable"/>
              <w:spacing w:after="40"/>
              <w:ind w:right="170"/>
            </w:pPr>
            <w:r>
              <w:t>Untitled regulations r. 6 and 7</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rPr>
          <w:cantSplit/>
        </w:trPr>
        <w:tc>
          <w:tcPr>
            <w:tcW w:w="3118" w:type="dxa"/>
          </w:tcPr>
          <w:p>
            <w:pPr>
              <w:pStyle w:val="nTable"/>
              <w:spacing w:after="40"/>
              <w:ind w:right="170"/>
            </w:pPr>
            <w:r>
              <w:t>Untitled regulations</w:t>
            </w:r>
          </w:p>
        </w:tc>
        <w:tc>
          <w:tcPr>
            <w:tcW w:w="1276" w:type="dxa"/>
          </w:tcPr>
          <w:p>
            <w:pPr>
              <w:pStyle w:val="nTable"/>
              <w:spacing w:after="40"/>
            </w:pPr>
            <w:r>
              <w:t>1 Dec 1978 p. 4537-41</w:t>
            </w:r>
          </w:p>
        </w:tc>
        <w:tc>
          <w:tcPr>
            <w:tcW w:w="2693" w:type="dxa"/>
          </w:tcPr>
          <w:p>
            <w:pPr>
              <w:pStyle w:val="nTable"/>
              <w:spacing w:after="40"/>
            </w:pPr>
            <w:r>
              <w:t>1 Jan 1979</w:t>
            </w:r>
          </w:p>
        </w:tc>
      </w:tr>
      <w:tr>
        <w:trPr>
          <w:cantSplit/>
        </w:trPr>
        <w:tc>
          <w:tcPr>
            <w:tcW w:w="3118" w:type="dxa"/>
          </w:tcPr>
          <w:p>
            <w:pPr>
              <w:pStyle w:val="nTable"/>
              <w:spacing w:after="40"/>
              <w:ind w:right="170"/>
            </w:pPr>
            <w:r>
              <w:t>Untitled regulations</w:t>
            </w:r>
          </w:p>
        </w:tc>
        <w:tc>
          <w:tcPr>
            <w:tcW w:w="1276" w:type="dxa"/>
          </w:tcPr>
          <w:p>
            <w:pPr>
              <w:pStyle w:val="nTable"/>
              <w:spacing w:after="40"/>
            </w:pPr>
            <w:r>
              <w:t xml:space="preserve">13 Jul 1979 p. 1915-16 </w:t>
            </w:r>
          </w:p>
        </w:tc>
        <w:tc>
          <w:tcPr>
            <w:tcW w:w="2693" w:type="dxa"/>
          </w:tcPr>
          <w:p>
            <w:pPr>
              <w:pStyle w:val="nTable"/>
              <w:spacing w:after="40"/>
            </w:pPr>
            <w:r>
              <w:t>13 Aug 1979</w:t>
            </w:r>
          </w:p>
        </w:tc>
      </w:tr>
      <w:tr>
        <w:trPr>
          <w:cantSplit/>
        </w:trPr>
        <w:tc>
          <w:tcPr>
            <w:tcW w:w="3118" w:type="dxa"/>
          </w:tcPr>
          <w:p>
            <w:pPr>
              <w:pStyle w:val="nTable"/>
              <w:spacing w:after="40"/>
              <w:ind w:right="170"/>
            </w:pPr>
            <w:r>
              <w:t>Untitled regulations</w:t>
            </w:r>
          </w:p>
        </w:tc>
        <w:tc>
          <w:tcPr>
            <w:tcW w:w="1276" w:type="dxa"/>
          </w:tcPr>
          <w:p>
            <w:pPr>
              <w:pStyle w:val="nTable"/>
              <w:spacing w:after="40"/>
            </w:pPr>
            <w:r>
              <w:t>2 Nov 1979 p. 3467</w:t>
            </w:r>
          </w:p>
        </w:tc>
        <w:tc>
          <w:tcPr>
            <w:tcW w:w="2693" w:type="dxa"/>
          </w:tcPr>
          <w:p>
            <w:pPr>
              <w:pStyle w:val="nTable"/>
              <w:spacing w:after="40"/>
            </w:pPr>
            <w:r>
              <w:t>2 Nov 1979</w:t>
            </w:r>
          </w:p>
        </w:tc>
      </w:tr>
      <w:tr>
        <w:trPr>
          <w:cantSplit/>
        </w:trPr>
        <w:tc>
          <w:tcPr>
            <w:tcW w:w="3118" w:type="dxa"/>
          </w:tcPr>
          <w:p>
            <w:pPr>
              <w:pStyle w:val="nTable"/>
              <w:spacing w:after="40"/>
              <w:ind w:right="170"/>
            </w:pPr>
            <w:r>
              <w:t>Untitled regulations</w:t>
            </w:r>
          </w:p>
        </w:tc>
        <w:tc>
          <w:tcPr>
            <w:tcW w:w="1276" w:type="dxa"/>
          </w:tcPr>
          <w:p>
            <w:pPr>
              <w:pStyle w:val="nTable"/>
              <w:spacing w:after="40"/>
            </w:pPr>
            <w:r>
              <w:t>20 Jun 1980 p. 1834-8</w:t>
            </w:r>
          </w:p>
        </w:tc>
        <w:tc>
          <w:tcPr>
            <w:tcW w:w="2693" w:type="dxa"/>
          </w:tcPr>
          <w:p>
            <w:pPr>
              <w:pStyle w:val="nTable"/>
              <w:spacing w:after="40"/>
            </w:pPr>
            <w:r>
              <w:t>1 Jul 1980 (see r. 2)</w:t>
            </w:r>
          </w:p>
        </w:tc>
      </w:tr>
      <w:tr>
        <w:trPr>
          <w:cantSplit/>
        </w:trPr>
        <w:tc>
          <w:tcPr>
            <w:tcW w:w="3118" w:type="dxa"/>
          </w:tcPr>
          <w:p>
            <w:pPr>
              <w:pStyle w:val="nTable"/>
              <w:spacing w:after="40"/>
              <w:ind w:right="170"/>
              <w:rPr>
                <w:i/>
              </w:rPr>
            </w:pPr>
            <w:r>
              <w:rPr>
                <w:i/>
              </w:rPr>
              <w:t>Jetties Act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rPr>
          <w:cantSplit/>
        </w:trPr>
        <w:tc>
          <w:tcPr>
            <w:tcW w:w="3118" w:type="dxa"/>
          </w:tcPr>
          <w:p>
            <w:pPr>
              <w:pStyle w:val="nTable"/>
              <w:spacing w:after="40"/>
              <w:ind w:right="170"/>
            </w:pPr>
            <w:r>
              <w:rPr>
                <w:i/>
              </w:rPr>
              <w:t>Jetties Act Amendment Regulations 1981</w:t>
            </w:r>
          </w:p>
        </w:tc>
        <w:tc>
          <w:tcPr>
            <w:tcW w:w="1276" w:type="dxa"/>
          </w:tcPr>
          <w:p>
            <w:pPr>
              <w:pStyle w:val="nTable"/>
              <w:spacing w:after="40"/>
            </w:pPr>
            <w:r>
              <w:t>6 Feb 1981 p. 555</w:t>
            </w:r>
          </w:p>
        </w:tc>
        <w:tc>
          <w:tcPr>
            <w:tcW w:w="2693" w:type="dxa"/>
          </w:tcPr>
          <w:p>
            <w:pPr>
              <w:pStyle w:val="nTable"/>
              <w:spacing w:after="40"/>
            </w:pPr>
            <w:r>
              <w:t>6 Feb 1981</w:t>
            </w:r>
          </w:p>
        </w:tc>
      </w:tr>
      <w:tr>
        <w:trPr>
          <w:cantSplit/>
        </w:trPr>
        <w:tc>
          <w:tcPr>
            <w:tcW w:w="3118" w:type="dxa"/>
          </w:tcPr>
          <w:p>
            <w:pPr>
              <w:pStyle w:val="nTable"/>
              <w:spacing w:after="40"/>
              <w:ind w:right="170"/>
            </w:pPr>
            <w:r>
              <w:rPr>
                <w:i/>
              </w:rPr>
              <w:t>Jetties Act Amendment Regulations (No. 2) 1981</w:t>
            </w:r>
          </w:p>
        </w:tc>
        <w:tc>
          <w:tcPr>
            <w:tcW w:w="1276" w:type="dxa"/>
          </w:tcPr>
          <w:p>
            <w:pPr>
              <w:pStyle w:val="nTable"/>
              <w:spacing w:after="40"/>
            </w:pPr>
            <w:r>
              <w:t>26 Jun 1981 p. 2410-11</w:t>
            </w:r>
          </w:p>
        </w:tc>
        <w:tc>
          <w:tcPr>
            <w:tcW w:w="2693" w:type="dxa"/>
          </w:tcPr>
          <w:p>
            <w:pPr>
              <w:pStyle w:val="nTable"/>
              <w:spacing w:after="40"/>
            </w:pPr>
            <w:r>
              <w:t>1 Jul 1981 (see r. 2)</w:t>
            </w:r>
          </w:p>
        </w:tc>
      </w:tr>
      <w:tr>
        <w:trPr>
          <w:cantSplit/>
        </w:trPr>
        <w:tc>
          <w:tcPr>
            <w:tcW w:w="3118" w:type="dxa"/>
          </w:tcPr>
          <w:p>
            <w:pPr>
              <w:pStyle w:val="nTable"/>
              <w:spacing w:after="40"/>
              <w:ind w:right="170"/>
            </w:pPr>
            <w:r>
              <w:rPr>
                <w:i/>
              </w:rPr>
              <w:t>Jetties Act Amendment Regulations (No. 3) 1981</w:t>
            </w:r>
          </w:p>
        </w:tc>
        <w:tc>
          <w:tcPr>
            <w:tcW w:w="1276" w:type="dxa"/>
          </w:tcPr>
          <w:p>
            <w:pPr>
              <w:pStyle w:val="nTable"/>
              <w:spacing w:after="40"/>
            </w:pPr>
            <w:r>
              <w:t>26 Jun 1981 p. 2413 (erratum 16 Oct 1981 p. 4337)</w:t>
            </w:r>
          </w:p>
        </w:tc>
        <w:tc>
          <w:tcPr>
            <w:tcW w:w="2693" w:type="dxa"/>
          </w:tcPr>
          <w:p>
            <w:pPr>
              <w:pStyle w:val="nTable"/>
              <w:spacing w:after="40"/>
            </w:pPr>
            <w:r>
              <w:t>1 Jul 1981 (see r. 2)</w:t>
            </w:r>
          </w:p>
        </w:tc>
      </w:tr>
      <w:tr>
        <w:trPr>
          <w:cantSplit/>
        </w:trPr>
        <w:tc>
          <w:tcPr>
            <w:tcW w:w="3118" w:type="dxa"/>
          </w:tcPr>
          <w:p>
            <w:pPr>
              <w:pStyle w:val="nTable"/>
              <w:spacing w:after="40"/>
              <w:ind w:right="170"/>
            </w:pPr>
            <w:r>
              <w:rPr>
                <w:i/>
              </w:rPr>
              <w:t>Jetties Act Amendment Regulations (No. 4) 1981</w:t>
            </w:r>
          </w:p>
        </w:tc>
        <w:tc>
          <w:tcPr>
            <w:tcW w:w="1276" w:type="dxa"/>
          </w:tcPr>
          <w:p>
            <w:pPr>
              <w:pStyle w:val="nTable"/>
              <w:spacing w:after="40"/>
            </w:pPr>
            <w:r>
              <w:t xml:space="preserve">14 Aug 1981 p. 3340 </w:t>
            </w:r>
          </w:p>
        </w:tc>
        <w:tc>
          <w:tcPr>
            <w:tcW w:w="2693" w:type="dxa"/>
          </w:tcPr>
          <w:p>
            <w:pPr>
              <w:pStyle w:val="nTable"/>
              <w:spacing w:after="40"/>
            </w:pPr>
            <w:r>
              <w:t>14 Aug 1981</w:t>
            </w:r>
          </w:p>
        </w:tc>
      </w:tr>
      <w:tr>
        <w:trPr>
          <w:cantSplit/>
        </w:trPr>
        <w:tc>
          <w:tcPr>
            <w:tcW w:w="3118" w:type="dxa"/>
          </w:tcPr>
          <w:p>
            <w:pPr>
              <w:pStyle w:val="nTable"/>
              <w:spacing w:after="40"/>
              <w:ind w:right="170"/>
            </w:pPr>
            <w:r>
              <w:rPr>
                <w:i/>
              </w:rPr>
              <w:t>Jetties Act Amendment Regulations 1982</w:t>
            </w:r>
          </w:p>
        </w:tc>
        <w:tc>
          <w:tcPr>
            <w:tcW w:w="1276" w:type="dxa"/>
          </w:tcPr>
          <w:p>
            <w:pPr>
              <w:pStyle w:val="nTable"/>
              <w:spacing w:after="40"/>
            </w:pPr>
            <w:r>
              <w:t>9 Jul 1982 p. 2509-11</w:t>
            </w:r>
          </w:p>
        </w:tc>
        <w:tc>
          <w:tcPr>
            <w:tcW w:w="2693" w:type="dxa"/>
          </w:tcPr>
          <w:p>
            <w:pPr>
              <w:pStyle w:val="nTable"/>
              <w:spacing w:after="40"/>
            </w:pPr>
            <w:r>
              <w:t>9 Jul 1982</w:t>
            </w:r>
          </w:p>
        </w:tc>
      </w:tr>
      <w:tr>
        <w:trPr>
          <w:cantSplit/>
        </w:trPr>
        <w:tc>
          <w:tcPr>
            <w:tcW w:w="3118" w:type="dxa"/>
          </w:tcPr>
          <w:p>
            <w:pPr>
              <w:pStyle w:val="nTable"/>
              <w:spacing w:after="40"/>
              <w:ind w:right="170"/>
            </w:pPr>
            <w:r>
              <w:rPr>
                <w:i/>
              </w:rPr>
              <w:t>Jetties Act Amendment Regulations 1983</w:t>
            </w:r>
          </w:p>
        </w:tc>
        <w:tc>
          <w:tcPr>
            <w:tcW w:w="1276" w:type="dxa"/>
          </w:tcPr>
          <w:p>
            <w:pPr>
              <w:pStyle w:val="nTable"/>
              <w:spacing w:after="40"/>
            </w:pPr>
            <w:r>
              <w:t>5 Aug 1983 p. 2834-6</w:t>
            </w:r>
          </w:p>
        </w:tc>
        <w:tc>
          <w:tcPr>
            <w:tcW w:w="2693" w:type="dxa"/>
          </w:tcPr>
          <w:p>
            <w:pPr>
              <w:pStyle w:val="nTable"/>
              <w:spacing w:after="40"/>
            </w:pPr>
            <w:r>
              <w:t>5 Aug 1983</w:t>
            </w:r>
          </w:p>
        </w:tc>
      </w:tr>
      <w:tr>
        <w:trPr>
          <w:cantSplit/>
        </w:trPr>
        <w:tc>
          <w:tcPr>
            <w:tcW w:w="3118" w:type="dxa"/>
          </w:tcPr>
          <w:p>
            <w:pPr>
              <w:pStyle w:val="nTable"/>
              <w:spacing w:after="40"/>
              <w:ind w:right="170"/>
            </w:pPr>
            <w:r>
              <w:rPr>
                <w:i/>
              </w:rPr>
              <w:t>Jetties Act Amendment Regulations (No. 2) 1983</w:t>
            </w:r>
          </w:p>
        </w:tc>
        <w:tc>
          <w:tcPr>
            <w:tcW w:w="1276" w:type="dxa"/>
          </w:tcPr>
          <w:p>
            <w:pPr>
              <w:pStyle w:val="nTable"/>
              <w:spacing w:after="40"/>
            </w:pPr>
            <w:r>
              <w:t>23 Sep 1983 p. 3817</w:t>
            </w:r>
          </w:p>
        </w:tc>
        <w:tc>
          <w:tcPr>
            <w:tcW w:w="2693" w:type="dxa"/>
          </w:tcPr>
          <w:p>
            <w:pPr>
              <w:pStyle w:val="nTable"/>
              <w:spacing w:after="40"/>
            </w:pPr>
            <w:r>
              <w:t>1 Oct 1983 (see r. 2)</w:t>
            </w:r>
          </w:p>
        </w:tc>
      </w:tr>
      <w:tr>
        <w:trPr>
          <w:cantSplit/>
        </w:trPr>
        <w:tc>
          <w:tcPr>
            <w:tcW w:w="3118" w:type="dxa"/>
          </w:tcPr>
          <w:p>
            <w:pPr>
              <w:pStyle w:val="nTable"/>
              <w:spacing w:after="40"/>
              <w:ind w:right="170"/>
            </w:pPr>
            <w:r>
              <w:rPr>
                <w:i/>
              </w:rPr>
              <w:t>Jetties Act Amendment Regulations (No. 3) 1983</w:t>
            </w:r>
          </w:p>
        </w:tc>
        <w:tc>
          <w:tcPr>
            <w:tcW w:w="1276" w:type="dxa"/>
          </w:tcPr>
          <w:p>
            <w:pPr>
              <w:pStyle w:val="nTable"/>
              <w:spacing w:after="40"/>
            </w:pPr>
            <w:r>
              <w:t>25 Nov 1983 p. 4669-70</w:t>
            </w:r>
          </w:p>
        </w:tc>
        <w:tc>
          <w:tcPr>
            <w:tcW w:w="2693" w:type="dxa"/>
          </w:tcPr>
          <w:p>
            <w:pPr>
              <w:pStyle w:val="nTable"/>
              <w:spacing w:after="40"/>
            </w:pPr>
            <w:r>
              <w:t>25 Nov 1983</w:t>
            </w:r>
          </w:p>
        </w:tc>
      </w:tr>
      <w:tr>
        <w:trPr>
          <w:cantSplit/>
        </w:trPr>
        <w:tc>
          <w:tcPr>
            <w:tcW w:w="3118" w:type="dxa"/>
          </w:tcPr>
          <w:p>
            <w:pPr>
              <w:pStyle w:val="nTable"/>
              <w:spacing w:after="40"/>
              <w:ind w:right="170"/>
            </w:pPr>
            <w:r>
              <w:rPr>
                <w:i/>
              </w:rPr>
              <w:t>Jetties Act Amendment Regulations 1984</w:t>
            </w:r>
          </w:p>
        </w:tc>
        <w:tc>
          <w:tcPr>
            <w:tcW w:w="1276" w:type="dxa"/>
          </w:tcPr>
          <w:p>
            <w:pPr>
              <w:pStyle w:val="nTable"/>
              <w:spacing w:after="40"/>
            </w:pPr>
            <w:r>
              <w:t>6 Jul 1984 p. 2028-9</w:t>
            </w:r>
          </w:p>
        </w:tc>
        <w:tc>
          <w:tcPr>
            <w:tcW w:w="2693" w:type="dxa"/>
          </w:tcPr>
          <w:p>
            <w:pPr>
              <w:pStyle w:val="nTable"/>
              <w:spacing w:after="40"/>
            </w:pPr>
            <w:r>
              <w:t>6 Jul 1984</w:t>
            </w:r>
          </w:p>
        </w:tc>
      </w:tr>
      <w:tr>
        <w:trPr>
          <w:cantSplit/>
        </w:trPr>
        <w:tc>
          <w:tcPr>
            <w:tcW w:w="3118" w:type="dxa"/>
          </w:tcPr>
          <w:p>
            <w:pPr>
              <w:pStyle w:val="nTable"/>
              <w:spacing w:after="40"/>
              <w:ind w:right="170"/>
            </w:pPr>
            <w:r>
              <w:rPr>
                <w:i/>
              </w:rPr>
              <w:t>Jetties Act Amendment Regulations (No. 2) 1984</w:t>
            </w:r>
          </w:p>
        </w:tc>
        <w:tc>
          <w:tcPr>
            <w:tcW w:w="1276" w:type="dxa"/>
          </w:tcPr>
          <w:p>
            <w:pPr>
              <w:pStyle w:val="nTable"/>
              <w:spacing w:after="40"/>
            </w:pPr>
            <w:r>
              <w:t>7 Sep 1984 p. 2859</w:t>
            </w:r>
          </w:p>
        </w:tc>
        <w:tc>
          <w:tcPr>
            <w:tcW w:w="2693" w:type="dxa"/>
          </w:tcPr>
          <w:p>
            <w:pPr>
              <w:pStyle w:val="nTable"/>
              <w:spacing w:after="40"/>
            </w:pPr>
            <w:r>
              <w:t>7 Sep 1984</w:t>
            </w:r>
          </w:p>
        </w:tc>
      </w:tr>
      <w:tr>
        <w:trPr>
          <w:cantSplit/>
        </w:trPr>
        <w:tc>
          <w:tcPr>
            <w:tcW w:w="3118" w:type="dxa"/>
          </w:tcPr>
          <w:p>
            <w:pPr>
              <w:pStyle w:val="nTable"/>
              <w:spacing w:after="40"/>
              <w:ind w:right="170"/>
            </w:pPr>
            <w:r>
              <w:rPr>
                <w:i/>
              </w:rPr>
              <w:t>Jetties Act Amendment Regulations 1985</w:t>
            </w:r>
          </w:p>
        </w:tc>
        <w:tc>
          <w:tcPr>
            <w:tcW w:w="1276" w:type="dxa"/>
          </w:tcPr>
          <w:p>
            <w:pPr>
              <w:pStyle w:val="nTable"/>
              <w:spacing w:after="40"/>
            </w:pPr>
            <w:r>
              <w:t>30 Aug 1985 p. 3077-9</w:t>
            </w:r>
          </w:p>
        </w:tc>
        <w:tc>
          <w:tcPr>
            <w:tcW w:w="2693" w:type="dxa"/>
          </w:tcPr>
          <w:p>
            <w:pPr>
              <w:pStyle w:val="nTable"/>
              <w:spacing w:after="40"/>
            </w:pPr>
            <w:r>
              <w:t>2 Sep 1985 (see r. 3)</w:t>
            </w:r>
          </w:p>
        </w:tc>
      </w:tr>
      <w:tr>
        <w:trPr>
          <w:cantSplit/>
        </w:trPr>
        <w:tc>
          <w:tcPr>
            <w:tcW w:w="3118" w:type="dxa"/>
          </w:tcPr>
          <w:p>
            <w:pPr>
              <w:pStyle w:val="nTable"/>
              <w:spacing w:after="40"/>
              <w:ind w:right="170"/>
            </w:pPr>
            <w:r>
              <w:rPr>
                <w:i/>
              </w:rPr>
              <w:t>Jetties Amendment Regulations 1986</w:t>
            </w:r>
          </w:p>
        </w:tc>
        <w:tc>
          <w:tcPr>
            <w:tcW w:w="1276" w:type="dxa"/>
          </w:tcPr>
          <w:p>
            <w:pPr>
              <w:pStyle w:val="nTable"/>
              <w:spacing w:after="40"/>
            </w:pPr>
            <w:r>
              <w:t>8 Aug 1986 p. 2828-30</w:t>
            </w:r>
          </w:p>
        </w:tc>
        <w:tc>
          <w:tcPr>
            <w:tcW w:w="2693" w:type="dxa"/>
          </w:tcPr>
          <w:p>
            <w:pPr>
              <w:pStyle w:val="nTable"/>
              <w:spacing w:after="40"/>
            </w:pPr>
            <w:r>
              <w:t>8 Aug 1986</w:t>
            </w:r>
          </w:p>
        </w:tc>
      </w:tr>
      <w:tr>
        <w:trPr>
          <w:cantSplit/>
        </w:trPr>
        <w:tc>
          <w:tcPr>
            <w:tcW w:w="3118" w:type="dxa"/>
          </w:tcPr>
          <w:p>
            <w:pPr>
              <w:pStyle w:val="nTable"/>
              <w:spacing w:after="40"/>
              <w:ind w:right="170"/>
            </w:pPr>
            <w:r>
              <w:rPr>
                <w:i/>
              </w:rPr>
              <w:t>Jetties Amendment Regulations 1987</w:t>
            </w:r>
          </w:p>
        </w:tc>
        <w:tc>
          <w:tcPr>
            <w:tcW w:w="1276" w:type="dxa"/>
          </w:tcPr>
          <w:p>
            <w:pPr>
              <w:pStyle w:val="nTable"/>
              <w:spacing w:after="40"/>
            </w:pPr>
            <w:r>
              <w:t>16 Oct 1987 p. 3893-5</w:t>
            </w:r>
          </w:p>
        </w:tc>
        <w:tc>
          <w:tcPr>
            <w:tcW w:w="2693" w:type="dxa"/>
          </w:tcPr>
          <w:p>
            <w:pPr>
              <w:pStyle w:val="nTable"/>
              <w:spacing w:after="40"/>
            </w:pPr>
            <w:r>
              <w:t>16 Oct 1987</w:t>
            </w:r>
          </w:p>
        </w:tc>
      </w:tr>
      <w:tr>
        <w:trPr>
          <w:cantSplit/>
        </w:trPr>
        <w:tc>
          <w:tcPr>
            <w:tcW w:w="3118" w:type="dxa"/>
          </w:tcPr>
          <w:p>
            <w:pPr>
              <w:pStyle w:val="nTable"/>
              <w:spacing w:after="40"/>
              <w:ind w:right="170"/>
            </w:pPr>
            <w:r>
              <w:rPr>
                <w:i/>
              </w:rPr>
              <w:t>Jetties Amendment Regulations 1988</w:t>
            </w:r>
          </w:p>
        </w:tc>
        <w:tc>
          <w:tcPr>
            <w:tcW w:w="1276" w:type="dxa"/>
          </w:tcPr>
          <w:p>
            <w:pPr>
              <w:pStyle w:val="nTable"/>
              <w:spacing w:after="40"/>
            </w:pPr>
            <w:r>
              <w:t>14 Oct 1988 p. 4164-6</w:t>
            </w:r>
          </w:p>
        </w:tc>
        <w:tc>
          <w:tcPr>
            <w:tcW w:w="2693" w:type="dxa"/>
          </w:tcPr>
          <w:p>
            <w:pPr>
              <w:pStyle w:val="nTable"/>
              <w:spacing w:after="40"/>
            </w:pPr>
            <w:r>
              <w:t>14 Oct 1988</w:t>
            </w:r>
          </w:p>
        </w:tc>
      </w:tr>
      <w:tr>
        <w:trPr>
          <w:cantSplit/>
        </w:trPr>
        <w:tc>
          <w:tcPr>
            <w:tcW w:w="3118" w:type="dxa"/>
          </w:tcPr>
          <w:p>
            <w:pPr>
              <w:pStyle w:val="nTable"/>
              <w:spacing w:after="40"/>
              <w:ind w:right="170"/>
            </w:pPr>
            <w:r>
              <w:rPr>
                <w:i/>
              </w:rPr>
              <w:t>Jetties Amendment Regulations 1989</w:t>
            </w:r>
          </w:p>
        </w:tc>
        <w:tc>
          <w:tcPr>
            <w:tcW w:w="1276" w:type="dxa"/>
          </w:tcPr>
          <w:p>
            <w:pPr>
              <w:pStyle w:val="nTable"/>
              <w:spacing w:after="40"/>
            </w:pPr>
            <w:r>
              <w:t>19 May 1989 p. 1493-6</w:t>
            </w:r>
          </w:p>
        </w:tc>
        <w:tc>
          <w:tcPr>
            <w:tcW w:w="2693" w:type="dxa"/>
          </w:tcPr>
          <w:p>
            <w:pPr>
              <w:pStyle w:val="nTable"/>
              <w:spacing w:after="40"/>
            </w:pPr>
            <w:r>
              <w:t>19 May 1989</w:t>
            </w:r>
          </w:p>
        </w:tc>
      </w:tr>
      <w:tr>
        <w:trPr>
          <w:cantSplit/>
        </w:trPr>
        <w:tc>
          <w:tcPr>
            <w:tcW w:w="3118" w:type="dxa"/>
          </w:tcPr>
          <w:p>
            <w:pPr>
              <w:pStyle w:val="nTable"/>
              <w:spacing w:after="40"/>
              <w:ind w:right="170"/>
            </w:pPr>
            <w:r>
              <w:rPr>
                <w:i/>
              </w:rPr>
              <w:t>Jetties Amendment Regulations (No. 2) 1989</w:t>
            </w:r>
          </w:p>
        </w:tc>
        <w:tc>
          <w:tcPr>
            <w:tcW w:w="1276" w:type="dxa"/>
          </w:tcPr>
          <w:p>
            <w:pPr>
              <w:pStyle w:val="nTable"/>
              <w:spacing w:after="40"/>
            </w:pPr>
            <w:r>
              <w:t>30 Jun 1989 p. 1917-20</w:t>
            </w:r>
          </w:p>
        </w:tc>
        <w:tc>
          <w:tcPr>
            <w:tcW w:w="2693" w:type="dxa"/>
          </w:tcPr>
          <w:p>
            <w:pPr>
              <w:pStyle w:val="nTable"/>
              <w:spacing w:after="40"/>
            </w:pPr>
            <w:r>
              <w:t>1 Jul 1989 (see r. 2)</w:t>
            </w:r>
          </w:p>
        </w:tc>
      </w:tr>
      <w:tr>
        <w:trPr>
          <w:cantSplit/>
        </w:trPr>
        <w:tc>
          <w:tcPr>
            <w:tcW w:w="3118" w:type="dxa"/>
          </w:tcPr>
          <w:p>
            <w:pPr>
              <w:pStyle w:val="nTable"/>
              <w:spacing w:after="40"/>
              <w:ind w:right="170"/>
            </w:pPr>
            <w:r>
              <w:rPr>
                <w:i/>
              </w:rPr>
              <w:t>Jetties Amendment Regulations 1990</w:t>
            </w:r>
          </w:p>
        </w:tc>
        <w:tc>
          <w:tcPr>
            <w:tcW w:w="1276" w:type="dxa"/>
          </w:tcPr>
          <w:p>
            <w:pPr>
              <w:pStyle w:val="nTable"/>
              <w:spacing w:after="40"/>
            </w:pPr>
            <w:r>
              <w:t>1 Aug 1990 p. 3633-40</w:t>
            </w:r>
          </w:p>
        </w:tc>
        <w:tc>
          <w:tcPr>
            <w:tcW w:w="2693" w:type="dxa"/>
          </w:tcPr>
          <w:p>
            <w:pPr>
              <w:pStyle w:val="nTable"/>
              <w:spacing w:after="40"/>
            </w:pPr>
            <w:r>
              <w:t>1 Aug 1990 (see r. 2)</w:t>
            </w:r>
          </w:p>
        </w:tc>
      </w:tr>
      <w:tr>
        <w:trPr>
          <w:cantSplit/>
        </w:trPr>
        <w:tc>
          <w:tcPr>
            <w:tcW w:w="7087" w:type="dxa"/>
            <w:gridSpan w:val="3"/>
          </w:tcPr>
          <w:p>
            <w:pPr>
              <w:pStyle w:val="nTable"/>
              <w:spacing w:after="40"/>
            </w:pPr>
            <w:r>
              <w:rPr>
                <w:b/>
              </w:rPr>
              <w:t xml:space="preserve">Reprint of the </w:t>
            </w:r>
            <w:r>
              <w:rPr>
                <w:b/>
                <w:i/>
              </w:rPr>
              <w:t xml:space="preserve">Jetties Act Regulations 1940 </w:t>
            </w:r>
            <w:r>
              <w:rPr>
                <w:b/>
              </w:rPr>
              <w:t xml:space="preserve">as at 29 Nov 1990 in </w:t>
            </w:r>
            <w:r>
              <w:rPr>
                <w:b/>
                <w:i/>
              </w:rPr>
              <w:t xml:space="preserve">Gazette </w:t>
            </w:r>
            <w:r>
              <w:rPr>
                <w:b/>
              </w:rPr>
              <w:t>13 Dec 1990 p. 6069-116</w:t>
            </w:r>
            <w:r>
              <w:t xml:space="preserve"> (includes amendments listed above)</w:t>
            </w:r>
          </w:p>
        </w:tc>
      </w:tr>
      <w:tr>
        <w:trPr>
          <w:cantSplit/>
        </w:trPr>
        <w:tc>
          <w:tcPr>
            <w:tcW w:w="3118" w:type="dxa"/>
          </w:tcPr>
          <w:p>
            <w:pPr>
              <w:pStyle w:val="nTable"/>
              <w:spacing w:after="40"/>
              <w:ind w:right="170"/>
            </w:pPr>
            <w:r>
              <w:rPr>
                <w:i/>
              </w:rPr>
              <w:t>Jetties Amendment Regulations 1991</w:t>
            </w:r>
          </w:p>
        </w:tc>
        <w:tc>
          <w:tcPr>
            <w:tcW w:w="1276" w:type="dxa"/>
          </w:tcPr>
          <w:p>
            <w:pPr>
              <w:pStyle w:val="nTable"/>
              <w:spacing w:after="40"/>
            </w:pPr>
            <w:r>
              <w:t>26 Jul 1991 p. 3920</w:t>
            </w:r>
            <w:r>
              <w:noBreakHyphen/>
              <w:t xml:space="preserve">4 </w:t>
            </w:r>
          </w:p>
        </w:tc>
        <w:tc>
          <w:tcPr>
            <w:tcW w:w="2693" w:type="dxa"/>
          </w:tcPr>
          <w:p>
            <w:pPr>
              <w:pStyle w:val="nTable"/>
              <w:spacing w:after="40"/>
            </w:pPr>
            <w:r>
              <w:t>1 Aug 1991 (see r. 2)</w:t>
            </w:r>
          </w:p>
        </w:tc>
      </w:tr>
      <w:tr>
        <w:trPr>
          <w:cantSplit/>
        </w:trPr>
        <w:tc>
          <w:tcPr>
            <w:tcW w:w="3118" w:type="dxa"/>
          </w:tcPr>
          <w:p>
            <w:pPr>
              <w:pStyle w:val="nTable"/>
              <w:spacing w:after="40"/>
              <w:ind w:right="170"/>
            </w:pPr>
            <w:r>
              <w:rPr>
                <w:i/>
              </w:rPr>
              <w:t>Jetties Amendment Regulations 1992</w:t>
            </w:r>
          </w:p>
        </w:tc>
        <w:tc>
          <w:tcPr>
            <w:tcW w:w="1276" w:type="dxa"/>
          </w:tcPr>
          <w:p>
            <w:pPr>
              <w:pStyle w:val="nTable"/>
              <w:spacing w:after="40"/>
            </w:pPr>
            <w:r>
              <w:t>30 Jun 1992 p. 2892</w:t>
            </w:r>
            <w:r>
              <w:noBreakHyphen/>
              <w:t xml:space="preserve">9 </w:t>
            </w:r>
          </w:p>
        </w:tc>
        <w:tc>
          <w:tcPr>
            <w:tcW w:w="2693" w:type="dxa"/>
          </w:tcPr>
          <w:p>
            <w:pPr>
              <w:pStyle w:val="nTable"/>
              <w:spacing w:after="40"/>
            </w:pPr>
            <w:r>
              <w:t>1 Jul 1992 (see r. 2)</w:t>
            </w:r>
          </w:p>
        </w:tc>
      </w:tr>
      <w:tr>
        <w:trPr>
          <w:cantSplit/>
        </w:trPr>
        <w:tc>
          <w:tcPr>
            <w:tcW w:w="3118" w:type="dxa"/>
          </w:tcPr>
          <w:p>
            <w:pPr>
              <w:pStyle w:val="nTable"/>
              <w:spacing w:after="40"/>
              <w:ind w:right="170"/>
            </w:pPr>
            <w:r>
              <w:rPr>
                <w:i/>
              </w:rPr>
              <w:t>Jetties Amendment Regulations 1993</w:t>
            </w:r>
          </w:p>
        </w:tc>
        <w:tc>
          <w:tcPr>
            <w:tcW w:w="1276" w:type="dxa"/>
          </w:tcPr>
          <w:p>
            <w:pPr>
              <w:pStyle w:val="nTable"/>
              <w:spacing w:after="40"/>
            </w:pPr>
            <w:r>
              <w:t xml:space="preserve">7 May 1993 p. 2361 </w:t>
            </w:r>
          </w:p>
        </w:tc>
        <w:tc>
          <w:tcPr>
            <w:tcW w:w="2693" w:type="dxa"/>
          </w:tcPr>
          <w:p>
            <w:pPr>
              <w:pStyle w:val="nTable"/>
              <w:spacing w:after="40"/>
            </w:pPr>
            <w:r>
              <w:t>7 May 1993</w:t>
            </w:r>
          </w:p>
        </w:tc>
      </w:tr>
      <w:tr>
        <w:trPr>
          <w:cantSplit/>
        </w:trPr>
        <w:tc>
          <w:tcPr>
            <w:tcW w:w="3118" w:type="dxa"/>
          </w:tcPr>
          <w:p>
            <w:pPr>
              <w:pStyle w:val="nTable"/>
              <w:spacing w:after="40"/>
              <w:ind w:right="170"/>
            </w:pPr>
            <w:r>
              <w:rPr>
                <w:i/>
              </w:rPr>
              <w:t>Jetties Amendment Regulations</w:t>
            </w:r>
            <w:r>
              <w:rPr>
                <w:i/>
              </w:rPr>
              <w:br/>
              <w:t>(No. 2) 1993</w:t>
            </w:r>
          </w:p>
        </w:tc>
        <w:tc>
          <w:tcPr>
            <w:tcW w:w="1276" w:type="dxa"/>
          </w:tcPr>
          <w:p>
            <w:pPr>
              <w:pStyle w:val="nTable"/>
              <w:spacing w:after="40"/>
            </w:pPr>
            <w:r>
              <w:t>29 Jun 1993 p. 3191</w:t>
            </w:r>
            <w:r>
              <w:noBreakHyphen/>
              <w:t xml:space="preserve">7 </w:t>
            </w:r>
          </w:p>
        </w:tc>
        <w:tc>
          <w:tcPr>
            <w:tcW w:w="2693" w:type="dxa"/>
          </w:tcPr>
          <w:p>
            <w:pPr>
              <w:pStyle w:val="nTable"/>
              <w:spacing w:after="40"/>
            </w:pPr>
            <w:r>
              <w:t>1 Jul 1993 (see r. 2)</w:t>
            </w:r>
          </w:p>
        </w:tc>
      </w:tr>
      <w:tr>
        <w:trPr>
          <w:cantSplit/>
        </w:trPr>
        <w:tc>
          <w:tcPr>
            <w:tcW w:w="3118" w:type="dxa"/>
          </w:tcPr>
          <w:p>
            <w:pPr>
              <w:pStyle w:val="nTable"/>
              <w:spacing w:after="40"/>
              <w:ind w:right="170"/>
            </w:pPr>
            <w:r>
              <w:rPr>
                <w:i/>
              </w:rPr>
              <w:t>Jetties Amendment Regulations 1994</w:t>
            </w:r>
          </w:p>
        </w:tc>
        <w:tc>
          <w:tcPr>
            <w:tcW w:w="1276" w:type="dxa"/>
          </w:tcPr>
          <w:p>
            <w:pPr>
              <w:pStyle w:val="nTable"/>
              <w:spacing w:after="40"/>
            </w:pPr>
            <w:r>
              <w:t>14 Jun 1994 p. 2475</w:t>
            </w:r>
            <w:r>
              <w:noBreakHyphen/>
              <w:t xml:space="preserve">82 </w:t>
            </w:r>
          </w:p>
        </w:tc>
        <w:tc>
          <w:tcPr>
            <w:tcW w:w="2693" w:type="dxa"/>
          </w:tcPr>
          <w:p>
            <w:pPr>
              <w:pStyle w:val="nTable"/>
              <w:spacing w:after="40"/>
            </w:pPr>
            <w:r>
              <w:t>1 Jul 1994 (see r. 2)</w:t>
            </w:r>
          </w:p>
        </w:tc>
      </w:tr>
      <w:tr>
        <w:trPr>
          <w:cantSplit/>
        </w:trPr>
        <w:tc>
          <w:tcPr>
            <w:tcW w:w="3118" w:type="dxa"/>
          </w:tcPr>
          <w:p>
            <w:pPr>
              <w:pStyle w:val="nTable"/>
              <w:spacing w:after="40"/>
              <w:ind w:right="170"/>
            </w:pPr>
            <w:r>
              <w:rPr>
                <w:i/>
              </w:rPr>
              <w:t>Jetties Amendment Regulations 1995</w:t>
            </w:r>
          </w:p>
        </w:tc>
        <w:tc>
          <w:tcPr>
            <w:tcW w:w="1276" w:type="dxa"/>
          </w:tcPr>
          <w:p>
            <w:pPr>
              <w:pStyle w:val="nTable"/>
              <w:spacing w:after="40"/>
            </w:pPr>
            <w:r>
              <w:t>30 Jun 1995 p. 2698</w:t>
            </w:r>
            <w:r>
              <w:noBreakHyphen/>
              <w:t xml:space="preserve">705 </w:t>
            </w:r>
          </w:p>
        </w:tc>
        <w:tc>
          <w:tcPr>
            <w:tcW w:w="2693" w:type="dxa"/>
          </w:tcPr>
          <w:p>
            <w:pPr>
              <w:pStyle w:val="nTable"/>
              <w:spacing w:after="40"/>
            </w:pPr>
            <w:r>
              <w:t>1 Jul 1995 (see r. 2)</w:t>
            </w:r>
          </w:p>
        </w:tc>
      </w:tr>
      <w:tr>
        <w:trPr>
          <w:cantSplit/>
        </w:trPr>
        <w:tc>
          <w:tcPr>
            <w:tcW w:w="3118" w:type="dxa"/>
          </w:tcPr>
          <w:p>
            <w:pPr>
              <w:pStyle w:val="nTable"/>
              <w:spacing w:after="40"/>
              <w:ind w:right="170"/>
            </w:pPr>
            <w:r>
              <w:rPr>
                <w:i/>
              </w:rPr>
              <w:t>Jetties Amendment Regulations 1996</w:t>
            </w:r>
          </w:p>
        </w:tc>
        <w:tc>
          <w:tcPr>
            <w:tcW w:w="1276" w:type="dxa"/>
          </w:tcPr>
          <w:p>
            <w:pPr>
              <w:pStyle w:val="nTable"/>
              <w:spacing w:after="40"/>
            </w:pPr>
            <w:r>
              <w:t>25 Jun 1996 p. 2981</w:t>
            </w:r>
            <w:r>
              <w:noBreakHyphen/>
              <w:t xml:space="preserve">91 </w:t>
            </w:r>
          </w:p>
        </w:tc>
        <w:tc>
          <w:tcPr>
            <w:tcW w:w="2693" w:type="dxa"/>
          </w:tcPr>
          <w:p>
            <w:pPr>
              <w:pStyle w:val="nTable"/>
              <w:spacing w:after="40"/>
            </w:pPr>
            <w:r>
              <w:t>1 Jul 1996 (see r. 2)</w:t>
            </w:r>
          </w:p>
        </w:tc>
      </w:tr>
      <w:tr>
        <w:trPr>
          <w:cantSplit/>
        </w:trPr>
        <w:tc>
          <w:tcPr>
            <w:tcW w:w="3118" w:type="dxa"/>
          </w:tcPr>
          <w:p>
            <w:pPr>
              <w:pStyle w:val="nTable"/>
              <w:spacing w:after="40"/>
              <w:ind w:right="170"/>
            </w:pPr>
            <w:r>
              <w:rPr>
                <w:i/>
              </w:rPr>
              <w:t>Jetties Amendment Regulations 1997</w:t>
            </w:r>
          </w:p>
        </w:tc>
        <w:tc>
          <w:tcPr>
            <w:tcW w:w="1276" w:type="dxa"/>
          </w:tcPr>
          <w:p>
            <w:pPr>
              <w:pStyle w:val="nTable"/>
              <w:spacing w:after="40"/>
            </w:pPr>
            <w:r>
              <w:t xml:space="preserve">13 May 1997 p. 2349 </w:t>
            </w:r>
          </w:p>
        </w:tc>
        <w:tc>
          <w:tcPr>
            <w:tcW w:w="2693" w:type="dxa"/>
          </w:tcPr>
          <w:p>
            <w:pPr>
              <w:pStyle w:val="nTable"/>
              <w:spacing w:after="40"/>
            </w:pPr>
            <w:r>
              <w:t>13 May 1997</w:t>
            </w:r>
          </w:p>
        </w:tc>
      </w:tr>
      <w:tr>
        <w:trPr>
          <w:cantSplit/>
        </w:trPr>
        <w:tc>
          <w:tcPr>
            <w:tcW w:w="3118" w:type="dxa"/>
          </w:tcPr>
          <w:p>
            <w:pPr>
              <w:pStyle w:val="nTable"/>
              <w:spacing w:after="40"/>
              <w:ind w:right="170"/>
            </w:pPr>
            <w:r>
              <w:rPr>
                <w:i/>
              </w:rPr>
              <w:t xml:space="preserve">Jetties Amendment Regulations </w:t>
            </w:r>
            <w:r>
              <w:rPr>
                <w:i/>
              </w:rPr>
              <w:br/>
              <w:t>(No. 2) 1997</w:t>
            </w:r>
          </w:p>
        </w:tc>
        <w:tc>
          <w:tcPr>
            <w:tcW w:w="1276" w:type="dxa"/>
          </w:tcPr>
          <w:p>
            <w:pPr>
              <w:pStyle w:val="nTable"/>
              <w:spacing w:after="40"/>
            </w:pPr>
            <w:r>
              <w:t>27 Jun 1997 p. 3151</w:t>
            </w:r>
            <w:r>
              <w:noBreakHyphen/>
              <w:t xml:space="preserve">64 </w:t>
            </w:r>
          </w:p>
        </w:tc>
        <w:tc>
          <w:tcPr>
            <w:tcW w:w="2693" w:type="dxa"/>
          </w:tcPr>
          <w:p>
            <w:pPr>
              <w:pStyle w:val="nTable"/>
              <w:spacing w:after="40"/>
            </w:pPr>
            <w:r>
              <w:t>1 Jul 1997 (see r. 2)</w:t>
            </w:r>
          </w:p>
        </w:tc>
      </w:tr>
      <w:tr>
        <w:trPr>
          <w:cantSplit/>
        </w:trPr>
        <w:tc>
          <w:tcPr>
            <w:tcW w:w="3118" w:type="dxa"/>
          </w:tcPr>
          <w:p>
            <w:pPr>
              <w:pStyle w:val="nTable"/>
              <w:spacing w:after="40"/>
              <w:ind w:right="170"/>
            </w:pPr>
            <w:r>
              <w:br w:type="page"/>
            </w:r>
            <w:r>
              <w:rPr>
                <w:i/>
              </w:rPr>
              <w:t xml:space="preserve">Miscellaneous Amendments Regulations 1997 </w:t>
            </w:r>
            <w:r>
              <w:t>r. 2</w:t>
            </w:r>
          </w:p>
        </w:tc>
        <w:tc>
          <w:tcPr>
            <w:tcW w:w="1276" w:type="dxa"/>
          </w:tcPr>
          <w:p>
            <w:pPr>
              <w:pStyle w:val="nTable"/>
              <w:spacing w:after="40"/>
            </w:pPr>
            <w:r>
              <w:t xml:space="preserve">6 Jan 1998 p. 33 </w:t>
            </w:r>
          </w:p>
        </w:tc>
        <w:tc>
          <w:tcPr>
            <w:tcW w:w="2693" w:type="dxa"/>
          </w:tcPr>
          <w:p>
            <w:pPr>
              <w:pStyle w:val="nTable"/>
              <w:spacing w:after="40"/>
            </w:pPr>
            <w:r>
              <w:t>6 Jan 1998</w:t>
            </w:r>
          </w:p>
        </w:tc>
      </w:tr>
      <w:tr>
        <w:trPr>
          <w:cantSplit/>
        </w:trPr>
        <w:tc>
          <w:tcPr>
            <w:tcW w:w="3118" w:type="dxa"/>
          </w:tcPr>
          <w:p>
            <w:pPr>
              <w:pStyle w:val="nTable"/>
              <w:spacing w:after="40"/>
              <w:ind w:right="170"/>
              <w:rPr>
                <w:i/>
              </w:rPr>
            </w:pPr>
            <w:r>
              <w:br w:type="page"/>
            </w:r>
            <w:r>
              <w:rPr>
                <w:i/>
              </w:rPr>
              <w:t>Jetties Amendment Regulations 1998</w:t>
            </w:r>
          </w:p>
        </w:tc>
        <w:tc>
          <w:tcPr>
            <w:tcW w:w="1276" w:type="dxa"/>
          </w:tcPr>
          <w:p>
            <w:pPr>
              <w:pStyle w:val="nTable"/>
              <w:spacing w:after="40"/>
            </w:pPr>
            <w:r>
              <w:t>12 May 1998 p. 2775</w:t>
            </w:r>
            <w:r>
              <w:noBreakHyphen/>
              <w:t>90</w:t>
            </w:r>
          </w:p>
        </w:tc>
        <w:tc>
          <w:tcPr>
            <w:tcW w:w="2693" w:type="dxa"/>
          </w:tcPr>
          <w:p>
            <w:pPr>
              <w:pStyle w:val="nTable"/>
              <w:spacing w:after="40"/>
            </w:pPr>
            <w:r>
              <w:t>1 Jul 1998 (see r. 2)</w:t>
            </w:r>
          </w:p>
        </w:tc>
      </w:tr>
      <w:tr>
        <w:trPr>
          <w:cantSplit/>
        </w:trPr>
        <w:tc>
          <w:tcPr>
            <w:tcW w:w="3118" w:type="dxa"/>
          </w:tcPr>
          <w:p>
            <w:pPr>
              <w:pStyle w:val="nTable"/>
              <w:spacing w:after="40"/>
              <w:ind w:right="170"/>
              <w:rPr>
                <w:i/>
              </w:rPr>
            </w:pPr>
            <w:r>
              <w:rPr>
                <w:i/>
              </w:rPr>
              <w:t>Jetties Amendment Regulations 1999</w:t>
            </w:r>
          </w:p>
        </w:tc>
        <w:tc>
          <w:tcPr>
            <w:tcW w:w="1276" w:type="dxa"/>
          </w:tcPr>
          <w:p>
            <w:pPr>
              <w:pStyle w:val="nTable"/>
              <w:spacing w:after="40"/>
            </w:pPr>
            <w:r>
              <w:t>22 Jun 1999 p. 2678</w:t>
            </w:r>
            <w:r>
              <w:noBreakHyphen/>
              <w:t>89</w:t>
            </w:r>
          </w:p>
        </w:tc>
        <w:tc>
          <w:tcPr>
            <w:tcW w:w="2693" w:type="dxa"/>
          </w:tcPr>
          <w:p>
            <w:pPr>
              <w:pStyle w:val="nTable"/>
              <w:spacing w:after="40"/>
            </w:pPr>
            <w:r>
              <w:t>1 Jul 1999 (see r. 2)</w:t>
            </w:r>
          </w:p>
        </w:tc>
      </w:tr>
      <w:tr>
        <w:trPr>
          <w:cantSplit/>
        </w:trPr>
        <w:tc>
          <w:tcPr>
            <w:tcW w:w="7087" w:type="dxa"/>
            <w:gridSpan w:val="3"/>
          </w:tcPr>
          <w:p>
            <w:pPr>
              <w:pStyle w:val="nTable"/>
              <w:spacing w:after="40"/>
            </w:pPr>
            <w:r>
              <w:rPr>
                <w:b/>
              </w:rPr>
              <w:t xml:space="preserve">Reprint of the </w:t>
            </w:r>
            <w:r>
              <w:rPr>
                <w:b/>
                <w:i/>
              </w:rPr>
              <w:t xml:space="preserve">Jetties Act Regulations 1940 </w:t>
            </w:r>
            <w:r>
              <w:rPr>
                <w:b/>
              </w:rPr>
              <w:t>as at 10 Dec 1999</w:t>
            </w:r>
            <w:r>
              <w:t xml:space="preserve"> (includes amendments listed above)</w:t>
            </w:r>
          </w:p>
        </w:tc>
      </w:tr>
      <w:tr>
        <w:trPr>
          <w:cantSplit/>
        </w:trPr>
        <w:tc>
          <w:tcPr>
            <w:tcW w:w="3118" w:type="dxa"/>
          </w:tcPr>
          <w:p>
            <w:pPr>
              <w:pStyle w:val="nTable"/>
              <w:spacing w:after="40"/>
              <w:ind w:right="170"/>
              <w:rPr>
                <w:i/>
              </w:rPr>
            </w:pPr>
            <w:r>
              <w:rPr>
                <w:i/>
              </w:rPr>
              <w:t>Jetties Amendment Regulations 2000</w:t>
            </w:r>
          </w:p>
        </w:tc>
        <w:tc>
          <w:tcPr>
            <w:tcW w:w="1276" w:type="dxa"/>
          </w:tcPr>
          <w:p>
            <w:pPr>
              <w:pStyle w:val="nTable"/>
              <w:spacing w:after="40"/>
            </w:pPr>
            <w:r>
              <w:t>20 Jun 2000 p. 3043</w:t>
            </w:r>
            <w:r>
              <w:noBreakHyphen/>
              <w:t>60</w:t>
            </w:r>
          </w:p>
        </w:tc>
        <w:tc>
          <w:tcPr>
            <w:tcW w:w="2693" w:type="dxa"/>
          </w:tcPr>
          <w:p>
            <w:pPr>
              <w:pStyle w:val="nTable"/>
              <w:spacing w:after="40"/>
            </w:pPr>
            <w:r>
              <w:t>1 Jul 2000 (see r. 2)</w:t>
            </w:r>
          </w:p>
        </w:tc>
      </w:tr>
      <w:tr>
        <w:trPr>
          <w:cantSplit/>
        </w:trPr>
        <w:tc>
          <w:tcPr>
            <w:tcW w:w="3118" w:type="dxa"/>
          </w:tcPr>
          <w:p>
            <w:pPr>
              <w:pStyle w:val="nTable"/>
              <w:spacing w:after="40"/>
              <w:ind w:right="170"/>
              <w:rPr>
                <w:i/>
              </w:rPr>
            </w:pPr>
            <w:r>
              <w:rPr>
                <w:i/>
              </w:rPr>
              <w:t>Jetties Amendment Regulations (No. 2) 2000</w:t>
            </w:r>
          </w:p>
        </w:tc>
        <w:tc>
          <w:tcPr>
            <w:tcW w:w="1276" w:type="dxa"/>
          </w:tcPr>
          <w:p>
            <w:pPr>
              <w:pStyle w:val="nTable"/>
              <w:spacing w:after="40"/>
            </w:pPr>
            <w:r>
              <w:t>18 Aug 2000 p. 4790</w:t>
            </w:r>
          </w:p>
        </w:tc>
        <w:tc>
          <w:tcPr>
            <w:tcW w:w="2693" w:type="dxa"/>
          </w:tcPr>
          <w:p>
            <w:pPr>
              <w:pStyle w:val="nTable"/>
              <w:spacing w:after="40"/>
            </w:pPr>
            <w:r>
              <w:t xml:space="preserve">18 Aug 2000 </w:t>
            </w:r>
          </w:p>
        </w:tc>
      </w:tr>
      <w:tr>
        <w:trPr>
          <w:cantSplit/>
        </w:trPr>
        <w:tc>
          <w:tcPr>
            <w:tcW w:w="3118" w:type="dxa"/>
          </w:tcPr>
          <w:p>
            <w:pPr>
              <w:pStyle w:val="nTable"/>
              <w:spacing w:after="40"/>
              <w:ind w:right="170"/>
              <w:rPr>
                <w:i/>
              </w:rPr>
            </w:pPr>
            <w:r>
              <w:rPr>
                <w:i/>
              </w:rPr>
              <w:t>Jetties Amendment Regulations 2001</w:t>
            </w:r>
          </w:p>
        </w:tc>
        <w:tc>
          <w:tcPr>
            <w:tcW w:w="1276" w:type="dxa"/>
          </w:tcPr>
          <w:p>
            <w:pPr>
              <w:pStyle w:val="nTable"/>
              <w:spacing w:after="40"/>
            </w:pPr>
            <w:r>
              <w:t>27 Jul 2001 p. 3813</w:t>
            </w:r>
            <w:r>
              <w:noBreakHyphen/>
              <w:t>28</w:t>
            </w:r>
          </w:p>
        </w:tc>
        <w:tc>
          <w:tcPr>
            <w:tcW w:w="2693" w:type="dxa"/>
          </w:tcPr>
          <w:p>
            <w:pPr>
              <w:pStyle w:val="nTable"/>
              <w:spacing w:after="40"/>
            </w:pPr>
            <w:r>
              <w:t>1 Aug 2001 (see r. 2)</w:t>
            </w:r>
          </w:p>
        </w:tc>
      </w:tr>
      <w:tr>
        <w:trPr>
          <w:cantSplit/>
        </w:trPr>
        <w:tc>
          <w:tcPr>
            <w:tcW w:w="3118" w:type="dxa"/>
          </w:tcPr>
          <w:p>
            <w:pPr>
              <w:pStyle w:val="nTable"/>
              <w:spacing w:after="40"/>
              <w:ind w:right="170"/>
              <w:rPr>
                <w:i/>
              </w:rPr>
            </w:pPr>
            <w:r>
              <w:rPr>
                <w:i/>
              </w:rPr>
              <w:t>Jetties Amendment Regulations 2002</w:t>
            </w:r>
          </w:p>
        </w:tc>
        <w:tc>
          <w:tcPr>
            <w:tcW w:w="1276" w:type="dxa"/>
          </w:tcPr>
          <w:p>
            <w:pPr>
              <w:pStyle w:val="nTable"/>
              <w:spacing w:after="40"/>
              <w:rPr>
                <w:rFonts w:ascii="Arial" w:hAnsi="Arial"/>
                <w:b/>
              </w:rPr>
            </w:pPr>
            <w:r>
              <w:t>14 Jun 2002 p. 2299-300</w:t>
            </w:r>
          </w:p>
        </w:tc>
        <w:tc>
          <w:tcPr>
            <w:tcW w:w="2693" w:type="dxa"/>
          </w:tcPr>
          <w:p>
            <w:pPr>
              <w:pStyle w:val="nTable"/>
              <w:spacing w:after="40"/>
            </w:pPr>
            <w:r>
              <w:t xml:space="preserve">14 Jun 2002 </w:t>
            </w:r>
          </w:p>
        </w:tc>
      </w:tr>
      <w:tr>
        <w:trPr>
          <w:cantSplit/>
        </w:trPr>
        <w:tc>
          <w:tcPr>
            <w:tcW w:w="3118" w:type="dxa"/>
          </w:tcPr>
          <w:p>
            <w:pPr>
              <w:pStyle w:val="nTable"/>
              <w:spacing w:after="40"/>
              <w:ind w:right="170"/>
              <w:rPr>
                <w:i/>
              </w:rPr>
            </w:pPr>
            <w:r>
              <w:rPr>
                <w:i/>
              </w:rPr>
              <w:t>Jetties Amendment Regulations (No. 2) 2002</w:t>
            </w:r>
          </w:p>
        </w:tc>
        <w:tc>
          <w:tcPr>
            <w:tcW w:w="1276" w:type="dxa"/>
          </w:tcPr>
          <w:p>
            <w:pPr>
              <w:pStyle w:val="nTable"/>
              <w:spacing w:after="40"/>
              <w:rPr>
                <w:rFonts w:ascii="Arial" w:hAnsi="Arial"/>
                <w:b/>
              </w:rPr>
            </w:pPr>
            <w:r>
              <w:t>14 Jun 2002 p. 2301</w:t>
            </w:r>
            <w:r>
              <w:noBreakHyphen/>
              <w:t>18</w:t>
            </w:r>
          </w:p>
        </w:tc>
        <w:tc>
          <w:tcPr>
            <w:tcW w:w="2693" w:type="dxa"/>
          </w:tcPr>
          <w:p>
            <w:pPr>
              <w:pStyle w:val="nTable"/>
              <w:spacing w:after="40"/>
            </w:pPr>
            <w:r>
              <w:t>1 Jul 2002 (see r. 2)</w:t>
            </w:r>
          </w:p>
        </w:tc>
      </w:tr>
      <w:tr>
        <w:trPr>
          <w:cantSplit/>
        </w:trPr>
        <w:tc>
          <w:tcPr>
            <w:tcW w:w="3118" w:type="dxa"/>
          </w:tcPr>
          <w:p>
            <w:pPr>
              <w:pStyle w:val="nTable"/>
              <w:spacing w:after="40"/>
              <w:ind w:right="170"/>
              <w:rPr>
                <w:i/>
              </w:rPr>
            </w:pPr>
            <w:r>
              <w:rPr>
                <w:i/>
              </w:rPr>
              <w:t>Jetties Amendment Regulations 2003</w:t>
            </w:r>
          </w:p>
        </w:tc>
        <w:tc>
          <w:tcPr>
            <w:tcW w:w="1276" w:type="dxa"/>
          </w:tcPr>
          <w:p>
            <w:pPr>
              <w:pStyle w:val="nTable"/>
              <w:spacing w:after="40"/>
            </w:pPr>
            <w:r>
              <w:rPr>
                <w:color w:val="000000"/>
              </w:rPr>
              <w:t>27 Jun 2003 p. </w:t>
            </w:r>
            <w:r>
              <w:t>2502</w:t>
            </w:r>
            <w:r>
              <w:noBreakHyphen/>
              <w:t>19</w:t>
            </w:r>
          </w:p>
        </w:tc>
        <w:tc>
          <w:tcPr>
            <w:tcW w:w="2693" w:type="dxa"/>
          </w:tcPr>
          <w:p>
            <w:pPr>
              <w:pStyle w:val="nTable"/>
              <w:spacing w:after="40"/>
            </w:pPr>
            <w:r>
              <w:t>1 Jul 2003 (see r. 2)</w:t>
            </w:r>
          </w:p>
        </w:tc>
      </w:tr>
      <w:tr>
        <w:trPr>
          <w:cantSplit/>
        </w:trPr>
        <w:tc>
          <w:tcPr>
            <w:tcW w:w="3118" w:type="dxa"/>
          </w:tcPr>
          <w:p>
            <w:pPr>
              <w:pStyle w:val="nTable"/>
              <w:spacing w:after="40"/>
              <w:ind w:right="170"/>
              <w:rPr>
                <w:i/>
              </w:rPr>
            </w:pPr>
            <w:r>
              <w:rPr>
                <w:i/>
              </w:rPr>
              <w:t>Jetties Amendment Regulations (No. 2) 2004</w:t>
            </w:r>
          </w:p>
        </w:tc>
        <w:tc>
          <w:tcPr>
            <w:tcW w:w="1276" w:type="dxa"/>
          </w:tcPr>
          <w:p>
            <w:pPr>
              <w:pStyle w:val="nTable"/>
              <w:spacing w:after="40"/>
            </w:pPr>
            <w:r>
              <w:rPr>
                <w:color w:val="000000"/>
              </w:rPr>
              <w:t>25 Jun 2004 p. </w:t>
            </w:r>
            <w:r>
              <w:t>2270</w:t>
            </w:r>
            <w:r>
              <w:noBreakHyphen/>
              <w:t>87</w:t>
            </w:r>
          </w:p>
        </w:tc>
        <w:tc>
          <w:tcPr>
            <w:tcW w:w="2693" w:type="dxa"/>
          </w:tcPr>
          <w:p>
            <w:pPr>
              <w:pStyle w:val="nTable"/>
              <w:spacing w:after="40"/>
            </w:pPr>
            <w:r>
              <w:t>1 Jul 2004 (see r. 2)</w:t>
            </w:r>
          </w:p>
        </w:tc>
      </w:tr>
      <w:tr>
        <w:trPr>
          <w:cantSplit/>
        </w:trPr>
        <w:tc>
          <w:tcPr>
            <w:tcW w:w="3118" w:type="dxa"/>
          </w:tcPr>
          <w:p>
            <w:pPr>
              <w:pStyle w:val="nTable"/>
              <w:spacing w:after="40"/>
              <w:ind w:right="170"/>
              <w:rPr>
                <w:rFonts w:ascii="Times" w:hAnsi="Times"/>
                <w:i/>
              </w:rPr>
            </w:pPr>
            <w:r>
              <w:rPr>
                <w:rFonts w:ascii="Times" w:hAnsi="Times"/>
                <w:i/>
              </w:rPr>
              <w:t>Jetties Amendment Regulations (No. 3 ) 2004</w:t>
            </w:r>
          </w:p>
        </w:tc>
        <w:tc>
          <w:tcPr>
            <w:tcW w:w="1276" w:type="dxa"/>
          </w:tcPr>
          <w:p>
            <w:pPr>
              <w:pStyle w:val="nTable"/>
              <w:spacing w:after="40"/>
              <w:rPr>
                <w:rFonts w:ascii="Times" w:hAnsi="Times"/>
                <w:color w:val="000000"/>
              </w:rPr>
            </w:pPr>
            <w:r>
              <w:rPr>
                <w:rFonts w:ascii="Times" w:hAnsi="Times"/>
                <w:color w:val="000000"/>
              </w:rPr>
              <w:t>24 Aug 2004 p. 3658</w:t>
            </w:r>
            <w:r>
              <w:rPr>
                <w:rFonts w:ascii="Times" w:hAnsi="Times"/>
                <w:color w:val="000000"/>
              </w:rPr>
              <w:noBreakHyphen/>
              <w:t>9</w:t>
            </w:r>
          </w:p>
        </w:tc>
        <w:tc>
          <w:tcPr>
            <w:tcW w:w="2693" w:type="dxa"/>
          </w:tcPr>
          <w:p>
            <w:pPr>
              <w:pStyle w:val="nTable"/>
              <w:spacing w:after="40"/>
              <w:rPr>
                <w:rFonts w:ascii="Times" w:hAnsi="Times"/>
              </w:rPr>
            </w:pPr>
            <w:r>
              <w:rPr>
                <w:rFonts w:ascii="Times" w:hAnsi="Times"/>
              </w:rPr>
              <w:t>24 Aug 2004</w:t>
            </w:r>
          </w:p>
        </w:tc>
      </w:tr>
      <w:tr>
        <w:trPr>
          <w:cantSplit/>
        </w:trPr>
        <w:tc>
          <w:tcPr>
            <w:tcW w:w="3118" w:type="dxa"/>
          </w:tcPr>
          <w:p>
            <w:pPr>
              <w:pStyle w:val="nTable"/>
              <w:spacing w:after="40"/>
              <w:ind w:right="170"/>
              <w:rPr>
                <w:rFonts w:ascii="Times" w:hAnsi="Times"/>
                <w:i/>
              </w:rPr>
            </w:pPr>
            <w:r>
              <w:rPr>
                <w:rFonts w:ascii="Times" w:hAnsi="Times"/>
                <w:i/>
              </w:rPr>
              <w:t>Jetties Amendment Regulations 2004</w:t>
            </w:r>
          </w:p>
        </w:tc>
        <w:tc>
          <w:tcPr>
            <w:tcW w:w="1276" w:type="dxa"/>
          </w:tcPr>
          <w:p>
            <w:pPr>
              <w:pStyle w:val="nTable"/>
              <w:spacing w:after="40"/>
              <w:rPr>
                <w:rFonts w:ascii="Times" w:hAnsi="Times"/>
              </w:rPr>
            </w:pPr>
            <w:r>
              <w:rPr>
                <w:rFonts w:ascii="Times" w:hAnsi="Times"/>
              </w:rPr>
              <w:t>30 Dec 2004 p. 6953</w:t>
            </w:r>
          </w:p>
        </w:tc>
        <w:tc>
          <w:tcPr>
            <w:tcW w:w="2693" w:type="dxa"/>
          </w:tcPr>
          <w:p>
            <w:pPr>
              <w:pStyle w:val="nTable"/>
              <w:spacing w:after="40"/>
              <w:rPr>
                <w:rFonts w:ascii="Times" w:hAnsi="Times"/>
              </w:rPr>
            </w:pPr>
            <w:r>
              <w:rPr>
                <w:rFonts w:ascii="Times" w:hAnsi="Times"/>
              </w:rPr>
              <w:t xml:space="preserve">1 Jan 2005 (see r. 2 and </w:t>
            </w:r>
            <w:r>
              <w:rPr>
                <w:rFonts w:ascii="Times" w:hAnsi="Times"/>
                <w:i/>
              </w:rPr>
              <w:t>Gazette</w:t>
            </w:r>
            <w:r>
              <w:rPr>
                <w:rFonts w:ascii="Times" w:hAnsi="Times"/>
              </w:rPr>
              <w:t xml:space="preserve"> 31 Dec 2004 p. 7130)</w:t>
            </w:r>
          </w:p>
        </w:tc>
      </w:tr>
      <w:tr>
        <w:trPr>
          <w:cantSplit/>
        </w:trPr>
        <w:tc>
          <w:tcPr>
            <w:tcW w:w="7087" w:type="dxa"/>
            <w:gridSpan w:val="3"/>
          </w:tcPr>
          <w:p>
            <w:pPr>
              <w:pStyle w:val="nTable"/>
              <w:spacing w:after="40"/>
            </w:pPr>
            <w:r>
              <w:rPr>
                <w:b/>
              </w:rPr>
              <w:t xml:space="preserve">Reprint 5: The </w:t>
            </w:r>
            <w:r>
              <w:rPr>
                <w:b/>
                <w:i/>
              </w:rPr>
              <w:t xml:space="preserve">Jetties Regulations 1940 </w:t>
            </w:r>
            <w:r>
              <w:rPr>
                <w:b/>
              </w:rPr>
              <w:t>as at 15 Apr 2005</w:t>
            </w:r>
            <w:r>
              <w:t xml:space="preserve"> (includes amendments listed above)</w:t>
            </w:r>
          </w:p>
        </w:tc>
      </w:tr>
      <w:tr>
        <w:trPr>
          <w:cantSplit/>
        </w:trPr>
        <w:tc>
          <w:tcPr>
            <w:tcW w:w="3118" w:type="dxa"/>
          </w:tcPr>
          <w:p>
            <w:pPr>
              <w:pStyle w:val="nTable"/>
              <w:spacing w:after="40"/>
              <w:rPr>
                <w:bCs/>
                <w:i/>
                <w:iCs/>
              </w:rPr>
            </w:pPr>
            <w:r>
              <w:rPr>
                <w:bCs/>
                <w:i/>
                <w:iCs/>
              </w:rPr>
              <w:t>Jetties Amendment Regulations (No. 2) 2005</w:t>
            </w:r>
          </w:p>
        </w:tc>
        <w:tc>
          <w:tcPr>
            <w:tcW w:w="1276" w:type="dxa"/>
          </w:tcPr>
          <w:p>
            <w:pPr>
              <w:pStyle w:val="nTable"/>
              <w:spacing w:after="40"/>
              <w:rPr>
                <w:bCs/>
              </w:rPr>
            </w:pPr>
            <w:r>
              <w:rPr>
                <w:bCs/>
              </w:rPr>
              <w:t>24 Jun 2005 p. 2813-47</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Jetties Amendment Regulations 2006</w:t>
            </w:r>
          </w:p>
        </w:tc>
        <w:tc>
          <w:tcPr>
            <w:tcW w:w="1276" w:type="dxa"/>
          </w:tcPr>
          <w:p>
            <w:pPr>
              <w:pStyle w:val="nTable"/>
              <w:spacing w:after="40"/>
              <w:rPr>
                <w:bCs/>
              </w:rPr>
            </w:pPr>
            <w:r>
              <w:rPr>
                <w:bCs/>
              </w:rPr>
              <w:t>23 Jun 2006 p. 2193</w:t>
            </w:r>
            <w:r>
              <w:rPr>
                <w:bCs/>
              </w:rPr>
              <w:noBreakHyphen/>
              <w:t>204</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Jetties Amendment Regulations 2007</w:t>
            </w:r>
          </w:p>
        </w:tc>
        <w:tc>
          <w:tcPr>
            <w:tcW w:w="1276" w:type="dxa"/>
          </w:tcPr>
          <w:p>
            <w:pPr>
              <w:pStyle w:val="nTable"/>
              <w:spacing w:after="40"/>
              <w:rPr>
                <w:bCs/>
              </w:rPr>
            </w:pPr>
            <w:r>
              <w:rPr>
                <w:bCs/>
              </w:rPr>
              <w:t>22 Jun 2007 p. 2903</w:t>
            </w:r>
            <w:r>
              <w:rPr>
                <w:bCs/>
              </w:rPr>
              <w:noBreakHyphen/>
              <w:t>40</w:t>
            </w:r>
          </w:p>
        </w:tc>
        <w:tc>
          <w:tcPr>
            <w:tcW w:w="2693" w:type="dxa"/>
          </w:tcPr>
          <w:p>
            <w:pPr>
              <w:pStyle w:val="nTable"/>
              <w:spacing w:after="40"/>
              <w:rPr>
                <w:bCs/>
              </w:rPr>
            </w:pPr>
            <w:r>
              <w:rPr>
                <w:bCs/>
                <w:snapToGrid w:val="0"/>
              </w:rPr>
              <w:t>r. 1 and 2: 22 Jun 2007 (see r. 2(a));</w:t>
            </w:r>
            <w:r>
              <w:rPr>
                <w:bCs/>
                <w:snapToGrid w:val="0"/>
              </w:rPr>
              <w:br/>
              <w:t>Regulations other than r. 1 and 2: 1 Jul 2007 (see r. 2(b)(ii))</w:t>
            </w:r>
          </w:p>
        </w:tc>
      </w:tr>
      <w:tr>
        <w:trPr>
          <w:cantSplit/>
        </w:trPr>
        <w:tc>
          <w:tcPr>
            <w:tcW w:w="7087" w:type="dxa"/>
            <w:gridSpan w:val="3"/>
          </w:tcPr>
          <w:p>
            <w:pPr>
              <w:pStyle w:val="nTable"/>
              <w:spacing w:after="40"/>
              <w:rPr>
                <w:bCs/>
                <w:snapToGrid w:val="0"/>
              </w:rPr>
            </w:pPr>
            <w:r>
              <w:rPr>
                <w:b/>
              </w:rPr>
              <w:t xml:space="preserve">Reprint 6: The </w:t>
            </w:r>
            <w:r>
              <w:rPr>
                <w:b/>
                <w:i/>
              </w:rPr>
              <w:t xml:space="preserve">Jetties Regulations 1940 </w:t>
            </w:r>
            <w:r>
              <w:rPr>
                <w:b/>
              </w:rPr>
              <w:t>as at 9 Nov 2007</w:t>
            </w:r>
            <w:r>
              <w:t xml:space="preserve"> (includes amendments listed above)</w:t>
            </w:r>
          </w:p>
        </w:tc>
      </w:tr>
      <w:tr>
        <w:trPr>
          <w:cantSplit/>
        </w:trPr>
        <w:tc>
          <w:tcPr>
            <w:tcW w:w="3118" w:type="dxa"/>
          </w:tcPr>
          <w:p>
            <w:pPr>
              <w:pStyle w:val="nTable"/>
              <w:spacing w:after="40"/>
              <w:rPr>
                <w:bCs/>
                <w:i/>
                <w:iCs/>
              </w:rPr>
            </w:pPr>
            <w:r>
              <w:rPr>
                <w:bCs/>
                <w:i/>
                <w:iCs/>
              </w:rPr>
              <w:t>Jetties Amendment Regulations (No. 2) 2007</w:t>
            </w:r>
          </w:p>
        </w:tc>
        <w:tc>
          <w:tcPr>
            <w:tcW w:w="1276" w:type="dxa"/>
          </w:tcPr>
          <w:p>
            <w:pPr>
              <w:pStyle w:val="nTable"/>
              <w:spacing w:after="40"/>
              <w:rPr>
                <w:bCs/>
              </w:rPr>
            </w:pPr>
            <w:r>
              <w:rPr>
                <w:bCs/>
              </w:rPr>
              <w:t>7 Dec 2007 p. 5983-4</w:t>
            </w:r>
          </w:p>
        </w:tc>
        <w:tc>
          <w:tcPr>
            <w:tcW w:w="2693" w:type="dxa"/>
          </w:tcPr>
          <w:p>
            <w:pPr>
              <w:pStyle w:val="nTable"/>
              <w:spacing w:after="40"/>
              <w:rPr>
                <w:bCs/>
              </w:rPr>
            </w:pPr>
            <w:r>
              <w:rPr>
                <w:bCs/>
              </w:rPr>
              <w:t>r. 1 and 2: 7 Dec 2007 (see r. 2(a));</w:t>
            </w:r>
            <w:r>
              <w:rPr>
                <w:bCs/>
              </w:rPr>
              <w:br/>
              <w:t>Regulations other than r. 1 and 2: 8 Dec 2007 (see r. 2(b))</w:t>
            </w:r>
          </w:p>
        </w:tc>
      </w:tr>
      <w:tr>
        <w:trPr>
          <w:cantSplit/>
        </w:trPr>
        <w:tc>
          <w:tcPr>
            <w:tcW w:w="3118" w:type="dxa"/>
          </w:tcPr>
          <w:p>
            <w:pPr>
              <w:pStyle w:val="nTable"/>
              <w:spacing w:after="40"/>
              <w:rPr>
                <w:bCs/>
                <w:i/>
                <w:iCs/>
              </w:rPr>
            </w:pPr>
            <w:r>
              <w:rPr>
                <w:bCs/>
                <w:i/>
                <w:iCs/>
              </w:rPr>
              <w:t>Jetties Amendment Regulations 2008</w:t>
            </w:r>
          </w:p>
        </w:tc>
        <w:tc>
          <w:tcPr>
            <w:tcW w:w="1276" w:type="dxa"/>
          </w:tcPr>
          <w:p>
            <w:pPr>
              <w:pStyle w:val="nTable"/>
              <w:spacing w:after="40"/>
              <w:rPr>
                <w:bCs/>
              </w:rPr>
            </w:pPr>
            <w:r>
              <w:rPr>
                <w:bCs/>
              </w:rPr>
              <w:t>8 Feb 2008 p. 314-15</w:t>
            </w:r>
          </w:p>
        </w:tc>
        <w:tc>
          <w:tcPr>
            <w:tcW w:w="2693" w:type="dxa"/>
          </w:tcPr>
          <w:p>
            <w:pPr>
              <w:pStyle w:val="nTable"/>
              <w:spacing w:after="40"/>
              <w:rPr>
                <w:bCs/>
              </w:rPr>
            </w:pPr>
            <w:r>
              <w:rPr>
                <w:bCs/>
              </w:rPr>
              <w:t>r. 1 and 2: 8 Feb 2008 (see r. 2(a));</w:t>
            </w:r>
            <w:r>
              <w:rPr>
                <w:bCs/>
              </w:rPr>
              <w:br/>
              <w:t>Regulations other than r. 1 and 2: 9 Feb 2008 (see r. 2(b))</w:t>
            </w:r>
          </w:p>
        </w:tc>
      </w:tr>
      <w:tr>
        <w:trPr>
          <w:cantSplit/>
        </w:trPr>
        <w:tc>
          <w:tcPr>
            <w:tcW w:w="3118" w:type="dxa"/>
          </w:tcPr>
          <w:p>
            <w:pPr>
              <w:pStyle w:val="nTable"/>
              <w:spacing w:after="40"/>
              <w:rPr>
                <w:bCs/>
                <w:i/>
                <w:iCs/>
              </w:rPr>
            </w:pPr>
            <w:r>
              <w:rPr>
                <w:bCs/>
                <w:i/>
                <w:iCs/>
              </w:rPr>
              <w:t>Jetties Amendment Regulations (No. 2) 2008</w:t>
            </w:r>
          </w:p>
        </w:tc>
        <w:tc>
          <w:tcPr>
            <w:tcW w:w="1276" w:type="dxa"/>
          </w:tcPr>
          <w:p>
            <w:pPr>
              <w:pStyle w:val="nTable"/>
              <w:spacing w:after="40"/>
              <w:rPr>
                <w:bCs/>
              </w:rPr>
            </w:pPr>
            <w:r>
              <w:rPr>
                <w:bCs/>
              </w:rPr>
              <w:t>1 Jul 2008 p. 3140</w:t>
            </w:r>
            <w:r>
              <w:rPr>
                <w:bCs/>
              </w:rPr>
              <w:noBreakHyphen/>
              <w:t>53</w:t>
            </w:r>
          </w:p>
        </w:tc>
        <w:tc>
          <w:tcPr>
            <w:tcW w:w="2693" w:type="dxa"/>
          </w:tcPr>
          <w:p>
            <w:pPr>
              <w:pStyle w:val="nTable"/>
              <w:spacing w:after="40"/>
              <w:rPr>
                <w:bCs/>
              </w:rPr>
            </w:pPr>
            <w:r>
              <w:rPr>
                <w:bCs/>
              </w:rPr>
              <w:t>r. 1 and 2: 1 Jul 2008 (see r. 2(a));</w:t>
            </w:r>
            <w:r>
              <w:rPr>
                <w:bCs/>
              </w:rPr>
              <w:br/>
              <w:t>Regulations other than r. 1 and 2: 1 Jul 2008 (see r. 2(b))</w:t>
            </w:r>
          </w:p>
        </w:tc>
      </w:tr>
      <w:tr>
        <w:trPr>
          <w:cantSplit/>
        </w:trPr>
        <w:tc>
          <w:tcPr>
            <w:tcW w:w="7087" w:type="dxa"/>
            <w:gridSpan w:val="3"/>
          </w:tcPr>
          <w:p>
            <w:pPr>
              <w:pStyle w:val="nTable"/>
              <w:spacing w:after="40"/>
              <w:rPr>
                <w:bCs/>
              </w:rPr>
            </w:pPr>
            <w:r>
              <w:rPr>
                <w:b/>
              </w:rPr>
              <w:t xml:space="preserve">Reprint 7:  The </w:t>
            </w:r>
            <w:r>
              <w:rPr>
                <w:b/>
                <w:i/>
              </w:rPr>
              <w:t xml:space="preserve">Jetties Regulations 1940 </w:t>
            </w:r>
            <w:r>
              <w:rPr>
                <w:b/>
              </w:rPr>
              <w:t xml:space="preserve">as at 13 Feb 2009 </w:t>
            </w:r>
            <w:r>
              <w:rPr>
                <w:bCs/>
              </w:rPr>
              <w:t xml:space="preserve">(includes amendments listed above) </w:t>
            </w:r>
          </w:p>
        </w:tc>
      </w:tr>
      <w:tr>
        <w:trPr>
          <w:cantSplit/>
        </w:trPr>
        <w:tc>
          <w:tcPr>
            <w:tcW w:w="3118" w:type="dxa"/>
          </w:tcPr>
          <w:p>
            <w:pPr>
              <w:pStyle w:val="nTable"/>
              <w:spacing w:after="40"/>
              <w:rPr>
                <w:bCs/>
                <w:i/>
                <w:iCs/>
              </w:rPr>
            </w:pPr>
            <w:r>
              <w:rPr>
                <w:bCs/>
                <w:i/>
                <w:iCs/>
              </w:rPr>
              <w:t>Jetties Amendment Regulations 2009</w:t>
            </w:r>
          </w:p>
        </w:tc>
        <w:tc>
          <w:tcPr>
            <w:tcW w:w="1276" w:type="dxa"/>
          </w:tcPr>
          <w:p>
            <w:pPr>
              <w:pStyle w:val="nTable"/>
              <w:spacing w:after="40"/>
              <w:rPr>
                <w:bCs/>
              </w:rPr>
            </w:pPr>
            <w:r>
              <w:rPr>
                <w:bCs/>
              </w:rPr>
              <w:t>23 Jun 2009 p. 2490-1</w:t>
            </w:r>
          </w:p>
        </w:tc>
        <w:tc>
          <w:tcPr>
            <w:tcW w:w="2693" w:type="dxa"/>
          </w:tcPr>
          <w:p>
            <w:pPr>
              <w:pStyle w:val="nTable"/>
              <w:spacing w:after="40"/>
              <w:rPr>
                <w:bCs/>
              </w:rPr>
            </w:pPr>
            <w:r>
              <w:rPr>
                <w:bCs/>
              </w:rPr>
              <w:t>r. 1 and 2: 23 Jun 2009 (see r. 2(a));</w:t>
            </w:r>
            <w:r>
              <w:rPr>
                <w:bCs/>
              </w:rPr>
              <w:br/>
              <w:t>Regulations other than r. 1 and 2: 24 Jun 2009 (see r. 2(b))</w:t>
            </w:r>
          </w:p>
        </w:tc>
      </w:tr>
      <w:tr>
        <w:trPr>
          <w:cantSplit/>
        </w:trPr>
        <w:tc>
          <w:tcPr>
            <w:tcW w:w="3118" w:type="dxa"/>
          </w:tcPr>
          <w:p>
            <w:pPr>
              <w:pStyle w:val="nTable"/>
              <w:spacing w:after="40"/>
              <w:rPr>
                <w:bCs/>
                <w:i/>
                <w:iCs/>
              </w:rPr>
            </w:pPr>
            <w:r>
              <w:rPr>
                <w:bCs/>
                <w:i/>
                <w:iCs/>
              </w:rPr>
              <w:t>Jetties Amendment Regulations (No. 2) 2009</w:t>
            </w:r>
          </w:p>
        </w:tc>
        <w:tc>
          <w:tcPr>
            <w:tcW w:w="1276" w:type="dxa"/>
          </w:tcPr>
          <w:p>
            <w:pPr>
              <w:pStyle w:val="nTable"/>
              <w:spacing w:after="40"/>
              <w:rPr>
                <w:bCs/>
              </w:rPr>
            </w:pPr>
            <w:r>
              <w:rPr>
                <w:bCs/>
              </w:rPr>
              <w:t>31 Jul 2009 p. 3071-97</w:t>
            </w:r>
          </w:p>
        </w:tc>
        <w:tc>
          <w:tcPr>
            <w:tcW w:w="2693" w:type="dxa"/>
          </w:tcPr>
          <w:p>
            <w:pPr>
              <w:pStyle w:val="nTable"/>
              <w:spacing w:after="40"/>
              <w:rPr>
                <w:bCs/>
              </w:rPr>
            </w:pPr>
            <w:r>
              <w:rPr>
                <w:bCs/>
              </w:rPr>
              <w:t>r. 1 and 2: 31 Jul 2009 (see r. 2(a));</w:t>
            </w:r>
            <w:r>
              <w:rPr>
                <w:bCs/>
              </w:rPr>
              <w:br/>
              <w:t>Regulations other than r. 1 and 2: 1 Aug 2009 (see r. 2(b))</w:t>
            </w:r>
          </w:p>
        </w:tc>
      </w:tr>
      <w:tr>
        <w:trPr>
          <w:cantSplit/>
        </w:trPr>
        <w:tc>
          <w:tcPr>
            <w:tcW w:w="3118" w:type="dxa"/>
          </w:tcPr>
          <w:p>
            <w:pPr>
              <w:pStyle w:val="nTable"/>
              <w:spacing w:after="40"/>
              <w:rPr>
                <w:bCs/>
                <w:i/>
                <w:iCs/>
              </w:rPr>
            </w:pPr>
            <w:r>
              <w:rPr>
                <w:bCs/>
                <w:i/>
                <w:iCs/>
              </w:rPr>
              <w:t>Jetties Amendment Regulations 2010</w:t>
            </w:r>
          </w:p>
        </w:tc>
        <w:tc>
          <w:tcPr>
            <w:tcW w:w="1276" w:type="dxa"/>
          </w:tcPr>
          <w:p>
            <w:pPr>
              <w:pStyle w:val="nTable"/>
              <w:spacing w:after="40"/>
              <w:rPr>
                <w:bCs/>
              </w:rPr>
            </w:pPr>
            <w:r>
              <w:rPr>
                <w:bCs/>
              </w:rPr>
              <w:t>16 Jul 2010 p. 3309-54</w:t>
            </w:r>
          </w:p>
        </w:tc>
        <w:tc>
          <w:tcPr>
            <w:tcW w:w="2693" w:type="dxa"/>
          </w:tcPr>
          <w:p>
            <w:pPr>
              <w:pStyle w:val="nTable"/>
              <w:spacing w:after="40"/>
              <w:rPr>
                <w:bCs/>
              </w:rPr>
            </w:pPr>
            <w:r>
              <w:rPr>
                <w:bCs/>
              </w:rPr>
              <w:t>r. 1 and 2: 16 Jul 2010 (see r. 2(a));</w:t>
            </w:r>
            <w:r>
              <w:rPr>
                <w:bCs/>
              </w:rPr>
              <w:br/>
              <w:t>Regulations other than r. 1 and 2: 17 Jul 2010 (see r. 2(b))</w:t>
            </w:r>
          </w:p>
        </w:tc>
      </w:tr>
      <w:tr>
        <w:trPr>
          <w:cantSplit/>
        </w:trPr>
        <w:tc>
          <w:tcPr>
            <w:tcW w:w="3118" w:type="dxa"/>
          </w:tcPr>
          <w:p>
            <w:pPr>
              <w:pStyle w:val="nTable"/>
              <w:spacing w:after="40"/>
              <w:rPr>
                <w:bCs/>
                <w:i/>
                <w:iCs/>
              </w:rPr>
            </w:pPr>
            <w:r>
              <w:rPr>
                <w:bCs/>
                <w:i/>
                <w:iCs/>
              </w:rPr>
              <w:t>Jetties Amendment Regulations 2011</w:t>
            </w:r>
          </w:p>
        </w:tc>
        <w:tc>
          <w:tcPr>
            <w:tcW w:w="1276" w:type="dxa"/>
          </w:tcPr>
          <w:p>
            <w:pPr>
              <w:pStyle w:val="nTable"/>
              <w:spacing w:after="40"/>
              <w:rPr>
                <w:rFonts w:ascii="Arial" w:hAnsi="Arial"/>
                <w:b/>
                <w:bCs/>
              </w:rPr>
            </w:pPr>
            <w:r>
              <w:rPr>
                <w:bCs/>
              </w:rPr>
              <w:t>21 Jun 2011 p. 2265</w:t>
            </w:r>
            <w:r>
              <w:rPr>
                <w:bCs/>
              </w:rPr>
              <w:noBreakHyphen/>
              <w:t>303</w:t>
            </w:r>
          </w:p>
        </w:tc>
        <w:tc>
          <w:tcPr>
            <w:tcW w:w="2693" w:type="dxa"/>
          </w:tcPr>
          <w:p>
            <w:pPr>
              <w:pStyle w:val="nTable"/>
              <w:spacing w:after="40"/>
              <w:rPr>
                <w:bCs/>
              </w:rPr>
            </w:pPr>
            <w:r>
              <w:rPr>
                <w:bCs/>
              </w:rPr>
              <w:t>r. 1 and 2: 21 Jun 2011 (see r. 2(a));</w:t>
            </w:r>
            <w:r>
              <w:rPr>
                <w:bCs/>
              </w:rPr>
              <w:br/>
              <w:t>Regulations other than r. 1 and 2: 1 Jul 2011 (see r. 2(b))</w:t>
            </w:r>
          </w:p>
        </w:tc>
      </w:tr>
      <w:tr>
        <w:trPr>
          <w:cantSplit/>
        </w:trPr>
        <w:tc>
          <w:tcPr>
            <w:tcW w:w="3118" w:type="dxa"/>
          </w:tcPr>
          <w:p>
            <w:pPr>
              <w:pStyle w:val="nTable"/>
              <w:spacing w:after="40"/>
              <w:rPr>
                <w:bCs/>
                <w:i/>
                <w:iCs/>
              </w:rPr>
            </w:pPr>
            <w:r>
              <w:rPr>
                <w:bCs/>
                <w:i/>
                <w:iCs/>
              </w:rPr>
              <w:t>Jetties Amendment Regulations 2012</w:t>
            </w:r>
          </w:p>
        </w:tc>
        <w:tc>
          <w:tcPr>
            <w:tcW w:w="1276" w:type="dxa"/>
          </w:tcPr>
          <w:p>
            <w:pPr>
              <w:pStyle w:val="nTable"/>
              <w:spacing w:after="40"/>
              <w:rPr>
                <w:bCs/>
              </w:rPr>
            </w:pPr>
            <w:r>
              <w:rPr>
                <w:bCs/>
              </w:rPr>
              <w:t>13 Jul 2012 p. 3173</w:t>
            </w:r>
            <w:r>
              <w:rPr>
                <w:bCs/>
              </w:rPr>
              <w:noBreakHyphen/>
              <w:t>214</w:t>
            </w:r>
          </w:p>
        </w:tc>
        <w:tc>
          <w:tcPr>
            <w:tcW w:w="2693" w:type="dxa"/>
          </w:tcPr>
          <w:p>
            <w:pPr>
              <w:pStyle w:val="nTable"/>
              <w:spacing w:after="40"/>
              <w:rPr>
                <w:bCs/>
              </w:rPr>
            </w:pPr>
            <w:r>
              <w:rPr>
                <w:bCs/>
              </w:rPr>
              <w:t>r. 1 and 2: 13 Jul 2012 (see r. 2(a));</w:t>
            </w:r>
            <w:r>
              <w:rPr>
                <w:bCs/>
              </w:rPr>
              <w:br/>
              <w:t>Regulations other than r. 1 and 2: 14 Jul 2012 (see r. 2(b))</w:t>
            </w:r>
          </w:p>
        </w:tc>
      </w:tr>
      <w:tr>
        <w:trPr>
          <w:cantSplit/>
        </w:trPr>
        <w:tc>
          <w:tcPr>
            <w:tcW w:w="3118" w:type="dxa"/>
          </w:tcPr>
          <w:p>
            <w:pPr>
              <w:pStyle w:val="nTable"/>
              <w:spacing w:after="40"/>
              <w:rPr>
                <w:bCs/>
                <w:i/>
                <w:iCs/>
              </w:rPr>
            </w:pPr>
            <w:r>
              <w:rPr>
                <w:bCs/>
                <w:i/>
                <w:iCs/>
              </w:rPr>
              <w:t>Jetties Amendment Regulations (No. 2) 2012</w:t>
            </w:r>
          </w:p>
        </w:tc>
        <w:tc>
          <w:tcPr>
            <w:tcW w:w="1276" w:type="dxa"/>
          </w:tcPr>
          <w:p>
            <w:pPr>
              <w:pStyle w:val="nTable"/>
              <w:spacing w:after="40"/>
              <w:rPr>
                <w:bCs/>
              </w:rPr>
            </w:pPr>
            <w:r>
              <w:rPr>
                <w:bCs/>
              </w:rPr>
              <w:t>23 Oct 2012 p. 5057</w:t>
            </w:r>
          </w:p>
        </w:tc>
        <w:tc>
          <w:tcPr>
            <w:tcW w:w="2693" w:type="dxa"/>
          </w:tcPr>
          <w:p>
            <w:pPr>
              <w:pStyle w:val="nTable"/>
              <w:spacing w:after="40"/>
              <w:rPr>
                <w:bCs/>
              </w:rPr>
            </w:pPr>
            <w:r>
              <w:rPr>
                <w:bCs/>
                <w:snapToGrid w:val="0"/>
              </w:rPr>
              <w:t>r. 1 and 2: 23 Oct 2012 (see r. 2(a));</w:t>
            </w:r>
            <w:r>
              <w:rPr>
                <w:bCs/>
                <w:snapToGrid w:val="0"/>
              </w:rPr>
              <w:br/>
              <w:t>Regulations other than r. 1 and 2: 24 Oct 2012 (see r. 2(b))</w:t>
            </w:r>
          </w:p>
        </w:tc>
      </w:tr>
      <w:tr>
        <w:trPr>
          <w:cantSplit/>
        </w:trPr>
        <w:tc>
          <w:tcPr>
            <w:tcW w:w="3118" w:type="dxa"/>
          </w:tcPr>
          <w:p>
            <w:pPr>
              <w:pStyle w:val="nTable"/>
              <w:spacing w:after="40"/>
              <w:rPr>
                <w:bCs/>
                <w:i/>
                <w:iCs/>
              </w:rPr>
            </w:pPr>
            <w:r>
              <w:rPr>
                <w:bCs/>
                <w:i/>
                <w:iCs/>
              </w:rPr>
              <w:t>Jetties Amendment Regulations 2013</w:t>
            </w:r>
          </w:p>
        </w:tc>
        <w:tc>
          <w:tcPr>
            <w:tcW w:w="1276" w:type="dxa"/>
          </w:tcPr>
          <w:p>
            <w:pPr>
              <w:pStyle w:val="nTable"/>
              <w:spacing w:after="40"/>
              <w:rPr>
                <w:bCs/>
              </w:rPr>
            </w:pPr>
            <w:r>
              <w:rPr>
                <w:bCs/>
              </w:rPr>
              <w:t>7 May 2013 p. 1918-23</w:t>
            </w:r>
          </w:p>
        </w:tc>
        <w:tc>
          <w:tcPr>
            <w:tcW w:w="2693" w:type="dxa"/>
          </w:tcPr>
          <w:p>
            <w:pPr>
              <w:pStyle w:val="nTable"/>
              <w:spacing w:after="40"/>
              <w:rPr>
                <w:rFonts w:ascii="Arial" w:hAnsi="Arial"/>
                <w:b/>
                <w:bCs/>
                <w:snapToGrid w:val="0"/>
              </w:rPr>
            </w:pPr>
            <w:r>
              <w:rPr>
                <w:bCs/>
                <w:snapToGrid w:val="0"/>
              </w:rPr>
              <w:t>r. 1 and 2: 7 May 2013 (see r. 2(a));</w:t>
            </w:r>
            <w:r>
              <w:rPr>
                <w:bCs/>
                <w:snapToGrid w:val="0"/>
              </w:rPr>
              <w:br/>
              <w:t>Regulations other than r. 1 and 2: 8 May 2013 (see r. 2(b))</w:t>
            </w:r>
          </w:p>
        </w:tc>
      </w:tr>
      <w:tr>
        <w:trPr>
          <w:cantSplit/>
        </w:trPr>
        <w:tc>
          <w:tcPr>
            <w:tcW w:w="3118" w:type="dxa"/>
          </w:tcPr>
          <w:p>
            <w:pPr>
              <w:pStyle w:val="nTable"/>
              <w:spacing w:after="40"/>
              <w:rPr>
                <w:bCs/>
                <w:i/>
                <w:iCs/>
              </w:rPr>
            </w:pPr>
            <w:r>
              <w:rPr>
                <w:bCs/>
                <w:i/>
                <w:iCs/>
              </w:rPr>
              <w:t>Jetties Amendment Regulations (No. 2) 2013</w:t>
            </w:r>
          </w:p>
        </w:tc>
        <w:tc>
          <w:tcPr>
            <w:tcW w:w="1276" w:type="dxa"/>
          </w:tcPr>
          <w:p>
            <w:pPr>
              <w:pStyle w:val="nTable"/>
              <w:spacing w:after="40"/>
              <w:rPr>
                <w:rFonts w:ascii="Arial" w:hAnsi="Arial"/>
                <w:bCs/>
              </w:rPr>
            </w:pPr>
            <w:r>
              <w:rPr>
                <w:bCs/>
              </w:rPr>
              <w:t>28 Jun 2013 p. 2831</w:t>
            </w:r>
            <w:r>
              <w:rPr>
                <w:bCs/>
              </w:rPr>
              <w:noBreakHyphen/>
              <w:t>85</w:t>
            </w:r>
          </w:p>
        </w:tc>
        <w:tc>
          <w:tcPr>
            <w:tcW w:w="2693" w:type="dxa"/>
          </w:tcPr>
          <w:p>
            <w:pPr>
              <w:pStyle w:val="nTable"/>
              <w:spacing w:after="40"/>
              <w:rPr>
                <w:rFonts w:ascii="Arial" w:hAnsi="Arial"/>
                <w:bCs/>
                <w:snapToGrid w:val="0"/>
              </w:rPr>
            </w:pPr>
            <w:r>
              <w:rPr>
                <w:bCs/>
                <w:snapToGrid w:val="0"/>
              </w:rPr>
              <w:t>r. 1 and 2: 28 Jun 2013 (see r. 2(a));</w:t>
            </w:r>
            <w:r>
              <w:rPr>
                <w:bCs/>
                <w:snapToGrid w:val="0"/>
              </w:rPr>
              <w:br/>
              <w:t>Regulations other than r. 1 and 2: 1 Jul 2013 (see r. 2(b))</w:t>
            </w:r>
          </w:p>
        </w:tc>
      </w:tr>
      <w:tr>
        <w:trPr>
          <w:cantSplit/>
        </w:trPr>
        <w:tc>
          <w:tcPr>
            <w:tcW w:w="7087" w:type="dxa"/>
            <w:gridSpan w:val="3"/>
            <w:shd w:val="clear" w:color="auto" w:fill="auto"/>
          </w:tcPr>
          <w:p>
            <w:pPr>
              <w:pStyle w:val="nTable"/>
              <w:spacing w:after="40"/>
              <w:rPr>
                <w:rFonts w:ascii="Arial" w:hAnsi="Arial"/>
                <w:b/>
                <w:bCs/>
                <w:snapToGrid w:val="0"/>
              </w:rPr>
            </w:pPr>
            <w:r>
              <w:rPr>
                <w:b/>
              </w:rPr>
              <w:t xml:space="preserve">Reprint 8:  The </w:t>
            </w:r>
            <w:r>
              <w:rPr>
                <w:b/>
                <w:i/>
              </w:rPr>
              <w:t xml:space="preserve">Jetties Regulations 1940 </w:t>
            </w:r>
            <w:r>
              <w:rPr>
                <w:b/>
              </w:rPr>
              <w:t xml:space="preserve">as at 11 Oct 2013 </w:t>
            </w:r>
            <w:r>
              <w:rPr>
                <w:bCs/>
              </w:rPr>
              <w:t>(includes amendments listed above)</w:t>
            </w:r>
          </w:p>
        </w:tc>
      </w:tr>
      <w:tr>
        <w:trPr>
          <w:cantSplit/>
        </w:trPr>
        <w:tc>
          <w:tcPr>
            <w:tcW w:w="3118" w:type="dxa"/>
          </w:tcPr>
          <w:p>
            <w:pPr>
              <w:pStyle w:val="nTable"/>
              <w:spacing w:after="40"/>
              <w:rPr>
                <w:bCs/>
                <w:i/>
                <w:iCs/>
              </w:rPr>
            </w:pPr>
            <w:r>
              <w:rPr>
                <w:bCs/>
                <w:i/>
                <w:iCs/>
              </w:rPr>
              <w:t>Jetties Amendment Regulations 2014</w:t>
            </w:r>
          </w:p>
        </w:tc>
        <w:tc>
          <w:tcPr>
            <w:tcW w:w="1276" w:type="dxa"/>
          </w:tcPr>
          <w:p>
            <w:pPr>
              <w:pStyle w:val="nTable"/>
              <w:spacing w:after="40"/>
              <w:rPr>
                <w:rFonts w:ascii="Arial" w:hAnsi="Arial"/>
                <w:b/>
                <w:bCs/>
              </w:rPr>
            </w:pPr>
            <w:r>
              <w:rPr>
                <w:bCs/>
              </w:rPr>
              <w:t>7 Feb 2014 p. 287</w:t>
            </w:r>
            <w:r>
              <w:rPr>
                <w:bCs/>
              </w:rPr>
              <w:noBreakHyphen/>
              <w:t>9</w:t>
            </w:r>
          </w:p>
        </w:tc>
        <w:tc>
          <w:tcPr>
            <w:tcW w:w="2693" w:type="dxa"/>
          </w:tcPr>
          <w:p>
            <w:pPr>
              <w:pStyle w:val="nTable"/>
              <w:spacing w:after="40"/>
              <w:rPr>
                <w:rFonts w:ascii="Arial" w:hAnsi="Arial"/>
                <w:b/>
                <w:bCs/>
                <w:snapToGrid w:val="0"/>
              </w:rPr>
            </w:pPr>
            <w:r>
              <w:rPr>
                <w:bCs/>
                <w:snapToGrid w:val="0"/>
              </w:rPr>
              <w:t>r. 1 and 2: 7 Feb 2014 (see r. 2(a));</w:t>
            </w:r>
            <w:r>
              <w:rPr>
                <w:bCs/>
                <w:snapToGrid w:val="0"/>
              </w:rPr>
              <w:br/>
              <w:t>Regulations other than r. 1 and 2: 8 Feb 2014 (see r. 2(b))</w:t>
            </w:r>
          </w:p>
        </w:tc>
      </w:tr>
      <w:tr>
        <w:trPr>
          <w:cantSplit/>
        </w:trPr>
        <w:tc>
          <w:tcPr>
            <w:tcW w:w="3118" w:type="dxa"/>
          </w:tcPr>
          <w:p>
            <w:pPr>
              <w:pStyle w:val="nTable"/>
              <w:spacing w:after="40"/>
              <w:rPr>
                <w:bCs/>
                <w:iCs/>
                <w:vertAlign w:val="superscript"/>
              </w:rPr>
            </w:pPr>
            <w:r>
              <w:rPr>
                <w:bCs/>
                <w:i/>
                <w:iCs/>
              </w:rPr>
              <w:t>Jetties Amendment Regulations (No. 2) 2014 </w:t>
            </w:r>
            <w:r>
              <w:rPr>
                <w:bCs/>
                <w:iCs/>
                <w:vertAlign w:val="superscript"/>
              </w:rPr>
              <w:t>11</w:t>
            </w:r>
          </w:p>
        </w:tc>
        <w:tc>
          <w:tcPr>
            <w:tcW w:w="1276" w:type="dxa"/>
          </w:tcPr>
          <w:p>
            <w:pPr>
              <w:pStyle w:val="nTable"/>
              <w:spacing w:after="40"/>
              <w:rPr>
                <w:bCs/>
              </w:rPr>
            </w:pPr>
            <w:r>
              <w:rPr>
                <w:bCs/>
              </w:rPr>
              <w:t>25 Jul 2014 p. 2607-61</w:t>
            </w:r>
          </w:p>
        </w:tc>
        <w:tc>
          <w:tcPr>
            <w:tcW w:w="2693" w:type="dxa"/>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rPr>
          <w:cantSplit/>
        </w:trPr>
        <w:tc>
          <w:tcPr>
            <w:tcW w:w="3118" w:type="dxa"/>
          </w:tcPr>
          <w:p>
            <w:pPr>
              <w:pStyle w:val="nTable"/>
              <w:spacing w:after="40"/>
              <w:rPr>
                <w:bCs/>
                <w:i/>
                <w:iCs/>
              </w:rPr>
            </w:pPr>
            <w:r>
              <w:rPr>
                <w:bCs/>
                <w:i/>
                <w:iCs/>
              </w:rPr>
              <w:t>Jetties Amendment Regulations (No. 4) 2014</w:t>
            </w:r>
          </w:p>
        </w:tc>
        <w:tc>
          <w:tcPr>
            <w:tcW w:w="1276" w:type="dxa"/>
          </w:tcPr>
          <w:p>
            <w:pPr>
              <w:pStyle w:val="nTable"/>
              <w:spacing w:after="40"/>
              <w:rPr>
                <w:bCs/>
              </w:rPr>
            </w:pPr>
            <w:r>
              <w:rPr>
                <w:bCs/>
              </w:rPr>
              <w:t>4 Nov 2014 p. 4204</w:t>
            </w:r>
            <w:r>
              <w:rPr>
                <w:bCs/>
              </w:rPr>
              <w:noBreakHyphen/>
              <w:t>5</w:t>
            </w:r>
          </w:p>
        </w:tc>
        <w:tc>
          <w:tcPr>
            <w:tcW w:w="2693" w:type="dxa"/>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rPr>
          <w:cantSplit/>
        </w:trPr>
        <w:tc>
          <w:tcPr>
            <w:tcW w:w="3118" w:type="dxa"/>
            <w:tcBorders>
              <w:bottom w:val="single" w:sz="4" w:space="0" w:color="auto"/>
            </w:tcBorders>
          </w:tcPr>
          <w:p>
            <w:pPr>
              <w:pStyle w:val="nTable"/>
              <w:spacing w:after="40"/>
              <w:rPr>
                <w:bCs/>
                <w:i/>
                <w:iCs/>
              </w:rPr>
            </w:pPr>
            <w:r>
              <w:rPr>
                <w:bCs/>
                <w:i/>
                <w:iCs/>
              </w:rPr>
              <w:t>Jetties Amendment Regulations 2015</w:t>
            </w:r>
          </w:p>
        </w:tc>
        <w:tc>
          <w:tcPr>
            <w:tcW w:w="1276" w:type="dxa"/>
            <w:tcBorders>
              <w:bottom w:val="single" w:sz="4" w:space="0" w:color="auto"/>
            </w:tcBorders>
          </w:tcPr>
          <w:p>
            <w:pPr>
              <w:pStyle w:val="nTable"/>
              <w:spacing w:after="40"/>
              <w:rPr>
                <w:bCs/>
              </w:rPr>
            </w:pPr>
            <w:r>
              <w:rPr>
                <w:bCs/>
              </w:rPr>
              <w:t>22 Jul 2015 p. 2951</w:t>
            </w:r>
            <w:r>
              <w:rPr>
                <w:bCs/>
              </w:rPr>
              <w:noBreakHyphen/>
              <w:t>95</w:t>
            </w:r>
          </w:p>
        </w:tc>
        <w:tc>
          <w:tcPr>
            <w:tcW w:w="2693" w:type="dxa"/>
            <w:tcBorders>
              <w:bottom w:val="single" w:sz="4" w:space="0" w:color="auto"/>
            </w:tcBorders>
          </w:tcPr>
          <w:p>
            <w:pPr>
              <w:pStyle w:val="nTable"/>
              <w:spacing w:after="40"/>
              <w:rPr>
                <w:bCs/>
                <w:snapToGrid w:val="0"/>
              </w:rPr>
            </w:pPr>
            <w:r>
              <w:rPr>
                <w:bCs/>
                <w:snapToGrid w:val="0"/>
              </w:rPr>
              <w:t xml:space="preserve">r. 1 and 2: </w:t>
            </w:r>
            <w:r>
              <w:rPr>
                <w:bCs/>
              </w:rPr>
              <w:t>22 Jul 2015</w:t>
            </w:r>
            <w:r>
              <w:rPr>
                <w:bCs/>
                <w:snapToGrid w:val="0"/>
              </w:rPr>
              <w:t xml:space="preserve"> (see r. 2(a));</w:t>
            </w:r>
            <w:r>
              <w:rPr>
                <w:bCs/>
                <w:snapToGrid w:val="0"/>
              </w:rPr>
              <w:br/>
              <w:t>Regulations other than r. 1 and 2: 1 Aug 2015 (see r. 2(b))</w:t>
            </w:r>
          </w:p>
        </w:tc>
      </w:tr>
    </w:tbl>
    <w:p>
      <w:pPr>
        <w:pStyle w:val="nSubsection"/>
        <w:spacing w:before="160"/>
      </w:pPr>
      <w:r>
        <w:rPr>
          <w:vertAlign w:val="superscript"/>
        </w:rPr>
        <w:t>2</w:t>
      </w:r>
      <w:r>
        <w:rPr>
          <w:vertAlign w:val="superscript"/>
        </w:rPr>
        <w:tab/>
      </w:r>
      <w:r>
        <w:t xml:space="preserve">The </w:t>
      </w:r>
      <w:r>
        <w:rPr>
          <w:i/>
        </w:rPr>
        <w:t>Consumer Credit (Western Australia) Code</w:t>
      </w:r>
      <w:r>
        <w:t xml:space="preserve"> was repealed by the </w:t>
      </w:r>
      <w:r>
        <w:rPr>
          <w:i/>
        </w:rPr>
        <w:t>Credit (Commonwealth Powers) (Transitional and Consequential Provisions) Act 2010</w:t>
      </w:r>
      <w:r>
        <w:t xml:space="preserve"> Pt. 3 Div. 1.</w:t>
      </w:r>
    </w:p>
    <w:p>
      <w:pPr>
        <w:pStyle w:val="nSubsection"/>
      </w:pPr>
      <w:r>
        <w:rPr>
          <w:vertAlign w:val="superscript"/>
        </w:rPr>
        <w:t>3</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Subsection"/>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p>
    <w:p>
      <w:pPr>
        <w:pStyle w:val="nSubsection"/>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reprint was prepared the department principally assisting the Minister in the administration of the </w:t>
      </w:r>
      <w:r>
        <w:rPr>
          <w:i/>
        </w:rPr>
        <w:t>Marine and Harbours Act 1981</w:t>
      </w:r>
      <w:r>
        <w:rPr>
          <w:iCs/>
        </w:rPr>
        <w:t xml:space="preserve"> is the Department of Transport.</w:t>
      </w:r>
    </w:p>
    <w:p>
      <w:pPr>
        <w:pStyle w:val="nSubsection"/>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9</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pPr>
        <w:pStyle w:val="nSubsection"/>
        <w:tabs>
          <w:tab w:val="left" w:pos="720"/>
          <w:tab w:val="left" w:pos="1440"/>
          <w:tab w:val="left" w:pos="2160"/>
          <w:tab w:val="left" w:pos="2880"/>
          <w:tab w:val="left" w:pos="3600"/>
          <w:tab w:val="left" w:pos="4211"/>
        </w:tabs>
      </w:pPr>
      <w:r>
        <w:rPr>
          <w:vertAlign w:val="superscript"/>
        </w:rPr>
        <w:t>11</w:t>
      </w:r>
      <w:r>
        <w:tab/>
        <w:t xml:space="preserve">The </w:t>
      </w:r>
      <w:r>
        <w:rPr>
          <w:i/>
        </w:rPr>
        <w:t>Jetties Amendment Regulations (No. 2) 2014</w:t>
      </w:r>
      <w:r>
        <w:t xml:space="preserve"> r. 17 is not included because of an error in the reference to the provision to be amended. It reads as follows:</w:t>
      </w:r>
    </w:p>
    <w:p>
      <w:pPr>
        <w:pStyle w:val="BlankOpen"/>
      </w:pPr>
    </w:p>
    <w:p>
      <w:pPr>
        <w:pStyle w:val="nHeading5"/>
      </w:pPr>
      <w:r>
        <w:rPr>
          <w:rStyle w:val="CharSectno"/>
        </w:rPr>
        <w:tab/>
      </w:r>
      <w:r>
        <w:t>17.</w:t>
      </w:r>
      <w:r>
        <w:tab/>
        <w:t>Regulation 95A amended</w:t>
      </w:r>
    </w:p>
    <w:p>
      <w:pPr>
        <w:pStyle w:val="nSubsection"/>
      </w:pPr>
      <w:r>
        <w:tab/>
      </w:r>
      <w:r>
        <w:tab/>
      </w:r>
      <w:r>
        <w:tab/>
        <w:t>In regulation 95A(1) delete “schedule of charges.” and insert:</w:t>
      </w:r>
    </w:p>
    <w:p>
      <w:pPr>
        <w:pStyle w:val="BlankOpen"/>
      </w:pPr>
    </w:p>
    <w:p>
      <w:pPr>
        <w:pStyle w:val="nSubsection"/>
        <w:ind w:left="1440" w:hanging="1440"/>
      </w:pPr>
      <w:r>
        <w:tab/>
      </w:r>
      <w:r>
        <w:tab/>
        <w:t>the requirement to pay any applicable dues or charges prescribed in Schedule 1.</w:t>
      </w:r>
    </w:p>
    <w:p>
      <w:pPr>
        <w:pStyle w:val="BlankClose"/>
      </w:pPr>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320" w:name="_Toc425337664"/>
      <w:bookmarkStart w:id="321" w:name="_Toc425337927"/>
      <w:bookmarkStart w:id="322" w:name="_Toc425338126"/>
      <w:r>
        <w:rPr>
          <w:sz w:val="28"/>
        </w:rPr>
        <w:t>Defined terms</w:t>
      </w:r>
      <w:bookmarkEnd w:id="320"/>
      <w:bookmarkEnd w:id="321"/>
      <w:bookmarkEnd w:id="3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berthing due</w:t>
      </w:r>
      <w:r>
        <w:tab/>
        <w:t>6(1)</w:t>
      </w:r>
    </w:p>
    <w:p>
      <w:pPr>
        <w:pStyle w:val="DefinedTerms"/>
      </w:pPr>
      <w:r>
        <w:t>catamaran pen</w:t>
      </w:r>
      <w:r>
        <w:tab/>
        <w:t>6(1)</w:t>
      </w:r>
    </w:p>
    <w:p>
      <w:pPr>
        <w:pStyle w:val="DefinedTerms"/>
      </w:pPr>
      <w:r>
        <w:t>commercial vessel</w:t>
      </w:r>
      <w:r>
        <w:tab/>
        <w:t>3(1)</w:t>
      </w:r>
    </w:p>
    <w:p>
      <w:pPr>
        <w:pStyle w:val="DefinedTerms"/>
      </w:pPr>
      <w:r>
        <w:t>day</w:t>
      </w:r>
      <w:r>
        <w:tab/>
        <w:t>3(2)</w:t>
      </w:r>
    </w:p>
    <w:p>
      <w:pPr>
        <w:pStyle w:val="DefinedTerms"/>
      </w:pPr>
      <w:r>
        <w:t>Department</w:t>
      </w:r>
      <w:r>
        <w:tab/>
        <w:t>3(1)</w:t>
      </w:r>
    </w:p>
    <w:p>
      <w:pPr>
        <w:pStyle w:val="DefinedTerms"/>
      </w:pPr>
      <w:r>
        <w:t>E Class operator</w:t>
      </w:r>
      <w:r>
        <w:tab/>
        <w:t>Sch. 1 cl. 9(2)</w:t>
      </w:r>
    </w:p>
    <w:p>
      <w:pPr>
        <w:pStyle w:val="DefinedTerms"/>
      </w:pPr>
      <w:r>
        <w:t>enhanced facilities</w:t>
      </w:r>
      <w:r>
        <w:tab/>
        <w:t>Sch. 1 cl. 26(1)</w:t>
      </w:r>
    </w:p>
    <w:p>
      <w:pPr>
        <w:pStyle w:val="DefinedTerms"/>
      </w:pPr>
      <w:r>
        <w:t>fishing vessel</w:t>
      </w:r>
      <w:r>
        <w:tab/>
        <w:t>3(1)</w:t>
      </w:r>
    </w:p>
    <w:p>
      <w:pPr>
        <w:pStyle w:val="DefinedTerms"/>
      </w:pPr>
      <w:r>
        <w:t>jetty</w:t>
      </w:r>
      <w:r>
        <w:tab/>
        <w:t>3(1)</w:t>
      </w:r>
    </w:p>
    <w:p>
      <w:pPr>
        <w:pStyle w:val="DefinedTerms"/>
      </w:pPr>
      <w:r>
        <w:t>master</w:t>
      </w:r>
      <w:r>
        <w:tab/>
        <w:t>3(1)</w:t>
      </w:r>
    </w:p>
    <w:p>
      <w:pPr>
        <w:pStyle w:val="DefinedTerms"/>
      </w:pPr>
      <w:r>
        <w:t>officer</w:t>
      </w:r>
      <w:r>
        <w:tab/>
        <w:t>3(1)</w:t>
      </w:r>
    </w:p>
    <w:p>
      <w:pPr>
        <w:pStyle w:val="DefinedTerms"/>
      </w:pPr>
      <w:r>
        <w:t>owner</w:t>
      </w:r>
      <w:r>
        <w:tab/>
        <w:t>3(1)</w:t>
      </w:r>
    </w:p>
    <w:p>
      <w:pPr>
        <w:pStyle w:val="DefinedTerms"/>
      </w:pPr>
      <w:r>
        <w:t>premises</w:t>
      </w:r>
      <w:r>
        <w:tab/>
        <w:t>3(1)</w:t>
      </w:r>
    </w:p>
    <w:p>
      <w:pPr>
        <w:pStyle w:val="DefinedTerms"/>
      </w:pPr>
      <w:r>
        <w:t>public jetty</w:t>
      </w:r>
      <w:r>
        <w:tab/>
        <w:t>3(1)</w:t>
      </w:r>
    </w:p>
    <w:p>
      <w:pPr>
        <w:pStyle w:val="DefinedTerms"/>
      </w:pPr>
      <w:r>
        <w:t>recreational vessel</w:t>
      </w:r>
      <w:r>
        <w:tab/>
        <w:t>3(1)</w:t>
      </w:r>
    </w:p>
    <w:p>
      <w:pPr>
        <w:pStyle w:val="DefinedTerms"/>
      </w:pPr>
      <w:r>
        <w:t>service vessel</w:t>
      </w:r>
      <w:r>
        <w:tab/>
        <w:t>Sch. 1 cl. 12(2), Sch. 1 cl. 21(2), Sch. 1 cl. 22(2)</w:t>
      </w:r>
    </w:p>
    <w:p>
      <w:pPr>
        <w:pStyle w:val="DefinedTerms"/>
      </w:pPr>
      <w:r>
        <w:t>swing mooring fee</w:t>
      </w:r>
      <w:r>
        <w:tab/>
        <w:t>3(1)</w:t>
      </w:r>
    </w:p>
    <w:p>
      <w:pPr>
        <w:pStyle w:val="DefinedTerms"/>
      </w:pPr>
      <w:r>
        <w:t>T Class operator</w:t>
      </w:r>
      <w:r>
        <w:tab/>
        <w:t>Sch. 1 cl. 9(2)</w:t>
      </w:r>
    </w:p>
    <w:p>
      <w:pPr>
        <w:pStyle w:val="DefinedTerms"/>
      </w:pPr>
      <w:r>
        <w:t>tourism vessel</w:t>
      </w:r>
      <w:r>
        <w:tab/>
        <w:t>3(1)</w:t>
      </w:r>
    </w:p>
    <w:p>
      <w:pPr>
        <w:pStyle w:val="DefinedTerms"/>
      </w:pPr>
      <w:r>
        <w:t>unit</w:t>
      </w:r>
      <w:r>
        <w:tab/>
        <w:t>3(5)</w:t>
      </w:r>
    </w:p>
    <w:p>
      <w:pPr>
        <w:pStyle w:val="DefinedTerms"/>
      </w:pPr>
      <w:r>
        <w:t>vessel</w:t>
      </w:r>
      <w:r>
        <w:tab/>
        <w:t>3(1)</w:t>
      </w:r>
    </w:p>
    <w:p>
      <w:pPr>
        <w:pStyle w:val="DefinedTerms"/>
      </w:pPr>
      <w:r>
        <w:t>week</w:t>
      </w:r>
      <w:r>
        <w:tab/>
        <w:t>3(2)</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08-e0-03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STYLEREF CharSchno \n</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STYLEREF CharSchno \n</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1A</w:t>
          </w:r>
          <w:r>
            <w:rPr>
              <w:b/>
            </w:rPr>
            <w:fldChar w:fldCharType="end"/>
          </w:r>
        </w:p>
      </w:tc>
    </w:tr>
  </w:tbl>
  <w:p>
    <w:pPr>
      <w:pStyle w:val="Header"/>
      <w:pBdr>
        <w:top w:val="single" w:sz="4" w:space="1" w:color="auto"/>
      </w:pBdr>
    </w:pPr>
    <w:bookmarkStart w:id="311" w:name="Schedule"/>
    <w:bookmarkEnd w:id="3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Port of Perth charges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Charges for boat pens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Port of Perth charges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Charges for boat pens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9" w:name="Compilation"/>
    <w:bookmarkEnd w:id="31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3" w:name="DefinedTerms"/>
    <w:bookmarkEnd w:id="32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4" w:name="Coversheet"/>
    <w:bookmarkEnd w:id="32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381F54"/>
    <w:lvl w:ilvl="0">
      <w:start w:val="1"/>
      <w:numFmt w:val="decimal"/>
      <w:lvlText w:val="%1."/>
      <w:lvlJc w:val="left"/>
      <w:pPr>
        <w:tabs>
          <w:tab w:val="num" w:pos="1492"/>
        </w:tabs>
        <w:ind w:left="1492" w:hanging="360"/>
      </w:pPr>
    </w:lvl>
  </w:abstractNum>
  <w:abstractNum w:abstractNumId="1">
    <w:nsid w:val="FFFFFF7D"/>
    <w:multiLevelType w:val="singleLevel"/>
    <w:tmpl w:val="39BC533A"/>
    <w:lvl w:ilvl="0">
      <w:start w:val="1"/>
      <w:numFmt w:val="decimal"/>
      <w:lvlText w:val="%1."/>
      <w:lvlJc w:val="left"/>
      <w:pPr>
        <w:tabs>
          <w:tab w:val="num" w:pos="1209"/>
        </w:tabs>
        <w:ind w:left="1209" w:hanging="360"/>
      </w:pPr>
    </w:lvl>
  </w:abstractNum>
  <w:abstractNum w:abstractNumId="2">
    <w:nsid w:val="FFFFFF7E"/>
    <w:multiLevelType w:val="singleLevel"/>
    <w:tmpl w:val="FD3A4256"/>
    <w:lvl w:ilvl="0">
      <w:start w:val="1"/>
      <w:numFmt w:val="decimal"/>
      <w:lvlText w:val="%1."/>
      <w:lvlJc w:val="left"/>
      <w:pPr>
        <w:tabs>
          <w:tab w:val="num" w:pos="926"/>
        </w:tabs>
        <w:ind w:left="926" w:hanging="360"/>
      </w:pPr>
    </w:lvl>
  </w:abstractNum>
  <w:abstractNum w:abstractNumId="3">
    <w:nsid w:val="FFFFFF7F"/>
    <w:multiLevelType w:val="singleLevel"/>
    <w:tmpl w:val="C8E23BB6"/>
    <w:lvl w:ilvl="0">
      <w:start w:val="1"/>
      <w:numFmt w:val="decimal"/>
      <w:lvlText w:val="%1."/>
      <w:lvlJc w:val="left"/>
      <w:pPr>
        <w:tabs>
          <w:tab w:val="num" w:pos="643"/>
        </w:tabs>
        <w:ind w:left="643" w:hanging="360"/>
      </w:pPr>
    </w:lvl>
  </w:abstractNum>
  <w:abstractNum w:abstractNumId="4">
    <w:nsid w:val="FFFFFF80"/>
    <w:multiLevelType w:val="singleLevel"/>
    <w:tmpl w:val="C5F85D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4068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1AF1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8858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E831FA"/>
    <w:lvl w:ilvl="0">
      <w:start w:val="1"/>
      <w:numFmt w:val="decimal"/>
      <w:lvlText w:val="%1."/>
      <w:lvlJc w:val="left"/>
      <w:pPr>
        <w:tabs>
          <w:tab w:val="num" w:pos="360"/>
        </w:tabs>
        <w:ind w:left="360" w:hanging="360"/>
      </w:pPr>
    </w:lvl>
  </w:abstractNum>
  <w:abstractNum w:abstractNumId="9">
    <w:nsid w:val="FFFFFF89"/>
    <w:multiLevelType w:val="singleLevel"/>
    <w:tmpl w:val="C6E23E3A"/>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44AE226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090339"/>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 w:name="WAFER_20141104153555" w:val="RemoveTocBookmarks,RunningHeaders"/>
    <w:docVar w:name="WAFER_20141104153555_GUID" w:val="b6ec4d3c-6b61-473f-bbf4-5704013988ef"/>
    <w:docVar w:name="WAFER_20150527152342" w:val="ResetPageSize,UpdateArrangement,UpdateNTable"/>
    <w:docVar w:name="WAFER_20150527152342_GUID" w:val="c6967ea7-3c2e-47c4-a6ab-17e3eb9365de"/>
    <w:docVar w:name="WAFER_20150721152017" w:val="RemoveTocBookmarks,RemoveUnusedBookmarks,RemoveLanguageTags,UsedStyles,ResetPageSize"/>
    <w:docVar w:name="WAFER_20150721152017_GUID" w:val="bba3e186-5e66-481d-a3d9-11e9d329a7c7"/>
    <w:docVar w:name="WAFER_20150915125407" w:val="ResetPageSize,UpdateArrangement,UpdateNTable"/>
    <w:docVar w:name="WAFER_20150915125407_GUID" w:val="9e7f7345-3a80-47b4-9cc7-f55bc852754c"/>
    <w:docVar w:name="WAFER_20151106090339" w:val="UpdateStyles,UsedStyles"/>
    <w:docVar w:name="WAFER_20151106090339_GUID" w:val="f38c0bae-5f14-4ab3-be24-b0e673e6c2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styleId="ListParagraph">
    <w:name w:val="List Paragraph"/>
    <w:basedOn w:val="Normal"/>
    <w:uiPriority w:val="34"/>
    <w:qFormat/>
    <w:pPr>
      <w:ind w:left="720"/>
      <w:contextualSpacing/>
    </w:p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styleId="ListParagraph">
    <w:name w:val="List Paragraph"/>
    <w:basedOn w:val="Normal"/>
    <w:uiPriority w:val="34"/>
    <w:qFormat/>
    <w:pPr>
      <w:ind w:left="720"/>
      <w:contextualSpacing/>
    </w:p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1B2D0-5F90-43EB-8D1C-DCC84BB18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123</Pages>
  <Words>27741</Words>
  <Characters>128165</Characters>
  <Application>Microsoft Office Word</Application>
  <DocSecurity>0</DocSecurity>
  <Lines>4929</Lines>
  <Paragraphs>2887</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153019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1940 - 08-e0-03</dc:title>
  <dc:subject/>
  <dc:creator/>
  <cp:keywords/>
  <dc:description/>
  <cp:lastModifiedBy>svcMRProcess</cp:lastModifiedBy>
  <cp:revision>4</cp:revision>
  <cp:lastPrinted>2013-11-05T00:55:00Z</cp:lastPrinted>
  <dcterms:created xsi:type="dcterms:W3CDTF">2019-05-31T08:54:00Z</dcterms:created>
  <dcterms:modified xsi:type="dcterms:W3CDTF">2019-05-31T08:54:00Z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DocumentType">
    <vt:lpwstr>Reg</vt:lpwstr>
  </property>
  <property fmtid="{D5CDD505-2E9C-101B-9397-08002B2CF9AE}" pid="4" name="OwlsUID">
    <vt:i4>8924</vt:i4>
  </property>
  <property fmtid="{D5CDD505-2E9C-101B-9397-08002B2CF9AE}" pid="5" name="ReprintNo">
    <vt:lpwstr>8</vt:lpwstr>
  </property>
  <property fmtid="{D5CDD505-2E9C-101B-9397-08002B2CF9AE}" pid="6" name="ReprintedAsAt">
    <vt:filetime>2013-10-10T16:00:00Z</vt:filetime>
  </property>
  <property fmtid="{D5CDD505-2E9C-101B-9397-08002B2CF9AE}" pid="7" name="AsAtDate">
    <vt:lpwstr>01 Aug 2015</vt:lpwstr>
  </property>
  <property fmtid="{D5CDD505-2E9C-101B-9397-08002B2CF9AE}" pid="8" name="Suffix">
    <vt:lpwstr>08-e0-03</vt:lpwstr>
  </property>
  <property fmtid="{D5CDD505-2E9C-101B-9397-08002B2CF9AE}" pid="9" name="CommencementDate">
    <vt:lpwstr>20150801</vt:lpwstr>
  </property>
</Properties>
</file>