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Safety Council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Road Safety Council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_Toc426632313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_Toc426632314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_Toc426632315 \h </w:instrText>
      </w:r>
      <w:r>
        <w:fldChar w:fldCharType="separate"/>
      </w:r>
      <w:r>
        <w:t>1</w:t>
      </w:r>
      <w:r>
        <w:fldChar w:fldCharType="end"/>
      </w:r>
    </w:p>
    <w:p>
      <w:pPr>
        <w:pStyle w:val="TOC8"/>
        <w:rPr>
          <w:rFonts w:asciiTheme="minorHAnsi" w:eastAsiaTheme="minorEastAsia" w:hAnsiTheme="minorHAnsi" w:cstheme="minorBidi"/>
          <w:szCs w:val="22"/>
        </w:rPr>
      </w:pPr>
      <w:r>
        <w:t>4.</w:t>
      </w:r>
      <w:r>
        <w:tab/>
        <w:t>Establishment</w:t>
      </w:r>
      <w:r>
        <w:tab/>
      </w:r>
      <w:r>
        <w:fldChar w:fldCharType="begin"/>
      </w:r>
      <w:r>
        <w:instrText xml:space="preserve"> PAGEREF _Toc426632316 \h </w:instrText>
      </w:r>
      <w:r>
        <w:fldChar w:fldCharType="separate"/>
      </w:r>
      <w:r>
        <w:t>2</w:t>
      </w:r>
      <w:r>
        <w:fldChar w:fldCharType="end"/>
      </w:r>
    </w:p>
    <w:p>
      <w:pPr>
        <w:pStyle w:val="TOC8"/>
        <w:rPr>
          <w:rFonts w:asciiTheme="minorHAnsi" w:eastAsiaTheme="minorEastAsia" w:hAnsiTheme="minorHAnsi" w:cstheme="minorBidi"/>
          <w:szCs w:val="22"/>
        </w:rPr>
      </w:pPr>
      <w:r>
        <w:t>5.</w:t>
      </w:r>
      <w:r>
        <w:tab/>
        <w:t>Functions</w:t>
      </w:r>
      <w:r>
        <w:tab/>
      </w:r>
      <w:r>
        <w:fldChar w:fldCharType="begin"/>
      </w:r>
      <w:r>
        <w:instrText xml:space="preserve"> PAGEREF _Toc426632317 \h </w:instrText>
      </w:r>
      <w:r>
        <w:fldChar w:fldCharType="separate"/>
      </w:r>
      <w:r>
        <w:t>2</w:t>
      </w:r>
      <w:r>
        <w:fldChar w:fldCharType="end"/>
      </w:r>
    </w:p>
    <w:p>
      <w:pPr>
        <w:pStyle w:val="TOC8"/>
        <w:rPr>
          <w:rFonts w:asciiTheme="minorHAnsi" w:eastAsiaTheme="minorEastAsia" w:hAnsiTheme="minorHAnsi" w:cstheme="minorBidi"/>
          <w:szCs w:val="22"/>
        </w:rPr>
      </w:pPr>
      <w:r>
        <w:t>6A.</w:t>
      </w:r>
      <w:r>
        <w:tab/>
        <w:t>Minister may give directions</w:t>
      </w:r>
      <w:r>
        <w:tab/>
      </w:r>
      <w:r>
        <w:fldChar w:fldCharType="begin"/>
      </w:r>
      <w:r>
        <w:instrText xml:space="preserve"> PAGEREF _Toc426632318 \h </w:instrText>
      </w:r>
      <w:r>
        <w:fldChar w:fldCharType="separate"/>
      </w:r>
      <w:r>
        <w:t>3</w:t>
      </w:r>
      <w:r>
        <w:fldChar w:fldCharType="end"/>
      </w:r>
    </w:p>
    <w:p>
      <w:pPr>
        <w:pStyle w:val="TOC8"/>
        <w:rPr>
          <w:rFonts w:asciiTheme="minorHAnsi" w:eastAsiaTheme="minorEastAsia" w:hAnsiTheme="minorHAnsi" w:cstheme="minorBidi"/>
          <w:szCs w:val="22"/>
        </w:rPr>
      </w:pPr>
      <w:r>
        <w:t>6.</w:t>
      </w:r>
      <w:r>
        <w:tab/>
        <w:t>Membership</w:t>
      </w:r>
      <w:r>
        <w:tab/>
      </w:r>
      <w:r>
        <w:fldChar w:fldCharType="begin"/>
      </w:r>
      <w:r>
        <w:instrText xml:space="preserve"> PAGEREF _Toc426632319 \h </w:instrText>
      </w:r>
      <w:r>
        <w:fldChar w:fldCharType="separate"/>
      </w:r>
      <w:r>
        <w:t>3</w:t>
      </w:r>
      <w:r>
        <w:fldChar w:fldCharType="end"/>
      </w:r>
    </w:p>
    <w:p>
      <w:pPr>
        <w:pStyle w:val="TOC8"/>
        <w:rPr>
          <w:rFonts w:asciiTheme="minorHAnsi" w:eastAsiaTheme="minorEastAsia" w:hAnsiTheme="minorHAnsi" w:cstheme="minorBidi"/>
          <w:szCs w:val="22"/>
        </w:rPr>
      </w:pPr>
      <w:r>
        <w:t>7.</w:t>
      </w:r>
      <w:r>
        <w:tab/>
        <w:t>Deputy of member</w:t>
      </w:r>
      <w:r>
        <w:tab/>
      </w:r>
      <w:r>
        <w:fldChar w:fldCharType="begin"/>
      </w:r>
      <w:r>
        <w:instrText xml:space="preserve"> PAGEREF _Toc426632320 \h </w:instrText>
      </w:r>
      <w:r>
        <w:fldChar w:fldCharType="separate"/>
      </w:r>
      <w:r>
        <w:t>6</w:t>
      </w:r>
      <w:r>
        <w:fldChar w:fldCharType="end"/>
      </w:r>
    </w:p>
    <w:p>
      <w:pPr>
        <w:pStyle w:val="TOC8"/>
        <w:rPr>
          <w:rFonts w:asciiTheme="minorHAnsi" w:eastAsiaTheme="minorEastAsia" w:hAnsiTheme="minorHAnsi" w:cstheme="minorBidi"/>
          <w:szCs w:val="22"/>
        </w:rPr>
      </w:pPr>
      <w:r>
        <w:t>8.</w:t>
      </w:r>
      <w:r>
        <w:tab/>
        <w:t>Nomination for appointment</w:t>
      </w:r>
      <w:r>
        <w:tab/>
      </w:r>
      <w:r>
        <w:fldChar w:fldCharType="begin"/>
      </w:r>
      <w:r>
        <w:instrText xml:space="preserve"> PAGEREF _Toc426632321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appointment as member or deputy</w:t>
      </w:r>
      <w:r>
        <w:tab/>
      </w:r>
      <w:r>
        <w:fldChar w:fldCharType="begin"/>
      </w:r>
      <w:r>
        <w:instrText xml:space="preserve"> PAGEREF _Toc426632322 \h </w:instrText>
      </w:r>
      <w:r>
        <w:fldChar w:fldCharType="separate"/>
      </w:r>
      <w:r>
        <w:t>7</w:t>
      </w:r>
      <w:r>
        <w:fldChar w:fldCharType="end"/>
      </w:r>
    </w:p>
    <w:p>
      <w:pPr>
        <w:pStyle w:val="TOC8"/>
        <w:rPr>
          <w:rFonts w:asciiTheme="minorHAnsi" w:eastAsiaTheme="minorEastAsia" w:hAnsiTheme="minorHAnsi" w:cstheme="minorBidi"/>
          <w:szCs w:val="22"/>
        </w:rPr>
      </w:pPr>
      <w:r>
        <w:t>10.</w:t>
      </w:r>
      <w:r>
        <w:tab/>
        <w:t>Remuneration and allowances</w:t>
      </w:r>
      <w:r>
        <w:tab/>
      </w:r>
      <w:r>
        <w:fldChar w:fldCharType="begin"/>
      </w:r>
      <w:r>
        <w:instrText xml:space="preserve"> PAGEREF _Toc426632323 \h </w:instrText>
      </w:r>
      <w:r>
        <w:fldChar w:fldCharType="separate"/>
      </w:r>
      <w:r>
        <w:t>8</w:t>
      </w:r>
      <w:r>
        <w:fldChar w:fldCharType="end"/>
      </w:r>
    </w:p>
    <w:p>
      <w:pPr>
        <w:pStyle w:val="TOC8"/>
        <w:rPr>
          <w:rFonts w:asciiTheme="minorHAnsi" w:eastAsiaTheme="minorEastAsia" w:hAnsiTheme="minorHAnsi" w:cstheme="minorBidi"/>
          <w:szCs w:val="22"/>
        </w:rPr>
      </w:pPr>
      <w:r>
        <w:t>11.</w:t>
      </w:r>
      <w:r>
        <w:tab/>
        <w:t>Meetings</w:t>
      </w:r>
      <w:r>
        <w:tab/>
      </w:r>
      <w:r>
        <w:fldChar w:fldCharType="begin"/>
      </w:r>
      <w:r>
        <w:instrText xml:space="preserve"> PAGEREF _Toc426632324 \h </w:instrText>
      </w:r>
      <w:r>
        <w:fldChar w:fldCharType="separate"/>
      </w:r>
      <w:r>
        <w:t>8</w:t>
      </w:r>
      <w:r>
        <w:fldChar w:fldCharType="end"/>
      </w:r>
    </w:p>
    <w:p>
      <w:pPr>
        <w:pStyle w:val="TOC8"/>
        <w:rPr>
          <w:rFonts w:asciiTheme="minorHAnsi" w:eastAsiaTheme="minorEastAsia" w:hAnsiTheme="minorHAnsi" w:cstheme="minorBidi"/>
          <w:szCs w:val="22"/>
        </w:rPr>
      </w:pPr>
      <w:r>
        <w:t>12.</w:t>
      </w:r>
      <w:r>
        <w:tab/>
        <w:t>Road Trauma Trust Account</w:t>
      </w:r>
      <w:r>
        <w:tab/>
      </w:r>
      <w:r>
        <w:fldChar w:fldCharType="begin"/>
      </w:r>
      <w:r>
        <w:instrText xml:space="preserve"> PAGEREF _Toc426632325 \h </w:instrText>
      </w:r>
      <w:r>
        <w:fldChar w:fldCharType="separate"/>
      </w:r>
      <w:r>
        <w:t>8</w:t>
      </w:r>
      <w:r>
        <w:fldChar w:fldCharType="end"/>
      </w:r>
    </w:p>
    <w:p>
      <w:pPr>
        <w:pStyle w:val="TOC8"/>
        <w:rPr>
          <w:rFonts w:asciiTheme="minorHAnsi" w:eastAsiaTheme="minorEastAsia" w:hAnsiTheme="minorHAnsi" w:cstheme="minorBidi"/>
          <w:szCs w:val="22"/>
        </w:rPr>
      </w:pPr>
      <w:r>
        <w:t>13.</w:t>
      </w:r>
      <w:r>
        <w:tab/>
        <w:t>Annual report</w:t>
      </w:r>
      <w:r>
        <w:tab/>
      </w:r>
      <w:r>
        <w:fldChar w:fldCharType="begin"/>
      </w:r>
      <w:r>
        <w:instrText xml:space="preserve"> PAGEREF _Toc426632326 \h </w:instrText>
      </w:r>
      <w:r>
        <w:fldChar w:fldCharType="separate"/>
      </w:r>
      <w:r>
        <w:t>10</w:t>
      </w:r>
      <w:r>
        <w:fldChar w:fldCharType="end"/>
      </w:r>
    </w:p>
    <w:p>
      <w:pPr>
        <w:pStyle w:val="TOC8"/>
        <w:rPr>
          <w:rFonts w:asciiTheme="minorHAnsi" w:eastAsiaTheme="minorEastAsia" w:hAnsiTheme="minorHAnsi" w:cstheme="minorBidi"/>
          <w:szCs w:val="22"/>
        </w:rPr>
      </w:pPr>
      <w:r>
        <w:t>14.</w:t>
      </w:r>
      <w:r>
        <w:tab/>
        <w:t>Protection from liability for wrongdoing</w:t>
      </w:r>
      <w:r>
        <w:tab/>
      </w:r>
      <w:r>
        <w:fldChar w:fldCharType="begin"/>
      </w:r>
      <w:r>
        <w:instrText xml:space="preserve"> PAGEREF _Toc426632327 \h </w:instrText>
      </w:r>
      <w:r>
        <w:fldChar w:fldCharType="separate"/>
      </w:r>
      <w:r>
        <w:t>11</w:t>
      </w:r>
      <w:r>
        <w:fldChar w:fldCharType="end"/>
      </w:r>
    </w:p>
    <w:p>
      <w:pPr>
        <w:pStyle w:val="TOC8"/>
        <w:rPr>
          <w:rFonts w:asciiTheme="minorHAnsi" w:eastAsiaTheme="minorEastAsia" w:hAnsiTheme="minorHAnsi" w:cstheme="minorBidi"/>
          <w:szCs w:val="22"/>
        </w:rPr>
      </w:pPr>
      <w:r>
        <w:t>15.</w:t>
      </w:r>
      <w:r>
        <w:tab/>
        <w:t>Supplementary provision about laying directions before Parliament</w:t>
      </w:r>
      <w:r>
        <w:tab/>
      </w:r>
      <w:r>
        <w:fldChar w:fldCharType="begin"/>
      </w:r>
      <w:r>
        <w:instrText xml:space="preserve"> PAGEREF _Toc426632328 \h </w:instrText>
      </w:r>
      <w:r>
        <w:fldChar w:fldCharType="separate"/>
      </w:r>
      <w:r>
        <w:t>11</w:t>
      </w:r>
      <w:r>
        <w:fldChar w:fldCharType="end"/>
      </w:r>
    </w:p>
    <w:p>
      <w:pPr>
        <w:pStyle w:val="TOC8"/>
        <w:rPr>
          <w:rFonts w:asciiTheme="minorHAnsi" w:eastAsiaTheme="minorEastAsia" w:hAnsiTheme="minorHAnsi" w:cstheme="minorBidi"/>
          <w:szCs w:val="22"/>
        </w:rPr>
      </w:pPr>
      <w:r>
        <w:t>16.</w:t>
      </w:r>
      <w:r>
        <w:tab/>
        <w:t>Transitional provision: credits of prescribed penalties to Account</w:t>
      </w:r>
      <w:r>
        <w:tab/>
      </w:r>
      <w:r>
        <w:fldChar w:fldCharType="begin"/>
      </w:r>
      <w:r>
        <w:instrText xml:space="preserve"> PAGEREF _Toc426632329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_Toc426632331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2015</w:t>
            </w:r>
          </w:p>
        </w:tc>
      </w:tr>
    </w:tbl>
    <w:p>
      <w:pPr>
        <w:pStyle w:val="WA"/>
        <w:spacing w:before="12"/>
      </w:pPr>
      <w:r>
        <w:t>Western Australia</w:t>
      </w:r>
    </w:p>
    <w:p>
      <w:pPr>
        <w:pStyle w:val="NameofActReg"/>
        <w:suppressLineNumbers/>
      </w:pPr>
      <w:r>
        <w:t>Road Safety Council Act 2002</w:t>
      </w:r>
    </w:p>
    <w:p>
      <w:pPr>
        <w:pStyle w:val="LongTitle"/>
        <w:suppressLineNumbers/>
        <w:spacing w:before="240"/>
      </w:pPr>
      <w:r>
        <w:rPr>
          <w:snapToGrid w:val="0"/>
        </w:rPr>
        <w:t>An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3" w:name="_Toc377393570"/>
      <w:bookmarkStart w:id="4" w:name="_Toc42663231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5" w:name="_Toc377393571"/>
      <w:bookmarkStart w:id="6" w:name="_Toc426632314"/>
      <w:r>
        <w:rPr>
          <w:rStyle w:val="CharSectno"/>
        </w:rPr>
        <w:t>2</w:t>
      </w:r>
      <w:r>
        <w:rPr>
          <w:snapToGrid w:val="0"/>
        </w:rPr>
        <w:t>.</w:t>
      </w:r>
      <w:r>
        <w:rPr>
          <w:snapToGrid w:val="0"/>
        </w:rPr>
        <w:tab/>
        <w:t>Commencement</w:t>
      </w:r>
      <w:bookmarkEnd w:id="5"/>
      <w:bookmarkEnd w:id="6"/>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7" w:name="_Toc377393572"/>
      <w:bookmarkStart w:id="8" w:name="_Toc426632315"/>
      <w:r>
        <w:rPr>
          <w:rStyle w:val="CharSectno"/>
        </w:rPr>
        <w:t>3</w:t>
      </w:r>
      <w:r>
        <w:t>.</w:t>
      </w:r>
      <w:r>
        <w:tab/>
        <w:t>Terms used</w:t>
      </w:r>
      <w:bookmarkEnd w:id="7"/>
      <w:bookmarkEnd w:id="8"/>
    </w:p>
    <w:p>
      <w:pPr>
        <w:pStyle w:val="Subsection"/>
      </w:pPr>
      <w:r>
        <w:tab/>
      </w:r>
      <w:r>
        <w:tab/>
        <w:t xml:space="preserve">In this Act, unless the contrary intention appears — </w:t>
      </w:r>
    </w:p>
    <w:p>
      <w:pPr>
        <w:pStyle w:val="Defstart"/>
      </w:pPr>
      <w:r>
        <w:tab/>
      </w:r>
      <w:r>
        <w:rPr>
          <w:rStyle w:val="CharDefText"/>
        </w:rPr>
        <w:t>Account</w:t>
      </w:r>
      <w:r>
        <w:t xml:space="preserve"> means the account called the “Road Trauma Trust Account” that is referred to in section 12;</w:t>
      </w:r>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p>
    <w:p>
      <w:pPr>
        <w:pStyle w:val="Footnotesection"/>
      </w:pPr>
      <w:r>
        <w:tab/>
        <w:t>[Section 3 amended by No. 77 of 2006 Sch. 1 cl. 151(1); No. 8 of 2012 s. 171.]</w:t>
      </w:r>
    </w:p>
    <w:p>
      <w:pPr>
        <w:pStyle w:val="Heading5"/>
      </w:pPr>
      <w:bookmarkStart w:id="9" w:name="_Toc377393573"/>
      <w:bookmarkStart w:id="10" w:name="_Toc426632316"/>
      <w:r>
        <w:rPr>
          <w:rStyle w:val="CharSectno"/>
        </w:rPr>
        <w:t>4</w:t>
      </w:r>
      <w:r>
        <w:t>.</w:t>
      </w:r>
      <w:r>
        <w:tab/>
        <w:t>Establishment</w:t>
      </w:r>
      <w:bookmarkEnd w:id="9"/>
      <w:bookmarkEnd w:id="10"/>
    </w:p>
    <w:p>
      <w:pPr>
        <w:pStyle w:val="Subsection"/>
      </w:pPr>
      <w:r>
        <w:tab/>
      </w:r>
      <w:r>
        <w:tab/>
        <w:t>There is to be a body called the Road Safety Council.</w:t>
      </w:r>
    </w:p>
    <w:p>
      <w:pPr>
        <w:pStyle w:val="Heading5"/>
      </w:pPr>
      <w:bookmarkStart w:id="11" w:name="_Toc377393574"/>
      <w:bookmarkStart w:id="12" w:name="_Toc426632317"/>
      <w:r>
        <w:rPr>
          <w:rStyle w:val="CharSectno"/>
        </w:rPr>
        <w:t>5</w:t>
      </w:r>
      <w:r>
        <w:t>.</w:t>
      </w:r>
      <w:r>
        <w:tab/>
        <w:t>Functions</w:t>
      </w:r>
      <w:bookmarkEnd w:id="11"/>
      <w:bookmarkEnd w:id="12"/>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13" w:name="_Toc377393575"/>
      <w:bookmarkStart w:id="14" w:name="_Toc426632318"/>
      <w:r>
        <w:rPr>
          <w:rStyle w:val="CharSectno"/>
        </w:rPr>
        <w:t>6A</w:t>
      </w:r>
      <w:r>
        <w:t>.</w:t>
      </w:r>
      <w:r>
        <w:tab/>
        <w:t>Minister may give directions</w:t>
      </w:r>
      <w:bookmarkEnd w:id="13"/>
      <w:bookmarkEnd w:id="14"/>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15" w:name="_Toc377393576"/>
      <w:bookmarkStart w:id="16" w:name="_Toc426632319"/>
      <w:r>
        <w:rPr>
          <w:rStyle w:val="CharSectno"/>
        </w:rPr>
        <w:t>6</w:t>
      </w:r>
      <w:r>
        <w:t>.</w:t>
      </w:r>
      <w:r>
        <w:tab/>
        <w:t>Membership</w:t>
      </w:r>
      <w:bookmarkEnd w:id="15"/>
      <w:bookmarkEnd w:id="16"/>
    </w:p>
    <w:p>
      <w:pPr>
        <w:pStyle w:val="Subsection"/>
      </w:pPr>
      <w:r>
        <w:tab/>
        <w:t>(1)</w:t>
      </w:r>
      <w:r>
        <w:tab/>
        <w:t xml:space="preserve">The Council is to consist of 12 members appointed by the Minister, being — </w:t>
      </w:r>
    </w:p>
    <w:p>
      <w:pPr>
        <w:pStyle w:val="Indenta"/>
      </w:pPr>
      <w:r>
        <w:tab/>
        <w:t>(a)</w:t>
      </w:r>
      <w:r>
        <w:tab/>
        <w:t>a person to be the chairman of the Council; and</w:t>
      </w:r>
    </w:p>
    <w:p>
      <w:pPr>
        <w:pStyle w:val="Indenta"/>
      </w:pPr>
      <w:r>
        <w:tab/>
        <w:t>(b)</w:t>
      </w:r>
      <w:r>
        <w:tab/>
        <w:t>a person to represent users of roads; and</w:t>
      </w:r>
    </w:p>
    <w:p>
      <w:pPr>
        <w:pStyle w:val="Indenta"/>
      </w:pPr>
      <w:r>
        <w:tab/>
        <w:t>(c)</w:t>
      </w:r>
      <w:r>
        <w:tab/>
        <w:t>a person to represent local government, nominated by the Western Australian Local Government Association; and</w:t>
      </w:r>
    </w:p>
    <w:p>
      <w:pPr>
        <w:pStyle w:val="Indenta"/>
      </w:pPr>
      <w:r>
        <w:tab/>
        <w:t>(d)</w:t>
      </w:r>
      <w:r>
        <w:tab/>
        <w:t>a person employed in the department of the Public Service principally assisting the Minister in the administration of this Act whose duties relate to road safety; and</w:t>
      </w:r>
    </w:p>
    <w:p>
      <w:pPr>
        <w:pStyle w:val="Indenta"/>
      </w:pPr>
      <w:r>
        <w:tab/>
        <w:t>(e)</w:t>
      </w:r>
      <w:r>
        <w:tab/>
        <w:t xml:space="preserve">a person nominated under subsection (2) by the Minister administering the </w:t>
      </w:r>
      <w:r>
        <w:rPr>
          <w:i/>
          <w:iCs/>
        </w:rPr>
        <w:t>Road Traffic (Administration) Act 2008</w:t>
      </w:r>
      <w:r>
        <w:t>; and</w:t>
      </w:r>
    </w:p>
    <w:p>
      <w:pPr>
        <w:pStyle w:val="Indenta"/>
      </w:pPr>
      <w:r>
        <w:tab/>
        <w:t>(f)</w:t>
      </w:r>
      <w:r>
        <w:tab/>
        <w:t xml:space="preserve">a person nominated under subsection (3) by the Minister administering the </w:t>
      </w:r>
      <w:r>
        <w:rPr>
          <w:i/>
        </w:rPr>
        <w:t>Police Act 1892</w:t>
      </w:r>
      <w:r>
        <w:t>; and</w:t>
      </w:r>
    </w:p>
    <w:p>
      <w:pPr>
        <w:pStyle w:val="Indenta"/>
      </w:pPr>
      <w:r>
        <w:tab/>
        <w:t>(g)</w:t>
      </w:r>
      <w:r>
        <w:tab/>
        <w:t xml:space="preserve">a person nominated under subsection (4) by the Minister administering the </w:t>
      </w:r>
      <w:r>
        <w:rPr>
          <w:i/>
        </w:rPr>
        <w:t>School Education Act 1999</w:t>
      </w:r>
      <w:r>
        <w:t>; and</w:t>
      </w:r>
    </w:p>
    <w:p>
      <w:pPr>
        <w:pStyle w:val="Indenta"/>
      </w:pPr>
      <w:r>
        <w:tab/>
        <w:t>(h)</w:t>
      </w:r>
      <w:r>
        <w:tab/>
        <w:t xml:space="preserve">a person nominated under subsection (4) by the Minister administering the </w:t>
      </w:r>
      <w:r>
        <w:rPr>
          <w:i/>
        </w:rPr>
        <w:t>Health Act 1911</w:t>
      </w:r>
      <w:r>
        <w:t>; and</w:t>
      </w:r>
    </w:p>
    <w:p>
      <w:pPr>
        <w:pStyle w:val="Indenta"/>
      </w:pPr>
      <w:r>
        <w:tab/>
        <w:t>(i)</w:t>
      </w:r>
      <w:r>
        <w:tab/>
        <w:t xml:space="preserve">a person nominated under subsection (4) by the Minister administering the </w:t>
      </w:r>
      <w:r>
        <w:rPr>
          <w:i/>
        </w:rPr>
        <w:t>Main Roads Act 1930</w:t>
      </w:r>
      <w:r>
        <w:t>; and</w:t>
      </w:r>
    </w:p>
    <w:p>
      <w:pPr>
        <w:pStyle w:val="Indenta"/>
      </w:pPr>
      <w:r>
        <w:tab/>
        <w:t>(j)</w:t>
      </w:r>
      <w:r>
        <w:tab/>
        <w:t xml:space="preserve">a person nominated under subsection (5) by the Minister administering the </w:t>
      </w:r>
      <w:r>
        <w:rPr>
          <w:i/>
        </w:rPr>
        <w:t>Transport Co</w:t>
      </w:r>
      <w:r>
        <w:rPr>
          <w:i/>
        </w:rPr>
        <w:noBreakHyphen/>
        <w:t>ordination Act 1966</w:t>
      </w:r>
      <w:r>
        <w:t>; and</w:t>
      </w:r>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17" w:name="_Toc377393577"/>
      <w:bookmarkStart w:id="18" w:name="_Toc426632320"/>
      <w:r>
        <w:rPr>
          <w:rStyle w:val="CharSectno"/>
        </w:rPr>
        <w:t>7</w:t>
      </w:r>
      <w:r>
        <w:t>.</w:t>
      </w:r>
      <w:r>
        <w:tab/>
        <w:t>Deputy of member</w:t>
      </w:r>
      <w:bookmarkEnd w:id="17"/>
      <w:bookmarkEnd w:id="18"/>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19" w:name="_Toc377393578"/>
      <w:bookmarkStart w:id="20" w:name="_Toc426632321"/>
      <w:r>
        <w:rPr>
          <w:rStyle w:val="CharSectno"/>
        </w:rPr>
        <w:t>8</w:t>
      </w:r>
      <w:r>
        <w:t>.</w:t>
      </w:r>
      <w:r>
        <w:tab/>
        <w:t>Nomination for appointment</w:t>
      </w:r>
      <w:bookmarkEnd w:id="19"/>
      <w:bookmarkEnd w:id="20"/>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21" w:name="_Toc377393579"/>
      <w:bookmarkStart w:id="22" w:name="_Toc426632322"/>
      <w:r>
        <w:rPr>
          <w:rStyle w:val="CharSectno"/>
        </w:rPr>
        <w:t>9</w:t>
      </w:r>
      <w:r>
        <w:t>.</w:t>
      </w:r>
      <w:r>
        <w:tab/>
        <w:t>Duration of appointment as member or deputy</w:t>
      </w:r>
      <w:bookmarkEnd w:id="21"/>
      <w:bookmarkEnd w:id="22"/>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23" w:name="_Toc377393580"/>
      <w:bookmarkStart w:id="24" w:name="_Toc426632323"/>
      <w:r>
        <w:rPr>
          <w:rStyle w:val="CharSectno"/>
        </w:rPr>
        <w:t>10</w:t>
      </w:r>
      <w:r>
        <w:t>.</w:t>
      </w:r>
      <w:r>
        <w:tab/>
        <w:t>Remuneration and allowances</w:t>
      </w:r>
      <w:bookmarkEnd w:id="23"/>
      <w:bookmarkEnd w:id="24"/>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25" w:name="_Toc377393581"/>
      <w:bookmarkStart w:id="26" w:name="_Toc426632324"/>
      <w:r>
        <w:rPr>
          <w:rStyle w:val="CharSectno"/>
        </w:rPr>
        <w:t>11</w:t>
      </w:r>
      <w:r>
        <w:t>.</w:t>
      </w:r>
      <w:r>
        <w:tab/>
        <w:t>Meetings</w:t>
      </w:r>
      <w:bookmarkEnd w:id="25"/>
      <w:bookmarkEnd w:id="26"/>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27" w:name="_Toc377393582"/>
      <w:bookmarkStart w:id="28" w:name="_Toc426632325"/>
      <w:r>
        <w:rPr>
          <w:rStyle w:val="CharSectno"/>
        </w:rPr>
        <w:t>12</w:t>
      </w:r>
      <w:r>
        <w:t>.</w:t>
      </w:r>
      <w:r>
        <w:tab/>
        <w:t>Road Trauma Trust Account</w:t>
      </w:r>
      <w:bookmarkEnd w:id="27"/>
      <w:bookmarkEnd w:id="28"/>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29" w:name="_Toc377393583"/>
      <w:bookmarkStart w:id="30" w:name="_Toc426632326"/>
      <w:r>
        <w:rPr>
          <w:rStyle w:val="CharSectno"/>
        </w:rPr>
        <w:t>13</w:t>
      </w:r>
      <w:r>
        <w:t>.</w:t>
      </w:r>
      <w:r>
        <w:tab/>
        <w:t>Annual report</w:t>
      </w:r>
      <w:bookmarkEnd w:id="29"/>
      <w:bookmarkEnd w:id="30"/>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31" w:name="_Toc377393584"/>
      <w:bookmarkStart w:id="32" w:name="_Toc426632327"/>
      <w:r>
        <w:rPr>
          <w:rStyle w:val="CharSectno"/>
        </w:rPr>
        <w:t>14</w:t>
      </w:r>
      <w:r>
        <w:t>.</w:t>
      </w:r>
      <w:r>
        <w:tab/>
        <w:t>Protection from liability for wrongdoing</w:t>
      </w:r>
      <w:bookmarkEnd w:id="31"/>
      <w:bookmarkEnd w:id="3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33" w:name="_Toc377393585"/>
      <w:bookmarkStart w:id="34" w:name="_Toc426632328"/>
      <w:r>
        <w:rPr>
          <w:rStyle w:val="CharSectno"/>
        </w:rPr>
        <w:t>15</w:t>
      </w:r>
      <w:r>
        <w:t>.</w:t>
      </w:r>
      <w:r>
        <w:tab/>
        <w:t>Supplementary provision about laying directions before Parliament</w:t>
      </w:r>
      <w:bookmarkEnd w:id="33"/>
      <w:bookmarkEnd w:id="34"/>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35" w:name="_Toc377393586"/>
      <w:bookmarkStart w:id="36" w:name="_Toc426632329"/>
      <w:r>
        <w:rPr>
          <w:rStyle w:val="CharSectno"/>
        </w:rPr>
        <w:t>16</w:t>
      </w:r>
      <w:r>
        <w:t>.</w:t>
      </w:r>
      <w:r>
        <w:tab/>
        <w:t>Transitional provision: credits of prescribed penalties to Account</w:t>
      </w:r>
      <w:bookmarkEnd w:id="35"/>
      <w:bookmarkEnd w:id="3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23"/>
          <w:headerReference w:type="default" r:id="rId24"/>
          <w:headerReference w:type="first" r:id="rId25"/>
          <w:pgSz w:w="11907" w:h="16840" w:code="9"/>
          <w:pgMar w:top="2381" w:right="2410" w:bottom="3544" w:left="2410" w:header="720" w:footer="3380" w:gutter="0"/>
          <w:pgNumType w:start="1"/>
          <w:cols w:space="720"/>
          <w:titlePg/>
          <w:docGrid w:linePitch="326"/>
        </w:sectPr>
      </w:pPr>
    </w:p>
    <w:p>
      <w:pPr>
        <w:pStyle w:val="nHeading2"/>
      </w:pPr>
      <w:bookmarkStart w:id="37" w:name="_Toc377393587"/>
      <w:bookmarkStart w:id="38" w:name="_Toc416962644"/>
      <w:bookmarkStart w:id="39" w:name="_Toc416962665"/>
      <w:bookmarkStart w:id="40" w:name="_Toc422835839"/>
      <w:bookmarkStart w:id="41" w:name="_Toc424554542"/>
      <w:bookmarkStart w:id="42" w:name="_Toc426632330"/>
      <w:r>
        <w:t>Notes</w:t>
      </w:r>
      <w:bookmarkEnd w:id="37"/>
      <w:bookmarkEnd w:id="38"/>
      <w:bookmarkEnd w:id="39"/>
      <w:bookmarkEnd w:id="40"/>
      <w:bookmarkEnd w:id="41"/>
      <w:bookmarkEnd w:id="42"/>
    </w:p>
    <w:p>
      <w:pPr>
        <w:pStyle w:val="nSubsection"/>
      </w:pPr>
      <w:r>
        <w:rPr>
          <w:vertAlign w:val="superscript"/>
        </w:rPr>
        <w:t>1</w:t>
      </w:r>
      <w:r>
        <w:tab/>
        <w:t xml:space="preserve">This reprint is a compilation as at 17 July 2015 of the </w:t>
      </w:r>
      <w:r>
        <w:rPr>
          <w:i/>
        </w:rPr>
        <w:t xml:space="preserve">Road Safety Council Act 2002 </w:t>
      </w:r>
      <w:r>
        <w:t>and includes the amendments made by the other written laws referred to in the following table.  The table also contains information about any reprint.</w:t>
      </w:r>
    </w:p>
    <w:p>
      <w:pPr>
        <w:pStyle w:val="nHeading3"/>
        <w:rPr>
          <w:snapToGrid w:val="0"/>
        </w:rPr>
      </w:pPr>
      <w:bookmarkStart w:id="43" w:name="_Toc426632331"/>
      <w:r>
        <w:rPr>
          <w:snapToGrid w:val="0"/>
        </w:rP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1"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1" w:type="dxa"/>
          </w:tcPr>
          <w:p>
            <w:pPr>
              <w:pStyle w:val="nTable"/>
              <w:spacing w:after="40"/>
            </w:pPr>
            <w:r>
              <w:rPr>
                <w:snapToGrid w:val="0"/>
              </w:rPr>
              <w:t xml:space="preserve">1 Jan 2010 (see s. 2(1)(b) and  (2) and </w:t>
            </w:r>
            <w:r>
              <w:rPr>
                <w:i/>
                <w:iCs/>
                <w:snapToGrid w:val="0"/>
              </w:rPr>
              <w:t>Gazette</w:t>
            </w:r>
            <w:r>
              <w:rPr>
                <w:snapToGrid w:val="0"/>
              </w:rPr>
              <w:t xml:space="preserve"> 31 Dec 2009 p. 5421)</w:t>
            </w:r>
          </w:p>
        </w:tc>
      </w:tr>
      <w:tr>
        <w:trPr>
          <w:cantSplit/>
        </w:trPr>
        <w:tc>
          <w:tcPr>
            <w:tcW w:w="7094"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1" w:type="dxa"/>
          </w:tcPr>
          <w:p>
            <w:pPr>
              <w:pStyle w:val="nTable"/>
              <w:spacing w:after="40"/>
            </w:pPr>
            <w:r>
              <w:rPr>
                <w:snapToGrid w:val="0"/>
              </w:rPr>
              <w:t>s. 1 and 2: 16</w:t>
            </w:r>
            <w:r>
              <w:t xml:space="preserve"> Aug 2011 (see 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94"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45" w:name="_Toc416962668"/>
      <w:bookmarkStart w:id="46" w:name="_Toc422835841"/>
      <w:bookmarkStart w:id="47" w:name="_Toc424554544"/>
      <w:bookmarkStart w:id="48" w:name="_Toc426632332"/>
      <w:r>
        <w:rPr>
          <w:sz w:val="28"/>
        </w:rPr>
        <w:t>Defined terms</w:t>
      </w:r>
      <w:bookmarkEnd w:id="45"/>
      <w:bookmarkEnd w:id="46"/>
      <w:bookmarkEnd w:id="47"/>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commencement day</w:t>
      </w:r>
      <w:r>
        <w:tab/>
        <w:t>16(1)</w:t>
      </w:r>
    </w:p>
    <w:p>
      <w:pPr>
        <w:pStyle w:val="DefinedTerms"/>
      </w:pPr>
      <w:r>
        <w:t>Council</w:t>
      </w:r>
      <w:r>
        <w:tab/>
        <w:t>3</w:t>
      </w:r>
    </w:p>
    <w:p>
      <w:pPr>
        <w:pStyle w:val="DefinedTerms"/>
      </w:pPr>
      <w:r>
        <w:t>former section 12(2)(a)</w:t>
      </w:r>
      <w:r>
        <w:tab/>
        <w:t>16(1)</w:t>
      </w:r>
    </w:p>
    <w:p>
      <w:pPr>
        <w:pStyle w:val="DefinedTerms"/>
      </w:pPr>
      <w:r>
        <w:t>officer</w:t>
      </w:r>
      <w:r>
        <w:tab/>
        <w:t>3</w:t>
      </w:r>
    </w:p>
    <w:p>
      <w:pPr>
        <w:pStyle w:val="DefinedTerms"/>
      </w:pPr>
      <w:r>
        <w:t>photograph</w:t>
      </w:r>
      <w:r>
        <w:noBreakHyphen/>
        <w:t>based vehicle infringement notice</w:t>
      </w:r>
      <w:r>
        <w:tab/>
        <w:t>12(3)</w:t>
      </w:r>
    </w:p>
    <w:p>
      <w:pPr>
        <w:pStyle w:val="DefinedTerms"/>
      </w:pPr>
      <w:r>
        <w:t>prescribed penalty</w:t>
      </w:r>
      <w:r>
        <w:tab/>
        <w:t>12(3)</w:t>
      </w:r>
    </w:p>
    <w:p>
      <w:pPr>
        <w:pStyle w:val="DefinedTerms"/>
      </w:pPr>
      <w:r>
        <w:t>prescribed period</w:t>
      </w:r>
      <w:r>
        <w:tab/>
        <w:t>12(3)</w:t>
      </w:r>
    </w:p>
    <w:p>
      <w:pPr>
        <w:pStyle w:val="DefinedTerms"/>
      </w:pPr>
      <w:r>
        <w:t>public officer</w:t>
      </w:r>
      <w:r>
        <w:tab/>
        <w:t>3</w:t>
      </w:r>
    </w:p>
    <w:p>
      <w:pPr>
        <w:pStyle w:val="DefinedTerms"/>
      </w:pPr>
      <w:r>
        <w:t>road</w:t>
      </w:r>
      <w:r>
        <w:tab/>
        <w:t>3</w:t>
      </w:r>
    </w:p>
    <w:p>
      <w:pPr>
        <w:pStyle w:val="DefinedTerms"/>
      </w:pPr>
      <w:r>
        <w:t>traffic infringement notice</w:t>
      </w:r>
      <w:r>
        <w:tab/>
        <w:t>12(4)</w:t>
      </w:r>
    </w:p>
    <w:p>
      <w:pPr>
        <w:rPr>
          <w:sz w:val="20"/>
        </w:rPr>
      </w:pPr>
    </w:p>
    <w:p>
      <w:pPr>
        <w:rPr>
          <w:sz w:val="20"/>
        </w:r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4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3565</Words>
  <Characters>16865</Characters>
  <Application>Microsoft Office Word</Application>
  <DocSecurity>0</DocSecurity>
  <Lines>527</Lines>
  <Paragraphs>304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2002 - 02-a0-01</dc:title>
  <dc:subject/>
  <dc:creator/>
  <cp:keywords/>
  <dc:description/>
  <cp:lastModifiedBy>svcMRProcess</cp:lastModifiedBy>
  <cp:revision>4</cp:revision>
  <cp:lastPrinted>2015-07-13T04:52:00Z</cp:lastPrinted>
  <dcterms:created xsi:type="dcterms:W3CDTF">2015-11-12T01:37:00Z</dcterms:created>
  <dcterms:modified xsi:type="dcterms:W3CDTF">2015-11-12T01:37:00Z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20150717</vt:lpwstr>
  </property>
  <property fmtid="{D5CDD505-2E9C-101B-9397-08002B2CF9AE}" pid="4" name="DocumentType">
    <vt:lpwstr>Act</vt:lpwstr>
  </property>
  <property fmtid="{D5CDD505-2E9C-101B-9397-08002B2CF9AE}" pid="5" name="OwlsUID">
    <vt:i4>2112</vt:i4>
  </property>
  <property fmtid="{D5CDD505-2E9C-101B-9397-08002B2CF9AE}" pid="6" name="ReprintedAsAt">
    <vt:filetime>2015-07-16T16:00:00Z</vt:filetime>
  </property>
  <property fmtid="{D5CDD505-2E9C-101B-9397-08002B2CF9AE}" pid="7" name="ReprintNo">
    <vt:lpwstr>2</vt:lpwstr>
  </property>
  <property fmtid="{D5CDD505-2E9C-101B-9397-08002B2CF9AE}" pid="8" name="AsAtDate">
    <vt:lpwstr>17 Jul 2015</vt:lpwstr>
  </property>
  <property fmtid="{D5CDD505-2E9C-101B-9397-08002B2CF9AE}" pid="9" name="Suffix">
    <vt:lpwstr>02-a0-01</vt:lpwstr>
  </property>
</Properties>
</file>