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Railways (Access) Code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_Toc427328970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_Toc427328971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_Toc427328972 \h </w:instrText>
      </w:r>
      <w:r>
        <w:fldChar w:fldCharType="separate"/>
      </w:r>
      <w:r>
        <w:t>1</w:t>
      </w:r>
      <w:r>
        <w:fldChar w:fldCharType="end"/>
      </w:r>
    </w:p>
    <w:p>
      <w:pPr>
        <w:pStyle w:val="TOC8"/>
        <w:rPr>
          <w:rFonts w:asciiTheme="minorHAnsi" w:eastAsiaTheme="minorEastAsia" w:hAnsiTheme="minorHAnsi" w:cstheme="minorBidi"/>
          <w:szCs w:val="22"/>
        </w:rPr>
      </w:pPr>
      <w:r>
        <w:t>4A.</w:t>
      </w:r>
      <w:r>
        <w:tab/>
        <w:t>Parties have option to negotiate agreements outside this Code</w:t>
      </w:r>
      <w:r>
        <w:tab/>
      </w:r>
      <w:r>
        <w:fldChar w:fldCharType="begin"/>
      </w:r>
      <w:r>
        <w:instrText xml:space="preserve"> PAGEREF _Toc427328973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laws not affected</w:t>
      </w:r>
      <w:r>
        <w:tab/>
      </w:r>
      <w:r>
        <w:fldChar w:fldCharType="begin"/>
      </w:r>
      <w:r>
        <w:instrText xml:space="preserve"> PAGEREF _Toc427328974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Routes to which this Code applies</w:t>
      </w:r>
      <w:r>
        <w:tab/>
      </w:r>
      <w:r>
        <w:fldChar w:fldCharType="begin"/>
      </w:r>
      <w:r>
        <w:instrText xml:space="preserve"> PAGEREF _Toc427328975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_Toc427328977 \h </w:instrText>
      </w:r>
      <w:r>
        <w:fldChar w:fldCharType="separate"/>
      </w:r>
      <w:r>
        <w:t>7</w:t>
      </w:r>
      <w:r>
        <w:fldChar w:fldCharType="end"/>
      </w:r>
    </w:p>
    <w:p>
      <w:pPr>
        <w:pStyle w:val="TOC8"/>
        <w:rPr>
          <w:rFonts w:asciiTheme="minorHAnsi" w:eastAsiaTheme="minorEastAsia" w:hAnsiTheme="minorHAnsi" w:cstheme="minorBidi"/>
          <w:szCs w:val="22"/>
        </w:rPr>
      </w:pPr>
      <w:r>
        <w:t>7A.</w:t>
      </w:r>
      <w:r>
        <w:tab/>
        <w:t>Information to be published in hard copy format</w:t>
      </w:r>
      <w:r>
        <w:tab/>
      </w:r>
      <w:r>
        <w:fldChar w:fldCharType="begin"/>
      </w:r>
      <w:r>
        <w:instrText xml:space="preserve"> PAGEREF _Toc427328978 \h </w:instrText>
      </w:r>
      <w:r>
        <w:fldChar w:fldCharType="separate"/>
      </w:r>
      <w:r>
        <w:t>7</w:t>
      </w:r>
      <w:r>
        <w:fldChar w:fldCharType="end"/>
      </w:r>
    </w:p>
    <w:p>
      <w:pPr>
        <w:pStyle w:val="TOC8"/>
        <w:rPr>
          <w:rFonts w:asciiTheme="minorHAnsi" w:eastAsiaTheme="minorEastAsia" w:hAnsiTheme="minorHAnsi" w:cstheme="minorBidi"/>
          <w:szCs w:val="22"/>
        </w:rPr>
      </w:pPr>
      <w:r>
        <w:t>7B.</w:t>
      </w:r>
      <w:r>
        <w:tab/>
        <w:t>Regulator may grant exemption for information about freight carried</w:t>
      </w:r>
      <w:r>
        <w:tab/>
      </w:r>
      <w:r>
        <w:fldChar w:fldCharType="begin"/>
      </w:r>
      <w:r>
        <w:instrText xml:space="preserve"> PAGEREF _Toc427328979 \h </w:instrText>
      </w:r>
      <w:r>
        <w:fldChar w:fldCharType="separate"/>
      </w:r>
      <w:r>
        <w:t>8</w:t>
      </w:r>
      <w:r>
        <w:fldChar w:fldCharType="end"/>
      </w:r>
    </w:p>
    <w:p>
      <w:pPr>
        <w:pStyle w:val="TOC8"/>
        <w:rPr>
          <w:rFonts w:asciiTheme="minorHAnsi" w:eastAsiaTheme="minorEastAsia" w:hAnsiTheme="minorHAnsi" w:cstheme="minorBidi"/>
          <w:szCs w:val="22"/>
        </w:rPr>
      </w:pPr>
      <w:r>
        <w:t>7C.</w:t>
      </w:r>
      <w:r>
        <w:tab/>
        <w:t>Information to be kept up</w:t>
      </w:r>
      <w:r>
        <w:noBreakHyphen/>
        <w:t>to</w:t>
      </w:r>
      <w:r>
        <w:noBreakHyphen/>
        <w:t>date</w:t>
      </w:r>
      <w:r>
        <w:tab/>
      </w:r>
      <w:r>
        <w:fldChar w:fldCharType="begin"/>
      </w:r>
      <w:r>
        <w:instrText xml:space="preserve"> PAGEREF _Toc427328980 \h </w:instrText>
      </w:r>
      <w:r>
        <w:fldChar w:fldCharType="separate"/>
      </w:r>
      <w:r>
        <w:t>8</w:t>
      </w:r>
      <w:r>
        <w:fldChar w:fldCharType="end"/>
      </w:r>
    </w:p>
    <w:p>
      <w:pPr>
        <w:pStyle w:val="TOC8"/>
        <w:rPr>
          <w:rFonts w:asciiTheme="minorHAnsi" w:eastAsiaTheme="minorEastAsia" w:hAnsiTheme="minorHAnsi" w:cstheme="minorBidi"/>
          <w:szCs w:val="22"/>
        </w:rPr>
      </w:pPr>
      <w:r>
        <w:t>7D.</w:t>
      </w:r>
      <w:r>
        <w:tab/>
        <w:t>Particular provision for information as to gross tonnages and tonnages of freight</w:t>
      </w:r>
      <w:r>
        <w:tab/>
      </w:r>
      <w:r>
        <w:fldChar w:fldCharType="begin"/>
      </w:r>
      <w:r>
        <w:instrText xml:space="preserve"> PAGEREF _Toc427328981 \h </w:instrText>
      </w:r>
      <w:r>
        <w:fldChar w:fldCharType="separate"/>
      </w:r>
      <w:r>
        <w:t>8</w:t>
      </w:r>
      <w:r>
        <w:fldChar w:fldCharType="end"/>
      </w:r>
    </w:p>
    <w:p>
      <w:pPr>
        <w:pStyle w:val="TOC8"/>
        <w:rPr>
          <w:rFonts w:asciiTheme="minorHAnsi" w:eastAsiaTheme="minorEastAsia" w:hAnsiTheme="minorHAnsi" w:cstheme="minorBidi"/>
          <w:szCs w:val="22"/>
        </w:rPr>
      </w:pPr>
      <w:r>
        <w:t>7E.</w:t>
      </w:r>
      <w:r>
        <w:tab/>
        <w:t>Particular provision for information as to proposed improvements and capital works</w:t>
      </w:r>
      <w:r>
        <w:tab/>
      </w:r>
      <w:r>
        <w:fldChar w:fldCharType="begin"/>
      </w:r>
      <w:r>
        <w:instrText xml:space="preserve"> PAGEREF _Toc427328982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Proposals for access</w:t>
      </w:r>
    </w:p>
    <w:p>
      <w:pPr>
        <w:pStyle w:val="TOC8"/>
        <w:rPr>
          <w:rFonts w:asciiTheme="minorHAnsi" w:eastAsiaTheme="minorEastAsia" w:hAnsiTheme="minorHAnsi" w:cstheme="minorBidi"/>
          <w:szCs w:val="22"/>
        </w:rPr>
      </w:pPr>
      <w:r>
        <w:t>7</w:t>
      </w:r>
      <w:r>
        <w:rPr>
          <w:snapToGrid w:val="0"/>
        </w:rPr>
        <w:t>.</w:t>
      </w:r>
      <w:r>
        <w:rPr>
          <w:snapToGrid w:val="0"/>
        </w:rPr>
        <w:tab/>
        <w:t>Preliminary information</w:t>
      </w:r>
      <w:r>
        <w:tab/>
      </w:r>
      <w:r>
        <w:fldChar w:fldCharType="begin"/>
      </w:r>
      <w:r>
        <w:instrText xml:space="preserve"> PAGEREF _Toc427328984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Proposals for access</w:t>
      </w:r>
      <w:r>
        <w:tab/>
      </w:r>
      <w:r>
        <w:fldChar w:fldCharType="begin"/>
      </w:r>
      <w:r>
        <w:instrText xml:space="preserve"> PAGEREF _Toc427328985 \h </w:instrText>
      </w:r>
      <w:r>
        <w:fldChar w:fldCharType="separate"/>
      </w:r>
      <w:r>
        <w:t>10</w:t>
      </w:r>
      <w:r>
        <w:fldChar w:fldCharType="end"/>
      </w:r>
    </w:p>
    <w:p>
      <w:pPr>
        <w:pStyle w:val="TOC8"/>
        <w:rPr>
          <w:rFonts w:asciiTheme="minorHAnsi" w:eastAsiaTheme="minorEastAsia" w:hAnsiTheme="minorHAnsi" w:cstheme="minorBidi"/>
          <w:szCs w:val="22"/>
        </w:rPr>
      </w:pPr>
      <w:r>
        <w:t>9A.</w:t>
      </w:r>
      <w:r>
        <w:tab/>
        <w:t>Withdrawal of proposal</w:t>
      </w:r>
      <w:r>
        <w:tab/>
      </w:r>
      <w:r>
        <w:fldChar w:fldCharType="begin"/>
      </w:r>
      <w:r>
        <w:instrText xml:space="preserve"> PAGEREF _Toc427328986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Railway owner’s obligations on receipt of proposal</w:t>
      </w:r>
      <w:r>
        <w:tab/>
      </w:r>
      <w:r>
        <w:fldChar w:fldCharType="begin"/>
      </w:r>
      <w:r>
        <w:instrText xml:space="preserve"> PAGEREF _Toc427328987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Regulator’s approval required in certain cases</w:t>
      </w:r>
      <w:r>
        <w:tab/>
      </w:r>
      <w:r>
        <w:fldChar w:fldCharType="begin"/>
      </w:r>
      <w:r>
        <w:instrText xml:space="preserve"> PAGEREF _Toc427328988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limits applicable to section 10</w:t>
      </w:r>
      <w:r>
        <w:tab/>
      </w:r>
      <w:r>
        <w:fldChar w:fldCharType="begin"/>
      </w:r>
      <w:r>
        <w:instrText xml:space="preserve"> PAGEREF _Toc427328989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 of proposals to be kept</w:t>
      </w:r>
      <w:r>
        <w:tab/>
      </w:r>
      <w:r>
        <w:fldChar w:fldCharType="begin"/>
      </w:r>
      <w:r>
        <w:instrText xml:space="preserve"> PAGEREF _Toc427328990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Negotiations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When duty to negotiate arises</w:t>
      </w:r>
    </w:p>
    <w:p>
      <w:pPr>
        <w:pStyle w:val="TOC8"/>
        <w:rPr>
          <w:rFonts w:asciiTheme="minorHAnsi" w:eastAsiaTheme="minorEastAsia" w:hAnsiTheme="minorHAnsi" w:cstheme="minorBidi"/>
          <w:szCs w:val="22"/>
        </w:rPr>
      </w:pPr>
      <w:r>
        <w:t>13</w:t>
      </w:r>
      <w:r>
        <w:rPr>
          <w:snapToGrid w:val="0"/>
        </w:rPr>
        <w:t>.</w:t>
      </w:r>
      <w:r>
        <w:rPr>
          <w:snapToGrid w:val="0"/>
        </w:rPr>
        <w:tab/>
        <w:t>Duty of railway owner to negotiate</w:t>
      </w:r>
      <w:r>
        <w:tab/>
      </w:r>
      <w:r>
        <w:fldChar w:fldCharType="begin"/>
      </w:r>
      <w:r>
        <w:instrText xml:space="preserve"> PAGEREF _Toc427328993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Proponent must show it has managerial and financial ability</w:t>
      </w:r>
      <w:r>
        <w:tab/>
      </w:r>
      <w:r>
        <w:fldChar w:fldCharType="begin"/>
      </w:r>
      <w:r>
        <w:instrText xml:space="preserve"> PAGEREF _Toc427328994 \h </w:instrText>
      </w:r>
      <w:r>
        <w:fldChar w:fldCharType="separate"/>
      </w:r>
      <w:r>
        <w:t>17</w:t>
      </w:r>
      <w:r>
        <w:fldChar w:fldCharType="end"/>
      </w:r>
    </w:p>
    <w:p>
      <w:pPr>
        <w:pStyle w:val="TOC8"/>
        <w:rPr>
          <w:rFonts w:asciiTheme="minorHAnsi" w:eastAsiaTheme="minorEastAsia" w:hAnsiTheme="minorHAnsi" w:cstheme="minorBidi"/>
          <w:szCs w:val="22"/>
        </w:rPr>
      </w:pPr>
      <w:r>
        <w:t>15.</w:t>
      </w:r>
      <w:r>
        <w:tab/>
        <w:t>Proponent must show that its operations are within the capacity of the route or expanded route</w:t>
      </w:r>
      <w:r>
        <w:tab/>
      </w:r>
      <w:r>
        <w:fldChar w:fldCharType="begin"/>
      </w:r>
      <w:r>
        <w:instrText xml:space="preserve"> PAGEREF _Toc427328995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Negotiations</w:t>
      </w:r>
    </w:p>
    <w:p>
      <w:pPr>
        <w:pStyle w:val="TOC8"/>
        <w:rPr>
          <w:rFonts w:asciiTheme="minorHAnsi" w:eastAsiaTheme="minorEastAsia" w:hAnsiTheme="minorHAnsi" w:cstheme="minorBidi"/>
          <w:szCs w:val="22"/>
        </w:rPr>
      </w:pPr>
      <w:r>
        <w:t>16</w:t>
      </w:r>
      <w:r>
        <w:rPr>
          <w:snapToGrid w:val="0"/>
        </w:rPr>
        <w:t>.</w:t>
      </w:r>
      <w:r>
        <w:rPr>
          <w:snapToGrid w:val="0"/>
        </w:rPr>
        <w:tab/>
        <w:t>General duties of railway owner in negotiations</w:t>
      </w:r>
      <w:r>
        <w:tab/>
      </w:r>
      <w:r>
        <w:fldChar w:fldCharType="begin"/>
      </w:r>
      <w:r>
        <w:instrText xml:space="preserve"> PAGEREF _Toc427328997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that must be covered</w:t>
      </w:r>
      <w:r>
        <w:tab/>
      </w:r>
      <w:r>
        <w:fldChar w:fldCharType="begin"/>
      </w:r>
      <w:r>
        <w:instrText xml:space="preserve"> PAGEREF _Toc427328998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Sufficiency of information under sections 14 and 15</w:t>
      </w:r>
      <w:r>
        <w:tab/>
      </w:r>
      <w:r>
        <w:fldChar w:fldCharType="begin"/>
      </w:r>
      <w:r>
        <w:instrText xml:space="preserve"> PAGEREF _Toc427328999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readiness to commence negotiations</w:t>
      </w:r>
      <w:r>
        <w:tab/>
      </w:r>
      <w:r>
        <w:fldChar w:fldCharType="begin"/>
      </w:r>
      <w:r>
        <w:instrText xml:space="preserve"> PAGEREF _Toc427329000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Negotiation period</w:t>
      </w:r>
      <w:r>
        <w:tab/>
      </w:r>
      <w:r>
        <w:fldChar w:fldCharType="begin"/>
      </w:r>
      <w:r>
        <w:instrText xml:space="preserve"> PAGEREF _Toc427329001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Regulator may give opinion on price sought for access</w:t>
      </w:r>
      <w:r>
        <w:tab/>
      </w:r>
      <w:r>
        <w:fldChar w:fldCharType="begin"/>
      </w:r>
      <w:r>
        <w:instrText xml:space="preserve"> PAGEREF _Toc427329002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Arbitration of disputes</w:t>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_Toc427329004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Panels of persons who may be appointed as arbitrators</w:t>
      </w:r>
      <w:r>
        <w:tab/>
      </w:r>
      <w:r>
        <w:fldChar w:fldCharType="begin"/>
      </w:r>
      <w:r>
        <w:instrText xml:space="preserve"> PAGEREF _Toc427329005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entity taken to be in dispute with railway owner</w:t>
      </w:r>
      <w:r>
        <w:tab/>
      </w:r>
      <w:r>
        <w:fldChar w:fldCharType="begin"/>
      </w:r>
      <w:r>
        <w:instrText xml:space="preserve"> PAGEREF _Toc427329006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Arbitration of disputes under </w:t>
      </w:r>
      <w:r>
        <w:rPr>
          <w:i/>
          <w:snapToGrid w:val="0"/>
        </w:rPr>
        <w:t>Commercial Arbitration Act 2012</w:t>
      </w:r>
      <w:r>
        <w:tab/>
      </w:r>
      <w:r>
        <w:fldChar w:fldCharType="begin"/>
      </w:r>
      <w:r>
        <w:instrText xml:space="preserve"> PAGEREF _Toc427329007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Appointment where issues are also relevant to arbitration under another access regime</w:t>
      </w:r>
      <w:r>
        <w:tab/>
      </w:r>
      <w:r>
        <w:fldChar w:fldCharType="begin"/>
      </w:r>
      <w:r>
        <w:instrText xml:space="preserve"> PAGEREF _Toc427329008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Preliminary conference to be held</w:t>
      </w:r>
      <w:r>
        <w:tab/>
      </w:r>
      <w:r>
        <w:fldChar w:fldCharType="begin"/>
      </w:r>
      <w:r>
        <w:instrText xml:space="preserve"> PAGEREF _Toc427329009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Matters to be taken into account by arbitrator</w:t>
      </w:r>
      <w:r>
        <w:tab/>
      </w:r>
      <w:r>
        <w:fldChar w:fldCharType="begin"/>
      </w:r>
      <w:r>
        <w:instrText xml:space="preserve"> PAGEREF _Toc427329010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Question may be referred to Regulator</w:t>
      </w:r>
      <w:r>
        <w:tab/>
      </w:r>
      <w:r>
        <w:fldChar w:fldCharType="begin"/>
      </w:r>
      <w:r>
        <w:instrText xml:space="preserve"> PAGEREF _Toc427329011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dispute</w:t>
      </w:r>
      <w:r>
        <w:tab/>
      </w:r>
      <w:r>
        <w:fldChar w:fldCharType="begin"/>
      </w:r>
      <w:r>
        <w:instrText xml:space="preserve"> PAGEREF _Toc427329012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Determinations where section 25(2)(b) applies</w:t>
      </w:r>
      <w:r>
        <w:tab/>
      </w:r>
      <w:r>
        <w:fldChar w:fldCharType="begin"/>
      </w:r>
      <w:r>
        <w:instrText xml:space="preserve"> PAGEREF _Toc427329013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Determinations in other cases</w:t>
      </w:r>
      <w:r>
        <w:tab/>
      </w:r>
      <w:r>
        <w:fldChar w:fldCharType="begin"/>
      </w:r>
      <w:r>
        <w:instrText xml:space="preserve"> PAGEREF _Toc427329014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Determination, effect in relation to railway owner and other party</w:t>
      </w:r>
      <w:r>
        <w:tab/>
      </w:r>
      <w:r>
        <w:fldChar w:fldCharType="begin"/>
      </w:r>
      <w:r>
        <w:instrText xml:space="preserve"> PAGEREF _Toc427329015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arbitration</w:t>
      </w:r>
      <w:r>
        <w:tab/>
      </w:r>
      <w:r>
        <w:fldChar w:fldCharType="begin"/>
      </w:r>
      <w:r>
        <w:instrText xml:space="preserve"> PAGEREF _Toc427329016 \h </w:instrText>
      </w:r>
      <w:r>
        <w:fldChar w:fldCharType="separate"/>
      </w:r>
      <w:r>
        <w:t>30</w:t>
      </w:r>
      <w:r>
        <w:fldChar w:fldCharType="end"/>
      </w:r>
    </w:p>
    <w:p>
      <w:pPr>
        <w:pStyle w:val="TOC8"/>
        <w:rPr>
          <w:rFonts w:asciiTheme="minorHAnsi" w:eastAsiaTheme="minorEastAsia" w:hAnsiTheme="minorHAnsi" w:cstheme="minorBidi"/>
          <w:szCs w:val="22"/>
        </w:rPr>
      </w:pPr>
      <w:r>
        <w:t>36A.</w:t>
      </w:r>
      <w:r>
        <w:tab/>
        <w:t xml:space="preserve">Transitional provision relating to the </w:t>
      </w:r>
      <w:r>
        <w:rPr>
          <w:i/>
        </w:rPr>
        <w:t>Railways (Access) Amendment Code 2012</w:t>
      </w:r>
      <w:r>
        <w:tab/>
      </w:r>
      <w:r>
        <w:fldChar w:fldCharType="begin"/>
      </w:r>
      <w:r>
        <w:instrText xml:space="preserve"> PAGEREF _Toc427329017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Access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36</w:t>
      </w:r>
      <w:r>
        <w:rPr>
          <w:snapToGrid w:val="0"/>
        </w:rPr>
        <w:t>.</w:t>
      </w:r>
      <w:r>
        <w:rPr>
          <w:snapToGrid w:val="0"/>
        </w:rPr>
        <w:tab/>
        <w:t>General matters relating to access agreements</w:t>
      </w:r>
      <w:r>
        <w:tab/>
      </w:r>
      <w:r>
        <w:fldChar w:fldCharType="begin"/>
      </w:r>
      <w:r>
        <w:instrText xml:space="preserve"> PAGEREF _Toc427329020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agreements may differ</w:t>
      </w:r>
      <w:r>
        <w:tab/>
      </w:r>
      <w:r>
        <w:fldChar w:fldCharType="begin"/>
      </w:r>
      <w:r>
        <w:instrText xml:space="preserve"> PAGEREF _Toc427329021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Agreement not affected by later amendments to Code</w:t>
      </w:r>
      <w:r>
        <w:tab/>
      </w:r>
      <w:r>
        <w:fldChar w:fldCharType="begin"/>
      </w:r>
      <w:r>
        <w:instrText xml:space="preserve"> PAGEREF _Toc427329022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Notice and registration of access agreements and determinations</w:t>
      </w:r>
    </w:p>
    <w:p>
      <w:pPr>
        <w:pStyle w:val="TOC8"/>
        <w:rPr>
          <w:rFonts w:asciiTheme="minorHAnsi" w:eastAsiaTheme="minorEastAsia" w:hAnsiTheme="minorHAnsi" w:cstheme="minorBidi"/>
          <w:szCs w:val="22"/>
        </w:rPr>
      </w:pPr>
      <w:r>
        <w:t>39</w:t>
      </w:r>
      <w:r>
        <w:rPr>
          <w:snapToGrid w:val="0"/>
        </w:rPr>
        <w:t>.</w:t>
      </w:r>
      <w:r>
        <w:rPr>
          <w:snapToGrid w:val="0"/>
        </w:rPr>
        <w:tab/>
        <w:t>Registration of agreements and determinations</w:t>
      </w:r>
      <w:r>
        <w:tab/>
      </w:r>
      <w:r>
        <w:fldChar w:fldCharType="begin"/>
      </w:r>
      <w:r>
        <w:instrText xml:space="preserve"> PAGEREF _Toc427329024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Certain approval functions of Regulator</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_Toc427329026 \h </w:instrText>
      </w:r>
      <w:r>
        <w:fldChar w:fldCharType="separate"/>
      </w:r>
      <w:r>
        <w:t>35</w:t>
      </w:r>
      <w:r>
        <w:fldChar w:fldCharType="end"/>
      </w:r>
    </w:p>
    <w:p>
      <w:pPr>
        <w:pStyle w:val="TOC8"/>
        <w:rPr>
          <w:rFonts w:asciiTheme="minorHAnsi" w:eastAsiaTheme="minorEastAsia" w:hAnsiTheme="minorHAnsi" w:cstheme="minorBidi"/>
          <w:szCs w:val="22"/>
        </w:rPr>
      </w:pPr>
      <w:r>
        <w:t>41.</w:t>
      </w:r>
      <w:r>
        <w:tab/>
        <w:t>Matters to be considered by Regulator</w:t>
      </w:r>
      <w:r>
        <w:tab/>
      </w:r>
      <w:r>
        <w:fldChar w:fldCharType="begin"/>
      </w:r>
      <w:r>
        <w:instrText xml:space="preserve"> PAGEREF _Toc427329027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comment before approval given to segregation arrangements</w:t>
      </w:r>
      <w:r>
        <w:tab/>
      </w:r>
      <w:r>
        <w:fldChar w:fldCharType="begin"/>
      </w:r>
      <w:r>
        <w:instrText xml:space="preserve"> PAGEREF _Toc427329028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Railway owner to comply with approved train management guidelines</w:t>
      </w:r>
      <w:r>
        <w:tab/>
      </w:r>
      <w:r>
        <w:fldChar w:fldCharType="begin"/>
      </w:r>
      <w:r>
        <w:instrText xml:space="preserve"> PAGEREF _Toc427329029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Certain approved statements of policy to be observed</w:t>
      </w:r>
      <w:r>
        <w:tab/>
      </w:r>
      <w:r>
        <w:fldChar w:fldCharType="begin"/>
      </w:r>
      <w:r>
        <w:instrText xml:space="preserve"> PAGEREF _Toc427329030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Public comment on draft statements under sections 43 and 44</w:t>
      </w:r>
      <w:r>
        <w:tab/>
      </w:r>
      <w:r>
        <w:fldChar w:fldCharType="begin"/>
      </w:r>
      <w:r>
        <w:instrText xml:space="preserve"> PAGEREF _Toc427329031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Costing principles</w:t>
      </w:r>
      <w:r>
        <w:tab/>
      </w:r>
      <w:r>
        <w:fldChar w:fldCharType="begin"/>
      </w:r>
      <w:r>
        <w:instrText xml:space="preserve"> PAGEREF _Toc427329032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Over</w:t>
      </w:r>
      <w:r>
        <w:rPr>
          <w:snapToGrid w:val="0"/>
        </w:rPr>
        <w:noBreakHyphen/>
        <w:t>payment rules</w:t>
      </w:r>
      <w:r>
        <w:tab/>
      </w:r>
      <w:r>
        <w:fldChar w:fldCharType="begin"/>
      </w:r>
      <w:r>
        <w:instrText xml:space="preserve"> PAGEREF _Toc427329033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48</w:t>
      </w:r>
      <w:r>
        <w:rPr>
          <w:snapToGrid w:val="0"/>
        </w:rPr>
        <w:t>.</w:t>
      </w:r>
      <w:r>
        <w:rPr>
          <w:snapToGrid w:val="0"/>
        </w:rPr>
        <w:tab/>
        <w:t>Railway owner must supply certain information if requested</w:t>
      </w:r>
      <w:r>
        <w:tab/>
      </w:r>
      <w:r>
        <w:fldChar w:fldCharType="begin"/>
      </w:r>
      <w:r>
        <w:instrText xml:space="preserve"> PAGEREF _Toc427329035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Inquiries and reports by Regulator</w:t>
      </w:r>
      <w:r>
        <w:tab/>
      </w:r>
      <w:r>
        <w:fldChar w:fldCharType="begin"/>
      </w:r>
      <w:r>
        <w:instrText xml:space="preserve"> PAGEREF _Toc427329036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Dissemination of information by Regulator</w:t>
      </w:r>
      <w:r>
        <w:tab/>
      </w:r>
      <w:r>
        <w:fldChar w:fldCharType="begin"/>
      </w:r>
      <w:r>
        <w:instrText xml:space="preserve"> PAGEREF _Toc427329037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Enforcement</w:t>
      </w:r>
      <w:r>
        <w:tab/>
      </w:r>
      <w:r>
        <w:fldChar w:fldCharType="begin"/>
      </w:r>
      <w:r>
        <w:instrText xml:space="preserve"> PAGEREF _Toc427329038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Transitional provisions</w:t>
      </w:r>
      <w:r>
        <w:tab/>
      </w:r>
      <w:r>
        <w:fldChar w:fldCharType="begin"/>
      </w:r>
      <w:r>
        <w:instrText xml:space="preserve"> PAGEREF _Toc427329039 \h </w:instrText>
      </w:r>
      <w:r>
        <w:fldChar w:fldCharType="separate"/>
      </w:r>
      <w:r>
        <w:t>43</w:t>
      </w:r>
      <w:r>
        <w:fldChar w:fldCharType="end"/>
      </w:r>
    </w:p>
    <w:p>
      <w:pPr>
        <w:pStyle w:val="TOC8"/>
        <w:rPr>
          <w:rFonts w:asciiTheme="minorHAnsi" w:eastAsiaTheme="minorEastAsia" w:hAnsiTheme="minorHAnsi" w:cstheme="minorBidi"/>
          <w:szCs w:val="22"/>
        </w:rPr>
      </w:pPr>
      <w:r>
        <w:t>53.</w:t>
      </w:r>
      <w:r>
        <w:tab/>
        <w:t>Further transitional provision</w:t>
      </w:r>
      <w:r>
        <w:tab/>
      </w:r>
      <w:r>
        <w:fldChar w:fldCharType="begin"/>
      </w:r>
      <w:r>
        <w:instrText xml:space="preserve"> PAGEREF _Toc427329040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Routes to which this Code applies</w:t>
      </w:r>
    </w:p>
    <w:p>
      <w:pPr>
        <w:pStyle w:val="TOC2"/>
        <w:tabs>
          <w:tab w:val="right" w:leader="dot" w:pos="7077"/>
        </w:tabs>
        <w:rPr>
          <w:rFonts w:asciiTheme="minorHAnsi" w:eastAsiaTheme="minorEastAsia" w:hAnsiTheme="minorHAnsi" w:cstheme="minorBidi"/>
          <w:b w:val="0"/>
          <w:sz w:val="22"/>
          <w:szCs w:val="22"/>
        </w:rPr>
      </w:pPr>
      <w:r>
        <w:t>Schedule 2 — Information to be made available</w:t>
      </w:r>
    </w:p>
    <w:p>
      <w:pPr>
        <w:pStyle w:val="TOC8"/>
        <w:rPr>
          <w:rFonts w:asciiTheme="minorHAnsi" w:eastAsiaTheme="minorEastAsia" w:hAnsiTheme="minorHAnsi" w:cstheme="minorBidi"/>
          <w:szCs w:val="22"/>
        </w:rPr>
      </w:pPr>
      <w:r>
        <w:tab/>
        <w:t>Terms used</w:t>
      </w:r>
      <w:r>
        <w:tab/>
      </w:r>
      <w:r>
        <w:fldChar w:fldCharType="begin"/>
      </w:r>
      <w:r>
        <w:instrText xml:space="preserve"> PAGEREF _Toc427329043 \h </w:instrText>
      </w:r>
      <w:r>
        <w:fldChar w:fldCharType="separate"/>
      </w:r>
      <w:r>
        <w:t>49</w:t>
      </w:r>
      <w:r>
        <w:fldChar w:fldCharType="end"/>
      </w:r>
    </w:p>
    <w:p>
      <w:pPr>
        <w:pStyle w:val="TOC8"/>
        <w:rPr>
          <w:rFonts w:asciiTheme="minorHAnsi" w:eastAsiaTheme="minorEastAsia" w:hAnsiTheme="minorHAnsi" w:cstheme="minorBidi"/>
          <w:szCs w:val="22"/>
        </w:rPr>
      </w:pPr>
      <w:r>
        <w:tab/>
        <w:t>Information</w:t>
      </w:r>
      <w:r>
        <w:tab/>
      </w:r>
      <w:r>
        <w:fldChar w:fldCharType="begin"/>
      </w:r>
      <w:r>
        <w:instrText xml:space="preserve"> PAGEREF _Toc427329044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3 — Matters for which provision to be made in access agreement</w:t>
      </w:r>
    </w:p>
    <w:p>
      <w:pPr>
        <w:pStyle w:val="TOC2"/>
        <w:tabs>
          <w:tab w:val="right" w:leader="dot" w:pos="7077"/>
        </w:tabs>
        <w:rPr>
          <w:rFonts w:asciiTheme="minorHAnsi" w:eastAsiaTheme="minorEastAsia" w:hAnsiTheme="minorHAnsi" w:cstheme="minorBidi"/>
          <w:b w:val="0"/>
          <w:sz w:val="22"/>
          <w:szCs w:val="22"/>
        </w:rPr>
      </w:pPr>
      <w:r>
        <w:t>Schedule 4 — Provisions relating to prices to be paid for access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_Toc427329048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infrastructure</w:t>
      </w:r>
      <w:r>
        <w:tab/>
      </w:r>
      <w:r>
        <w:fldChar w:fldCharType="begin"/>
      </w:r>
      <w:r>
        <w:instrText xml:space="preserve"> PAGEREF _Toc427329049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Regulator to determine weighted average cost of capital</w:t>
      </w:r>
      <w:r>
        <w:tab/>
      </w:r>
      <w:r>
        <w:fldChar w:fldCharType="begin"/>
      </w:r>
      <w:r>
        <w:instrText xml:space="preserve"> PAGEREF _Toc427329050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Nature of costs</w:t>
      </w:r>
      <w:r>
        <w:tab/>
      </w:r>
      <w:r>
        <w:fldChar w:fldCharType="begin"/>
      </w:r>
      <w:r>
        <w:instrText xml:space="preserve"> PAGEREF _Toc427329051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rPr>
      </w:pPr>
      <w:r>
        <w:t>5</w:t>
      </w:r>
      <w:r>
        <w:rPr>
          <w:snapToGrid w:val="0"/>
        </w:rPr>
        <w:t>.</w:t>
      </w:r>
      <w:r>
        <w:rPr>
          <w:snapToGrid w:val="0"/>
        </w:rPr>
        <w:tab/>
        <w:t>Term used: other entities</w:t>
      </w:r>
      <w:r>
        <w:tab/>
      </w:r>
      <w:r>
        <w:fldChar w:fldCharType="begin"/>
      </w:r>
      <w:r>
        <w:instrText xml:space="preserve"> PAGEREF _Toc427329053 \h </w:instrText>
      </w:r>
      <w:r>
        <w:fldChar w:fldCharType="separate"/>
      </w:r>
      <w:r>
        <w:t>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Prices to be negotiated</w:t>
      </w:r>
      <w:r>
        <w:tab/>
      </w:r>
      <w:r>
        <w:fldChar w:fldCharType="begin"/>
      </w:r>
      <w:r>
        <w:instrText xml:space="preserve"> PAGEREF _Toc427329054 \h </w:instrText>
      </w:r>
      <w:r>
        <w:fldChar w:fldCharType="separate"/>
      </w:r>
      <w:r>
        <w:t>57</w:t>
      </w:r>
      <w:r>
        <w:fldChar w:fldCharType="end"/>
      </w:r>
    </w:p>
    <w:p>
      <w:pPr>
        <w:pStyle w:val="TOC8"/>
        <w:rPr>
          <w:rFonts w:asciiTheme="minorHAnsi" w:eastAsiaTheme="minorEastAsia" w:hAnsiTheme="minorHAnsi" w:cstheme="minorBidi"/>
          <w:szCs w:val="22"/>
        </w:rPr>
      </w:pPr>
      <w:r>
        <w:t>7A.</w:t>
      </w:r>
      <w:r>
        <w:tab/>
        <w:t>Apportionment of costs of extension or expansion</w:t>
      </w:r>
      <w:r>
        <w:tab/>
      </w:r>
      <w:r>
        <w:fldChar w:fldCharType="begin"/>
      </w:r>
      <w:r>
        <w:instrText xml:space="preserve"> PAGEREF _Toc427329055 \h </w:instrText>
      </w:r>
      <w:r>
        <w:fldChar w:fldCharType="separate"/>
      </w:r>
      <w:r>
        <w:t>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Floor price test</w:t>
      </w:r>
      <w:r>
        <w:tab/>
      </w:r>
      <w:r>
        <w:fldChar w:fldCharType="begin"/>
      </w:r>
      <w:r>
        <w:instrText xml:space="preserve"> PAGEREF _Toc427329056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Ceiling price test</w:t>
      </w:r>
      <w:r>
        <w:tab/>
      </w:r>
      <w:r>
        <w:fldChar w:fldCharType="begin"/>
      </w:r>
      <w:r>
        <w:instrText xml:space="preserve"> PAGEREF _Toc427329057 \h </w:instrText>
      </w:r>
      <w:r>
        <w:fldChar w:fldCharType="separate"/>
      </w:r>
      <w:r>
        <w:t>59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costs by Regulator</w:t>
      </w:r>
      <w:r>
        <w:tab/>
      </w:r>
      <w:r>
        <w:fldChar w:fldCharType="begin"/>
      </w:r>
      <w:r>
        <w:instrText xml:space="preserve"> PAGEREF _Toc427329058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costs where clause 9 does not apply</w:t>
      </w:r>
      <w:r>
        <w:tab/>
      </w:r>
      <w:r>
        <w:fldChar w:fldCharType="begin"/>
      </w:r>
      <w:r>
        <w:instrText xml:space="preserve"> PAGEREF _Toc427329059 \h </w:instrText>
      </w:r>
      <w:r>
        <w:fldChar w:fldCharType="separate"/>
      </w:r>
      <w:r>
        <w:t>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submissions may be sought</w:t>
      </w:r>
      <w:r>
        <w:tab/>
      </w:r>
      <w:r>
        <w:fldChar w:fldCharType="begin"/>
      </w:r>
      <w:r>
        <w:instrText xml:space="preserve"> PAGEREF _Toc427329060 \h </w:instrText>
      </w:r>
      <w:r>
        <w:fldChar w:fldCharType="separate"/>
      </w:r>
      <w:r>
        <w:t>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 and redetermination of costs</w:t>
      </w:r>
      <w:r>
        <w:tab/>
      </w:r>
      <w:r>
        <w:fldChar w:fldCharType="begin"/>
      </w:r>
      <w:r>
        <w:instrText xml:space="preserve"> PAGEREF _Toc427329061 \h </w:instrText>
      </w:r>
      <w:r>
        <w:fldChar w:fldCharType="separate"/>
      </w:r>
      <w:r>
        <w:t>62</w:t>
      </w:r>
      <w:r>
        <w:fldChar w:fldCharType="end"/>
      </w:r>
    </w:p>
    <w:p>
      <w:pPr>
        <w:pStyle w:val="TOC8"/>
        <w:rPr>
          <w:rFonts w:asciiTheme="minorHAnsi" w:eastAsiaTheme="minorEastAsia" w:hAnsiTheme="minorHAnsi" w:cstheme="minorBidi"/>
          <w:szCs w:val="22"/>
        </w:rPr>
      </w:pPr>
      <w:r>
        <w:t>13.</w:t>
      </w:r>
      <w:r>
        <w:tab/>
        <w:t>Guidelines to be applied</w:t>
      </w:r>
      <w:r>
        <w:tab/>
      </w:r>
      <w:r>
        <w:fldChar w:fldCharType="begin"/>
      </w:r>
      <w:r>
        <w:instrText xml:space="preserve"> PAGEREF _Toc427329062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5 — Relevant provisions of Competition Principles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_Toc427329065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3" w:name="_Toc378668071"/>
      <w:bookmarkStart w:id="4" w:name="_Toc424741998"/>
      <w:bookmarkStart w:id="5" w:name="_Toc424742132"/>
      <w:bookmarkStart w:id="6" w:name="_Toc42732896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8668072"/>
      <w:bookmarkStart w:id="8" w:name="_Toc427328970"/>
      <w:r>
        <w:rPr>
          <w:rStyle w:val="CharSectno"/>
        </w:rPr>
        <w:t>1</w:t>
      </w:r>
      <w:r>
        <w:t>.</w:t>
      </w:r>
      <w:r>
        <w:tab/>
        <w:t>Citation</w:t>
      </w:r>
      <w:bookmarkEnd w:id="7"/>
      <w:bookmarkEnd w:id="8"/>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9" w:name="_Toc378668073"/>
      <w:bookmarkStart w:id="10" w:name="_Toc42732897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1" w:name="_Toc378668074"/>
      <w:bookmarkStart w:id="12" w:name="_Toc427328972"/>
      <w:r>
        <w:rPr>
          <w:rStyle w:val="CharSectno"/>
        </w:rPr>
        <w:t>3</w:t>
      </w:r>
      <w:r>
        <w:rPr>
          <w:rStyle w:val="CharSectno"/>
          <w:vertAlign w:val="superscript"/>
        </w:rPr>
        <w:t> 1M</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pPr>
      <w:r>
        <w:tab/>
        <w:t>(i)</w:t>
      </w:r>
      <w:r>
        <w:tab/>
        <w:t xml:space="preserve">the railway owner’s safety standards under section 9 of the </w:t>
      </w:r>
      <w:r>
        <w:rPr>
          <w:i/>
        </w:rPr>
        <w:t>Rail Safety Act 1998</w:t>
      </w:r>
      <w:r>
        <w:t>; or</w:t>
      </w:r>
    </w:p>
    <w:p>
      <w:pPr>
        <w:pStyle w:val="Defsubpara"/>
      </w:pPr>
      <w:r>
        <w:tab/>
        <w:t>(ii)</w:t>
      </w:r>
      <w: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Footnotesection"/>
      </w:pPr>
      <w:bookmarkStart w:id="13" w:name="_Toc378668075"/>
      <w:r>
        <w:tab/>
        <w:t>[Section 3, modifications have effect under the Railway (Roy Hill Infrastructure Pty Ltd) Agreement Act 2010 s. 11.  See note 1M.]</w:t>
      </w:r>
    </w:p>
    <w:p>
      <w:pPr>
        <w:pStyle w:val="Heading5"/>
      </w:pPr>
      <w:bookmarkStart w:id="14" w:name="_Toc427328973"/>
      <w:r>
        <w:rPr>
          <w:rStyle w:val="CharSectno"/>
        </w:rPr>
        <w:t>4A</w:t>
      </w:r>
      <w:r>
        <w:t>.</w:t>
      </w:r>
      <w:r>
        <w:tab/>
        <w:t>Parties have option to negotiate agreements outside this Code</w:t>
      </w:r>
      <w:bookmarkEnd w:id="13"/>
      <w:bookmarkEnd w:id="14"/>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15" w:name="_Toc378668076"/>
      <w:bookmarkStart w:id="16" w:name="_Toc427328974"/>
      <w:r>
        <w:rPr>
          <w:rStyle w:val="CharSectno"/>
        </w:rPr>
        <w:t>4</w:t>
      </w:r>
      <w:r>
        <w:rPr>
          <w:snapToGrid w:val="0"/>
        </w:rPr>
        <w:t>.</w:t>
      </w:r>
      <w:r>
        <w:rPr>
          <w:snapToGrid w:val="0"/>
        </w:rPr>
        <w:tab/>
        <w:t>Other laws not affected</w:t>
      </w:r>
      <w:bookmarkEnd w:id="15"/>
      <w:bookmarkEnd w:id="16"/>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17" w:name="_Toc378668077"/>
      <w:bookmarkStart w:id="18" w:name="_Toc427328975"/>
      <w:r>
        <w:rPr>
          <w:rStyle w:val="CharSectno"/>
        </w:rPr>
        <w:t>5</w:t>
      </w:r>
      <w:r>
        <w:rPr>
          <w:snapToGrid w:val="0"/>
        </w:rPr>
        <w:t>.</w:t>
      </w:r>
      <w:r>
        <w:rPr>
          <w:snapToGrid w:val="0"/>
        </w:rPr>
        <w:tab/>
        <w:t>Routes to which this Code applies</w:t>
      </w:r>
      <w:bookmarkEnd w:id="17"/>
      <w:bookmarkEnd w:id="18"/>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in Gazette 23 Jul 2004 p. 2989.]</w:t>
      </w:r>
    </w:p>
    <w:p>
      <w:pPr>
        <w:pStyle w:val="Heading2"/>
      </w:pPr>
      <w:bookmarkStart w:id="19" w:name="_Toc378668078"/>
      <w:bookmarkStart w:id="20" w:name="_Toc424742005"/>
      <w:bookmarkStart w:id="21" w:name="_Toc424742139"/>
      <w:bookmarkStart w:id="22" w:name="_Toc427328976"/>
      <w:r>
        <w:rPr>
          <w:rStyle w:val="CharPartNo"/>
        </w:rPr>
        <w:t>Part 2A</w:t>
      </w:r>
      <w:r>
        <w:rPr>
          <w:b w:val="0"/>
        </w:rPr>
        <w:t> </w:t>
      </w:r>
      <w:r>
        <w:t>—</w:t>
      </w:r>
      <w:r>
        <w:rPr>
          <w:b w:val="0"/>
        </w:rPr>
        <w:t> </w:t>
      </w:r>
      <w:r>
        <w:rPr>
          <w:rStyle w:val="CharPartText"/>
        </w:rPr>
        <w:t>Publication of information</w:t>
      </w:r>
      <w:bookmarkEnd w:id="19"/>
      <w:bookmarkEnd w:id="20"/>
      <w:bookmarkEnd w:id="21"/>
      <w:bookmarkEnd w:id="22"/>
    </w:p>
    <w:p>
      <w:pPr>
        <w:pStyle w:val="Footnoteheading"/>
      </w:pPr>
      <w:r>
        <w:tab/>
        <w:t>[Heading inserted in Gazette 23 Jun 2009 p. 2411.]</w:t>
      </w:r>
    </w:p>
    <w:p>
      <w:pPr>
        <w:pStyle w:val="Heading5"/>
      </w:pPr>
      <w:bookmarkStart w:id="23" w:name="_Toc378668079"/>
      <w:bookmarkStart w:id="24" w:name="_Toc427328977"/>
      <w:r>
        <w:rPr>
          <w:rStyle w:val="CharSectno"/>
        </w:rPr>
        <w:t>6</w:t>
      </w:r>
      <w:r>
        <w:t>.</w:t>
      </w:r>
      <w:r>
        <w:tab/>
        <w:t>Terms used</w:t>
      </w:r>
      <w:bookmarkEnd w:id="23"/>
      <w:bookmarkEnd w:id="24"/>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25" w:name="_Toc378668080"/>
      <w:bookmarkStart w:id="26" w:name="_Toc427328978"/>
      <w:r>
        <w:rPr>
          <w:rStyle w:val="CharSectno"/>
        </w:rPr>
        <w:t>7A</w:t>
      </w:r>
      <w:r>
        <w:t>.</w:t>
      </w:r>
      <w:r>
        <w:tab/>
        <w:t>Information to be published in hard copy format</w:t>
      </w:r>
      <w:bookmarkEnd w:id="25"/>
      <w:bookmarkEnd w:id="26"/>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27" w:name="_Toc378668081"/>
      <w:bookmarkStart w:id="28" w:name="_Toc427328979"/>
      <w:r>
        <w:rPr>
          <w:rStyle w:val="CharSectno"/>
        </w:rPr>
        <w:t>7B</w:t>
      </w:r>
      <w:r>
        <w:t>.</w:t>
      </w:r>
      <w:r>
        <w:tab/>
        <w:t>Regulator may grant exemption for information about freight carried</w:t>
      </w:r>
      <w:bookmarkEnd w:id="27"/>
      <w:bookmarkEnd w:id="28"/>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29" w:name="_Toc378668082"/>
      <w:bookmarkStart w:id="30" w:name="_Toc427328980"/>
      <w:r>
        <w:rPr>
          <w:rStyle w:val="CharSectno"/>
        </w:rPr>
        <w:t>7C</w:t>
      </w:r>
      <w:r>
        <w:t>.</w:t>
      </w:r>
      <w:r>
        <w:tab/>
        <w:t>Information to be kept up</w:t>
      </w:r>
      <w:r>
        <w:noBreakHyphen/>
        <w:t>to</w:t>
      </w:r>
      <w:r>
        <w:noBreakHyphen/>
        <w:t>date</w:t>
      </w:r>
      <w:bookmarkEnd w:id="29"/>
      <w:bookmarkEnd w:id="30"/>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31" w:name="_Toc378668083"/>
      <w:bookmarkStart w:id="32" w:name="_Toc427328981"/>
      <w:r>
        <w:rPr>
          <w:rStyle w:val="CharSectno"/>
        </w:rPr>
        <w:t>7D</w:t>
      </w:r>
      <w:r>
        <w:t>.</w:t>
      </w:r>
      <w:r>
        <w:tab/>
        <w:t>Particular provision for information as to gross tonnages and tonnages of freight</w:t>
      </w:r>
      <w:bookmarkEnd w:id="31"/>
      <w:bookmarkEnd w:id="32"/>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33" w:name="_Toc378668084"/>
      <w:bookmarkStart w:id="34" w:name="_Toc427328982"/>
      <w:r>
        <w:rPr>
          <w:rStyle w:val="CharSectno"/>
        </w:rPr>
        <w:t>7E</w:t>
      </w:r>
      <w:r>
        <w:t>.</w:t>
      </w:r>
      <w:r>
        <w:tab/>
        <w:t>Particular provision for information as to proposed improvements and capital works</w:t>
      </w:r>
      <w:bookmarkEnd w:id="33"/>
      <w:bookmarkEnd w:id="34"/>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35" w:name="_Toc378668085"/>
      <w:bookmarkStart w:id="36" w:name="_Toc424742012"/>
      <w:bookmarkStart w:id="37" w:name="_Toc424742146"/>
      <w:bookmarkStart w:id="38" w:name="_Toc427328983"/>
      <w:r>
        <w:rPr>
          <w:rStyle w:val="CharPartNo"/>
        </w:rPr>
        <w:t>Part 2</w:t>
      </w:r>
      <w:r>
        <w:rPr>
          <w:rStyle w:val="CharDivNo"/>
        </w:rPr>
        <w:t xml:space="preserve"> </w:t>
      </w:r>
      <w:r>
        <w:t>—</w:t>
      </w:r>
      <w:r>
        <w:rPr>
          <w:rStyle w:val="CharDivText"/>
        </w:rPr>
        <w:t xml:space="preserve"> </w:t>
      </w:r>
      <w:r>
        <w:rPr>
          <w:rStyle w:val="CharPartText"/>
        </w:rPr>
        <w:t>Proposals for access</w:t>
      </w:r>
      <w:bookmarkEnd w:id="35"/>
      <w:bookmarkEnd w:id="36"/>
      <w:bookmarkEnd w:id="37"/>
      <w:bookmarkEnd w:id="38"/>
      <w:r>
        <w:rPr>
          <w:rStyle w:val="CharPartText"/>
        </w:rPr>
        <w:t xml:space="preserve"> </w:t>
      </w:r>
    </w:p>
    <w:p>
      <w:pPr>
        <w:pStyle w:val="Heading5"/>
        <w:rPr>
          <w:snapToGrid w:val="0"/>
        </w:rPr>
      </w:pPr>
      <w:bookmarkStart w:id="39" w:name="_Toc378668086"/>
      <w:bookmarkStart w:id="40" w:name="_Toc427328984"/>
      <w:r>
        <w:rPr>
          <w:rStyle w:val="CharSectno"/>
        </w:rPr>
        <w:t>7</w:t>
      </w:r>
      <w:r>
        <w:rPr>
          <w:snapToGrid w:val="0"/>
        </w:rPr>
        <w:t>.</w:t>
      </w:r>
      <w:r>
        <w:rPr>
          <w:snapToGrid w:val="0"/>
        </w:rPr>
        <w:tab/>
        <w:t>Preliminary information</w:t>
      </w:r>
      <w:bookmarkEnd w:id="39"/>
      <w:bookmarkEnd w:id="40"/>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41" w:name="_Toc378668087"/>
      <w:bookmarkStart w:id="42" w:name="_Toc427328985"/>
      <w:r>
        <w:rPr>
          <w:rStyle w:val="CharSectno"/>
        </w:rPr>
        <w:t>8</w:t>
      </w:r>
      <w:r>
        <w:rPr>
          <w:snapToGrid w:val="0"/>
        </w:rPr>
        <w:t>.</w:t>
      </w:r>
      <w:r>
        <w:rPr>
          <w:snapToGrid w:val="0"/>
        </w:rPr>
        <w:tab/>
        <w:t>Proposals for access</w:t>
      </w:r>
      <w:bookmarkEnd w:id="41"/>
      <w:bookmarkEnd w:id="4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43" w:name="_Toc378668088"/>
      <w:bookmarkStart w:id="44" w:name="_Toc427328986"/>
      <w:r>
        <w:rPr>
          <w:rStyle w:val="CharSectno"/>
        </w:rPr>
        <w:t>9A</w:t>
      </w:r>
      <w:r>
        <w:t>.</w:t>
      </w:r>
      <w:r>
        <w:tab/>
        <w:t>Withdrawal of proposal</w:t>
      </w:r>
      <w:bookmarkEnd w:id="43"/>
      <w:bookmarkEnd w:id="44"/>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pageBreakBefore/>
        <w:rPr>
          <w:snapToGrid w:val="0"/>
        </w:rPr>
      </w:pPr>
      <w:bookmarkStart w:id="45" w:name="_Toc378668089"/>
      <w:bookmarkStart w:id="46" w:name="_Toc427328987"/>
      <w:r>
        <w:rPr>
          <w:rStyle w:val="CharSectno"/>
        </w:rPr>
        <w:t>9</w:t>
      </w:r>
      <w:r>
        <w:rPr>
          <w:snapToGrid w:val="0"/>
        </w:rPr>
        <w:t>.</w:t>
      </w:r>
      <w:r>
        <w:rPr>
          <w:snapToGrid w:val="0"/>
        </w:rPr>
        <w:tab/>
        <w:t>Railway owner’s obligations on receipt of proposal</w:t>
      </w:r>
      <w:bookmarkEnd w:id="45"/>
      <w:bookmarkEnd w:id="46"/>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r>
        <w:tab/>
        <w:t>[Section 9 amended in Gazette 23 Jul 2004 p. 2990</w:t>
      </w:r>
      <w:r>
        <w:noBreakHyphen/>
        <w:t>1; 23 Jun 2009 p. 2416.]</w:t>
      </w:r>
    </w:p>
    <w:p>
      <w:pPr>
        <w:pStyle w:val="Heading5"/>
        <w:rPr>
          <w:snapToGrid w:val="0"/>
        </w:rPr>
      </w:pPr>
      <w:bookmarkStart w:id="47" w:name="_Toc378668090"/>
      <w:bookmarkStart w:id="48" w:name="_Toc427328988"/>
      <w:r>
        <w:rPr>
          <w:rStyle w:val="CharSectno"/>
        </w:rPr>
        <w:t>10</w:t>
      </w:r>
      <w:r>
        <w:rPr>
          <w:snapToGrid w:val="0"/>
        </w:rPr>
        <w:t>.</w:t>
      </w:r>
      <w:r>
        <w:rPr>
          <w:snapToGrid w:val="0"/>
        </w:rPr>
        <w:tab/>
        <w:t>Regulator’s approval required in certain cases</w:t>
      </w:r>
      <w:bookmarkEnd w:id="47"/>
      <w:bookmarkEnd w:id="4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49" w:name="_Toc378668091"/>
      <w:bookmarkStart w:id="50" w:name="_Toc427328989"/>
      <w:r>
        <w:rPr>
          <w:rStyle w:val="CharSectno"/>
        </w:rPr>
        <w:t>11</w:t>
      </w:r>
      <w:r>
        <w:rPr>
          <w:snapToGrid w:val="0"/>
        </w:rPr>
        <w:t>.</w:t>
      </w:r>
      <w:r>
        <w:rPr>
          <w:snapToGrid w:val="0"/>
        </w:rPr>
        <w:tab/>
        <w:t>Time limits applicable to section 10</w:t>
      </w:r>
      <w:bookmarkEnd w:id="49"/>
      <w:bookmarkEnd w:id="50"/>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51" w:name="_Toc378668092"/>
      <w:bookmarkStart w:id="52" w:name="_Toc427328990"/>
      <w:r>
        <w:rPr>
          <w:rStyle w:val="CharSectno"/>
        </w:rPr>
        <w:t>12</w:t>
      </w:r>
      <w:r>
        <w:rPr>
          <w:snapToGrid w:val="0"/>
        </w:rPr>
        <w:t>.</w:t>
      </w:r>
      <w:r>
        <w:rPr>
          <w:snapToGrid w:val="0"/>
        </w:rPr>
        <w:tab/>
        <w:t>Record of proposals to be kept</w:t>
      </w:r>
      <w:bookmarkEnd w:id="51"/>
      <w:bookmarkEnd w:id="52"/>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53" w:name="_Toc378668093"/>
      <w:bookmarkStart w:id="54" w:name="_Toc424742020"/>
      <w:bookmarkStart w:id="55" w:name="_Toc424742154"/>
      <w:bookmarkStart w:id="56" w:name="_Toc427328991"/>
      <w:r>
        <w:rPr>
          <w:rStyle w:val="CharPartNo"/>
        </w:rPr>
        <w:t>Part 3</w:t>
      </w:r>
      <w:r>
        <w:t xml:space="preserve"> — </w:t>
      </w:r>
      <w:r>
        <w:rPr>
          <w:rStyle w:val="CharPartText"/>
        </w:rPr>
        <w:t>Negotiations</w:t>
      </w:r>
      <w:bookmarkEnd w:id="53"/>
      <w:bookmarkEnd w:id="54"/>
      <w:bookmarkEnd w:id="55"/>
      <w:bookmarkEnd w:id="56"/>
      <w:r>
        <w:rPr>
          <w:rStyle w:val="CharPartText"/>
        </w:rPr>
        <w:t xml:space="preserve"> </w:t>
      </w:r>
    </w:p>
    <w:p>
      <w:pPr>
        <w:pStyle w:val="Heading3"/>
      </w:pPr>
      <w:bookmarkStart w:id="57" w:name="_Toc378668094"/>
      <w:bookmarkStart w:id="58" w:name="_Toc424742021"/>
      <w:bookmarkStart w:id="59" w:name="_Toc424742155"/>
      <w:bookmarkStart w:id="60" w:name="_Toc427328992"/>
      <w:r>
        <w:rPr>
          <w:rStyle w:val="CharDivNo"/>
        </w:rPr>
        <w:t>Division 1</w:t>
      </w:r>
      <w:r>
        <w:rPr>
          <w:snapToGrid w:val="0"/>
        </w:rPr>
        <w:t xml:space="preserve"> — </w:t>
      </w:r>
      <w:r>
        <w:rPr>
          <w:rStyle w:val="CharDivText"/>
        </w:rPr>
        <w:t>When duty to negotiate arises</w:t>
      </w:r>
      <w:bookmarkEnd w:id="57"/>
      <w:bookmarkEnd w:id="58"/>
      <w:bookmarkEnd w:id="59"/>
      <w:bookmarkEnd w:id="60"/>
      <w:r>
        <w:rPr>
          <w:rStyle w:val="CharDivText"/>
        </w:rPr>
        <w:t xml:space="preserve"> </w:t>
      </w:r>
    </w:p>
    <w:p>
      <w:pPr>
        <w:pStyle w:val="Heading5"/>
        <w:rPr>
          <w:snapToGrid w:val="0"/>
        </w:rPr>
      </w:pPr>
      <w:bookmarkStart w:id="61" w:name="_Toc378668095"/>
      <w:bookmarkStart w:id="62" w:name="_Toc427328993"/>
      <w:r>
        <w:rPr>
          <w:rStyle w:val="CharSectno"/>
        </w:rPr>
        <w:t>13</w:t>
      </w:r>
      <w:r>
        <w:rPr>
          <w:snapToGrid w:val="0"/>
        </w:rPr>
        <w:t>.</w:t>
      </w:r>
      <w:r>
        <w:rPr>
          <w:snapToGrid w:val="0"/>
        </w:rPr>
        <w:tab/>
        <w:t>Duty of railway owner to negotiate</w:t>
      </w:r>
      <w:bookmarkEnd w:id="61"/>
      <w:bookmarkEnd w:id="6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63" w:name="_Toc378668096"/>
      <w:bookmarkStart w:id="64" w:name="_Toc427328994"/>
      <w:r>
        <w:rPr>
          <w:rStyle w:val="CharSectno"/>
        </w:rPr>
        <w:t>14</w:t>
      </w:r>
      <w:r>
        <w:rPr>
          <w:snapToGrid w:val="0"/>
        </w:rPr>
        <w:t>.</w:t>
      </w:r>
      <w:r>
        <w:rPr>
          <w:snapToGrid w:val="0"/>
        </w:rPr>
        <w:tab/>
        <w:t>Proponent must show it has managerial and financial ability</w:t>
      </w:r>
      <w:bookmarkEnd w:id="63"/>
      <w:bookmarkEnd w:id="6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r>
        <w:tab/>
        <w:t>[Section 14 amended in Gazette 23 Jul 2004 p. 2991.]</w:t>
      </w:r>
    </w:p>
    <w:p>
      <w:pPr>
        <w:pStyle w:val="Heading5"/>
      </w:pPr>
      <w:bookmarkStart w:id="65" w:name="_Toc378668097"/>
      <w:bookmarkStart w:id="66" w:name="_Toc427328995"/>
      <w:r>
        <w:rPr>
          <w:rStyle w:val="CharSectno"/>
        </w:rPr>
        <w:t>15</w:t>
      </w:r>
      <w:r>
        <w:t>.</w:t>
      </w:r>
      <w:r>
        <w:tab/>
        <w:t>Proponent must show that its operations are within the capacity of the route or expanded route</w:t>
      </w:r>
      <w:bookmarkEnd w:id="65"/>
      <w:bookmarkEnd w:id="66"/>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67" w:name="_Toc378668098"/>
      <w:bookmarkStart w:id="68" w:name="_Toc424742025"/>
      <w:bookmarkStart w:id="69" w:name="_Toc424742159"/>
      <w:bookmarkStart w:id="70" w:name="_Toc427328996"/>
      <w:r>
        <w:rPr>
          <w:rStyle w:val="CharDivNo"/>
        </w:rPr>
        <w:t>Division 2</w:t>
      </w:r>
      <w:r>
        <w:rPr>
          <w:snapToGrid w:val="0"/>
        </w:rPr>
        <w:t xml:space="preserve"> — </w:t>
      </w:r>
      <w:r>
        <w:rPr>
          <w:rStyle w:val="CharDivText"/>
        </w:rPr>
        <w:t>Negotiations</w:t>
      </w:r>
      <w:bookmarkEnd w:id="67"/>
      <w:bookmarkEnd w:id="68"/>
      <w:bookmarkEnd w:id="69"/>
      <w:bookmarkEnd w:id="70"/>
      <w:r>
        <w:rPr>
          <w:rStyle w:val="CharDivText"/>
        </w:rPr>
        <w:t xml:space="preserve"> </w:t>
      </w:r>
    </w:p>
    <w:p>
      <w:pPr>
        <w:pStyle w:val="Heading5"/>
        <w:rPr>
          <w:snapToGrid w:val="0"/>
        </w:rPr>
      </w:pPr>
      <w:bookmarkStart w:id="71" w:name="_Toc378668099"/>
      <w:bookmarkStart w:id="72" w:name="_Toc427328997"/>
      <w:r>
        <w:rPr>
          <w:rStyle w:val="CharSectno"/>
        </w:rPr>
        <w:t>16</w:t>
      </w:r>
      <w:r>
        <w:rPr>
          <w:snapToGrid w:val="0"/>
        </w:rPr>
        <w:t>.</w:t>
      </w:r>
      <w:r>
        <w:rPr>
          <w:snapToGrid w:val="0"/>
        </w:rPr>
        <w:tab/>
        <w:t>General duties of railway owner in negotiations</w:t>
      </w:r>
      <w:bookmarkEnd w:id="71"/>
      <w:bookmarkEnd w:id="7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73" w:name="_Toc378668100"/>
      <w:bookmarkStart w:id="74" w:name="_Toc427328998"/>
      <w:r>
        <w:rPr>
          <w:rStyle w:val="CharSectno"/>
        </w:rPr>
        <w:t>17</w:t>
      </w:r>
      <w:r>
        <w:rPr>
          <w:snapToGrid w:val="0"/>
        </w:rPr>
        <w:t>.</w:t>
      </w:r>
      <w:r>
        <w:rPr>
          <w:snapToGrid w:val="0"/>
        </w:rPr>
        <w:tab/>
        <w:t>Matters that must be covered</w:t>
      </w:r>
      <w:bookmarkEnd w:id="73"/>
      <w:bookmarkEnd w:id="74"/>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75" w:name="_Toc378668101"/>
      <w:bookmarkStart w:id="76" w:name="_Toc427328999"/>
      <w:r>
        <w:rPr>
          <w:rStyle w:val="CharSectno"/>
        </w:rPr>
        <w:t>18</w:t>
      </w:r>
      <w:r>
        <w:rPr>
          <w:snapToGrid w:val="0"/>
        </w:rPr>
        <w:t>.</w:t>
      </w:r>
      <w:r>
        <w:rPr>
          <w:snapToGrid w:val="0"/>
        </w:rPr>
        <w:tab/>
        <w:t>Sufficiency of information under sections 14 and 15</w:t>
      </w:r>
      <w:bookmarkEnd w:id="75"/>
      <w:bookmarkEnd w:id="7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77" w:name="_Toc378668102"/>
      <w:bookmarkStart w:id="78" w:name="_Toc427329000"/>
      <w:r>
        <w:rPr>
          <w:rStyle w:val="CharSectno"/>
        </w:rPr>
        <w:t>19</w:t>
      </w:r>
      <w:r>
        <w:rPr>
          <w:snapToGrid w:val="0"/>
        </w:rPr>
        <w:t>.</w:t>
      </w:r>
      <w:r>
        <w:rPr>
          <w:snapToGrid w:val="0"/>
        </w:rPr>
        <w:tab/>
        <w:t>Notice of readiness to commence negotiations</w:t>
      </w:r>
      <w:bookmarkEnd w:id="77"/>
      <w:bookmarkEnd w:id="7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79" w:name="_Toc378668103"/>
      <w:bookmarkStart w:id="80" w:name="_Toc427329001"/>
      <w:r>
        <w:rPr>
          <w:rStyle w:val="CharSectno"/>
        </w:rPr>
        <w:t>20</w:t>
      </w:r>
      <w:r>
        <w:rPr>
          <w:snapToGrid w:val="0"/>
        </w:rPr>
        <w:t>.</w:t>
      </w:r>
      <w:r>
        <w:rPr>
          <w:snapToGrid w:val="0"/>
        </w:rPr>
        <w:tab/>
        <w:t>Negotiation period</w:t>
      </w:r>
      <w:bookmarkEnd w:id="79"/>
      <w:bookmarkEnd w:id="80"/>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81" w:name="_Toc378668104"/>
      <w:bookmarkStart w:id="82" w:name="_Toc427329002"/>
      <w:r>
        <w:rPr>
          <w:rStyle w:val="CharSectno"/>
        </w:rPr>
        <w:t>21</w:t>
      </w:r>
      <w:r>
        <w:rPr>
          <w:snapToGrid w:val="0"/>
        </w:rPr>
        <w:t>.</w:t>
      </w:r>
      <w:r>
        <w:rPr>
          <w:snapToGrid w:val="0"/>
        </w:rPr>
        <w:tab/>
        <w:t>Regulator may give opinion on price sought for access</w:t>
      </w:r>
      <w:bookmarkEnd w:id="81"/>
      <w:bookmarkEnd w:id="8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83" w:name="_Toc378668105"/>
      <w:bookmarkStart w:id="84" w:name="_Toc424742032"/>
      <w:bookmarkStart w:id="85" w:name="_Toc424742166"/>
      <w:bookmarkStart w:id="86" w:name="_Toc427329003"/>
      <w:r>
        <w:rPr>
          <w:rStyle w:val="CharDivNo"/>
        </w:rPr>
        <w:t>Division 3</w:t>
      </w:r>
      <w:r>
        <w:rPr>
          <w:snapToGrid w:val="0"/>
        </w:rPr>
        <w:t xml:space="preserve"> — </w:t>
      </w:r>
      <w:r>
        <w:rPr>
          <w:rStyle w:val="CharDivText"/>
        </w:rPr>
        <w:t>Arbitration of disputes</w:t>
      </w:r>
      <w:bookmarkEnd w:id="83"/>
      <w:bookmarkEnd w:id="84"/>
      <w:bookmarkEnd w:id="85"/>
      <w:bookmarkEnd w:id="86"/>
    </w:p>
    <w:p>
      <w:pPr>
        <w:pStyle w:val="Heading5"/>
        <w:rPr>
          <w:snapToGrid w:val="0"/>
        </w:rPr>
      </w:pPr>
      <w:bookmarkStart w:id="87" w:name="_Toc378668106"/>
      <w:bookmarkStart w:id="88" w:name="_Toc427329004"/>
      <w:r>
        <w:rPr>
          <w:rStyle w:val="CharSectno"/>
        </w:rPr>
        <w:t>22</w:t>
      </w:r>
      <w:r>
        <w:rPr>
          <w:snapToGrid w:val="0"/>
        </w:rPr>
        <w:t>.</w:t>
      </w:r>
      <w:r>
        <w:rPr>
          <w:snapToGrid w:val="0"/>
        </w:rPr>
        <w:tab/>
        <w:t>Terms used</w:t>
      </w:r>
      <w:bookmarkEnd w:id="87"/>
      <w:bookmarkEnd w:id="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in Gazette 19 Jul 2013 p. 3270.] </w:t>
      </w:r>
    </w:p>
    <w:p>
      <w:pPr>
        <w:pStyle w:val="Heading5"/>
        <w:rPr>
          <w:snapToGrid w:val="0"/>
        </w:rPr>
      </w:pPr>
      <w:bookmarkStart w:id="89" w:name="_Toc378668107"/>
      <w:bookmarkStart w:id="90" w:name="_Toc427329005"/>
      <w:r>
        <w:rPr>
          <w:rStyle w:val="CharSectno"/>
        </w:rPr>
        <w:t>24</w:t>
      </w:r>
      <w:r>
        <w:rPr>
          <w:snapToGrid w:val="0"/>
        </w:rPr>
        <w:t>.</w:t>
      </w:r>
      <w:r>
        <w:rPr>
          <w:snapToGrid w:val="0"/>
        </w:rPr>
        <w:tab/>
        <w:t>Panels of persons who may be appointed as arbitrators</w:t>
      </w:r>
      <w:bookmarkEnd w:id="89"/>
      <w:bookmarkEnd w:id="90"/>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91" w:name="_Toc378668108"/>
      <w:bookmarkStart w:id="92" w:name="_Toc427329006"/>
      <w:r>
        <w:rPr>
          <w:rStyle w:val="CharSectno"/>
        </w:rPr>
        <w:t>25</w:t>
      </w:r>
      <w:r>
        <w:rPr>
          <w:snapToGrid w:val="0"/>
        </w:rPr>
        <w:t>.</w:t>
      </w:r>
      <w:r>
        <w:rPr>
          <w:snapToGrid w:val="0"/>
        </w:rPr>
        <w:tab/>
        <w:t>When entity taken to be in dispute with railway owner</w:t>
      </w:r>
      <w:bookmarkEnd w:id="91"/>
      <w:bookmarkEnd w:id="92"/>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93" w:name="_Toc378668109"/>
      <w:bookmarkStart w:id="94" w:name="_Toc427329007"/>
      <w:r>
        <w:rPr>
          <w:rStyle w:val="CharSectno"/>
        </w:rPr>
        <w:t>26</w:t>
      </w:r>
      <w:r>
        <w:rPr>
          <w:snapToGrid w:val="0"/>
        </w:rPr>
        <w:t>.</w:t>
      </w:r>
      <w:r>
        <w:rPr>
          <w:snapToGrid w:val="0"/>
        </w:rPr>
        <w:tab/>
        <w:t xml:space="preserve">Arbitration of disputes under </w:t>
      </w:r>
      <w:r>
        <w:rPr>
          <w:i/>
          <w:snapToGrid w:val="0"/>
        </w:rPr>
        <w:t>Commercial Arbitration Act 2012</w:t>
      </w:r>
      <w:bookmarkEnd w:id="93"/>
      <w:bookmarkEnd w:id="94"/>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in Gazette 19 Jul 2013 p. 3270.]</w:t>
      </w:r>
    </w:p>
    <w:p>
      <w:pPr>
        <w:pStyle w:val="Heading5"/>
      </w:pPr>
      <w:bookmarkStart w:id="95" w:name="_Toc378668110"/>
      <w:bookmarkStart w:id="96" w:name="_Toc427329008"/>
      <w:r>
        <w:rPr>
          <w:rStyle w:val="CharSectno"/>
        </w:rPr>
        <w:t>27</w:t>
      </w:r>
      <w:r>
        <w:rPr>
          <w:snapToGrid w:val="0"/>
        </w:rPr>
        <w:t>.</w:t>
      </w:r>
      <w:r>
        <w:rPr>
          <w:snapToGrid w:val="0"/>
        </w:rPr>
        <w:tab/>
        <w:t>Appointment where issues are also relevant to arbitration under another access regime</w:t>
      </w:r>
      <w:bookmarkEnd w:id="95"/>
      <w:bookmarkEnd w:id="96"/>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97" w:name="_Toc378668111"/>
      <w:bookmarkStart w:id="98" w:name="_Toc427329009"/>
      <w:r>
        <w:rPr>
          <w:rStyle w:val="CharSectno"/>
        </w:rPr>
        <w:t>28</w:t>
      </w:r>
      <w:r>
        <w:rPr>
          <w:snapToGrid w:val="0"/>
        </w:rPr>
        <w:t>.</w:t>
      </w:r>
      <w:r>
        <w:rPr>
          <w:snapToGrid w:val="0"/>
        </w:rPr>
        <w:tab/>
        <w:t>Preliminary conference to be held</w:t>
      </w:r>
      <w:bookmarkEnd w:id="97"/>
      <w:bookmarkEnd w:id="98"/>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in Gazette 19 Jul 2013 p. 3270.]</w:t>
      </w:r>
    </w:p>
    <w:p>
      <w:pPr>
        <w:pStyle w:val="Heading5"/>
        <w:rPr>
          <w:snapToGrid w:val="0"/>
        </w:rPr>
      </w:pPr>
      <w:bookmarkStart w:id="99" w:name="_Toc378668112"/>
      <w:bookmarkStart w:id="100" w:name="_Toc427329010"/>
      <w:r>
        <w:rPr>
          <w:rStyle w:val="CharSectno"/>
        </w:rPr>
        <w:t>29</w:t>
      </w:r>
      <w:r>
        <w:rPr>
          <w:snapToGrid w:val="0"/>
        </w:rPr>
        <w:t>.</w:t>
      </w:r>
      <w:r>
        <w:rPr>
          <w:snapToGrid w:val="0"/>
        </w:rPr>
        <w:tab/>
        <w:t>Matters to be taken into account by arbitrator</w:t>
      </w:r>
      <w:bookmarkEnd w:id="99"/>
      <w:bookmarkEnd w:id="100"/>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101" w:name="_Toc378668113"/>
      <w:bookmarkStart w:id="102" w:name="_Toc427329011"/>
      <w:r>
        <w:rPr>
          <w:rStyle w:val="CharSectno"/>
        </w:rPr>
        <w:t>30</w:t>
      </w:r>
      <w:r>
        <w:rPr>
          <w:snapToGrid w:val="0"/>
        </w:rPr>
        <w:t>.</w:t>
      </w:r>
      <w:r>
        <w:rPr>
          <w:snapToGrid w:val="0"/>
        </w:rPr>
        <w:tab/>
        <w:t>Question may be referred to Regulator</w:t>
      </w:r>
      <w:bookmarkEnd w:id="101"/>
      <w:bookmarkEnd w:id="102"/>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Footnotesection"/>
      </w:pPr>
      <w:r>
        <w:tab/>
        <w:t>[Section 30 amended in Gazette 19 Jul 2013 p. 3270.]</w:t>
      </w:r>
    </w:p>
    <w:p>
      <w:pPr>
        <w:pStyle w:val="Heading5"/>
        <w:rPr>
          <w:snapToGrid w:val="0"/>
        </w:rPr>
      </w:pPr>
      <w:bookmarkStart w:id="103" w:name="_Toc378668114"/>
      <w:bookmarkStart w:id="104" w:name="_Toc427329012"/>
      <w:r>
        <w:rPr>
          <w:rStyle w:val="CharSectno"/>
        </w:rPr>
        <w:t>31</w:t>
      </w:r>
      <w:r>
        <w:rPr>
          <w:snapToGrid w:val="0"/>
        </w:rPr>
        <w:t>.</w:t>
      </w:r>
      <w:r>
        <w:rPr>
          <w:snapToGrid w:val="0"/>
        </w:rPr>
        <w:tab/>
        <w:t>Determination of dispute</w:t>
      </w:r>
      <w:bookmarkEnd w:id="103"/>
      <w:bookmarkEnd w:id="104"/>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in Gazette 19 Jul 2013 p. 3270.]</w:t>
      </w:r>
    </w:p>
    <w:p>
      <w:pPr>
        <w:pStyle w:val="Heading5"/>
        <w:rPr>
          <w:snapToGrid w:val="0"/>
        </w:rPr>
      </w:pPr>
      <w:bookmarkStart w:id="105" w:name="_Toc378668115"/>
      <w:bookmarkStart w:id="106" w:name="_Toc427329013"/>
      <w:r>
        <w:rPr>
          <w:rStyle w:val="CharSectno"/>
        </w:rPr>
        <w:t>32</w:t>
      </w:r>
      <w:r>
        <w:rPr>
          <w:snapToGrid w:val="0"/>
        </w:rPr>
        <w:t>.</w:t>
      </w:r>
      <w:r>
        <w:rPr>
          <w:snapToGrid w:val="0"/>
        </w:rPr>
        <w:tab/>
        <w:t>Determinations where section 25(2)(b) applies</w:t>
      </w:r>
      <w:bookmarkEnd w:id="105"/>
      <w:bookmarkEnd w:id="106"/>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07" w:name="_Toc378668116"/>
      <w:bookmarkStart w:id="108" w:name="_Toc427329014"/>
      <w:r>
        <w:rPr>
          <w:rStyle w:val="CharSectno"/>
        </w:rPr>
        <w:t>33</w:t>
      </w:r>
      <w:r>
        <w:rPr>
          <w:snapToGrid w:val="0"/>
        </w:rPr>
        <w:t>.</w:t>
      </w:r>
      <w:r>
        <w:rPr>
          <w:snapToGrid w:val="0"/>
        </w:rPr>
        <w:tab/>
        <w:t>Determinations in other cases</w:t>
      </w:r>
      <w:bookmarkEnd w:id="107"/>
      <w:bookmarkEnd w:id="108"/>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09" w:name="_Toc378668117"/>
      <w:bookmarkStart w:id="110" w:name="_Toc427329015"/>
      <w:r>
        <w:rPr>
          <w:rStyle w:val="CharSectno"/>
        </w:rPr>
        <w:t>34</w:t>
      </w:r>
      <w:r>
        <w:rPr>
          <w:snapToGrid w:val="0"/>
        </w:rPr>
        <w:t>.</w:t>
      </w:r>
      <w:r>
        <w:rPr>
          <w:snapToGrid w:val="0"/>
        </w:rPr>
        <w:tab/>
        <w:t>Determination, effect in relation to railway owner and other party</w:t>
      </w:r>
      <w:bookmarkEnd w:id="109"/>
      <w:bookmarkEnd w:id="110"/>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 xml:space="preserve">Subsection (2) does not apply to any provision of a determination that consists of a direction as to, or an award of, costs under section 33B(1) or (7) of the </w:t>
      </w:r>
      <w:r>
        <w:rPr>
          <w:i/>
        </w:rPr>
        <w:t>Commercial Arbitration Act 2012</w:t>
      </w:r>
      <w:r>
        <w:t>, and any such provision binds the other party in the same way as it binds the railway owner.</w:t>
      </w:r>
    </w:p>
    <w:p>
      <w:pPr>
        <w:pStyle w:val="Footnotesection"/>
      </w:pPr>
      <w:r>
        <w:tab/>
        <w:t>[Section 34 amended in Gazette 23 Jul 2004 p. 2992</w:t>
      </w:r>
      <w:r>
        <w:noBreakHyphen/>
        <w:t>3; 19 Jul 2013 p. 3270-1.]</w:t>
      </w:r>
    </w:p>
    <w:p>
      <w:pPr>
        <w:pStyle w:val="Heading5"/>
        <w:rPr>
          <w:snapToGrid w:val="0"/>
        </w:rPr>
      </w:pPr>
      <w:bookmarkStart w:id="111" w:name="_Toc378668118"/>
      <w:bookmarkStart w:id="112" w:name="_Toc427329016"/>
      <w:r>
        <w:rPr>
          <w:rStyle w:val="CharSectno"/>
        </w:rPr>
        <w:t>35</w:t>
      </w:r>
      <w:r>
        <w:rPr>
          <w:snapToGrid w:val="0"/>
        </w:rPr>
        <w:t>.</w:t>
      </w:r>
      <w:r>
        <w:rPr>
          <w:snapToGrid w:val="0"/>
        </w:rPr>
        <w:tab/>
        <w:t>Termination of arbitration</w:t>
      </w:r>
      <w:bookmarkEnd w:id="111"/>
      <w:bookmarkEnd w:id="112"/>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113" w:name="_Toc378668119"/>
      <w:bookmarkStart w:id="114" w:name="_Toc427329017"/>
      <w:r>
        <w:rPr>
          <w:rStyle w:val="CharSectno"/>
        </w:rPr>
        <w:t>36A</w:t>
      </w:r>
      <w:r>
        <w:t>.</w:t>
      </w:r>
      <w:r>
        <w:tab/>
        <w:t xml:space="preserve">Transitional provision relating to the </w:t>
      </w:r>
      <w:r>
        <w:rPr>
          <w:i/>
        </w:rPr>
        <w:t>Railways (Access) Amendment Code 2012</w:t>
      </w:r>
      <w:bookmarkEnd w:id="113"/>
      <w:bookmarkEnd w:id="114"/>
    </w:p>
    <w:p>
      <w:pPr>
        <w:pStyle w:val="Subsection"/>
      </w:pPr>
      <w:r>
        <w:tab/>
        <w:t>(1)</w:t>
      </w:r>
      <w:r>
        <w:tab/>
        <w:t xml:space="preserve">In this section — </w:t>
      </w:r>
    </w:p>
    <w:p>
      <w:pPr>
        <w:pStyle w:val="Indenta"/>
      </w:pPr>
      <w:r>
        <w:tab/>
      </w:r>
      <w:r>
        <w:tab/>
      </w:r>
      <w:r>
        <w:rPr>
          <w:rStyle w:val="CharDefText"/>
        </w:rPr>
        <w:t xml:space="preserve">commencement day </w:t>
      </w:r>
      <w:r>
        <w:t>means the day on which the Commercial Arbitration Act 2012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in Gazette 19 Jul 2013 p. 3271.]</w:t>
      </w:r>
    </w:p>
    <w:p>
      <w:pPr>
        <w:pStyle w:val="Heading2"/>
      </w:pPr>
      <w:bookmarkStart w:id="115" w:name="_Toc378668120"/>
      <w:bookmarkStart w:id="116" w:name="_Toc424742047"/>
      <w:bookmarkStart w:id="117" w:name="_Toc424742181"/>
      <w:bookmarkStart w:id="118" w:name="_Toc427329018"/>
      <w:r>
        <w:rPr>
          <w:rStyle w:val="CharPartNo"/>
        </w:rPr>
        <w:t>Part 4</w:t>
      </w:r>
      <w:r>
        <w:t xml:space="preserve"> — </w:t>
      </w:r>
      <w:r>
        <w:rPr>
          <w:rStyle w:val="CharPartText"/>
        </w:rPr>
        <w:t>Access agreements</w:t>
      </w:r>
      <w:bookmarkEnd w:id="115"/>
      <w:bookmarkEnd w:id="116"/>
      <w:bookmarkEnd w:id="117"/>
      <w:bookmarkEnd w:id="118"/>
      <w:r>
        <w:rPr>
          <w:rStyle w:val="CharPartText"/>
        </w:rPr>
        <w:t xml:space="preserve"> </w:t>
      </w:r>
    </w:p>
    <w:p>
      <w:pPr>
        <w:pStyle w:val="Heading3"/>
      </w:pPr>
      <w:bookmarkStart w:id="119" w:name="_Toc378668121"/>
      <w:bookmarkStart w:id="120" w:name="_Toc424742048"/>
      <w:bookmarkStart w:id="121" w:name="_Toc424742182"/>
      <w:bookmarkStart w:id="122" w:name="_Toc427329019"/>
      <w:r>
        <w:rPr>
          <w:rStyle w:val="CharDivNo"/>
        </w:rPr>
        <w:t>Division 1</w:t>
      </w:r>
      <w:r>
        <w:rPr>
          <w:snapToGrid w:val="0"/>
        </w:rPr>
        <w:t xml:space="preserve"> — </w:t>
      </w:r>
      <w:r>
        <w:rPr>
          <w:rStyle w:val="CharDivText"/>
        </w:rPr>
        <w:t>General</w:t>
      </w:r>
      <w:bookmarkEnd w:id="119"/>
      <w:bookmarkEnd w:id="120"/>
      <w:bookmarkEnd w:id="121"/>
      <w:bookmarkEnd w:id="122"/>
      <w:r>
        <w:rPr>
          <w:rStyle w:val="CharDivText"/>
        </w:rPr>
        <w:t xml:space="preserve"> </w:t>
      </w:r>
    </w:p>
    <w:p>
      <w:pPr>
        <w:pStyle w:val="Heading5"/>
        <w:rPr>
          <w:snapToGrid w:val="0"/>
        </w:rPr>
      </w:pPr>
      <w:bookmarkStart w:id="123" w:name="_Toc378668122"/>
      <w:bookmarkStart w:id="124" w:name="_Toc427329020"/>
      <w:r>
        <w:rPr>
          <w:rStyle w:val="CharSectno"/>
        </w:rPr>
        <w:t>36</w:t>
      </w:r>
      <w:r>
        <w:rPr>
          <w:snapToGrid w:val="0"/>
        </w:rPr>
        <w:t>.</w:t>
      </w:r>
      <w:r>
        <w:rPr>
          <w:snapToGrid w:val="0"/>
        </w:rPr>
        <w:tab/>
        <w:t>General matters relating to access agreements</w:t>
      </w:r>
      <w:bookmarkEnd w:id="123"/>
      <w:bookmarkEnd w:id="124"/>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25" w:name="_Toc378668123"/>
      <w:bookmarkStart w:id="126" w:name="_Toc427329021"/>
      <w:r>
        <w:rPr>
          <w:rStyle w:val="CharSectno"/>
        </w:rPr>
        <w:t>37</w:t>
      </w:r>
      <w:r>
        <w:rPr>
          <w:snapToGrid w:val="0"/>
        </w:rPr>
        <w:t>.</w:t>
      </w:r>
      <w:r>
        <w:rPr>
          <w:snapToGrid w:val="0"/>
        </w:rPr>
        <w:tab/>
        <w:t>Access agreements may differ</w:t>
      </w:r>
      <w:bookmarkEnd w:id="125"/>
      <w:bookmarkEnd w:id="126"/>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27" w:name="_Toc378668124"/>
      <w:bookmarkStart w:id="128" w:name="_Toc427329022"/>
      <w:r>
        <w:rPr>
          <w:rStyle w:val="CharSectno"/>
        </w:rPr>
        <w:t>38</w:t>
      </w:r>
      <w:r>
        <w:rPr>
          <w:snapToGrid w:val="0"/>
        </w:rPr>
        <w:t>.</w:t>
      </w:r>
      <w:r>
        <w:rPr>
          <w:snapToGrid w:val="0"/>
        </w:rPr>
        <w:tab/>
        <w:t>Agreement not affected by later amendments to Code</w:t>
      </w:r>
      <w:bookmarkEnd w:id="127"/>
      <w:bookmarkEnd w:id="128"/>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29" w:name="_Toc378668125"/>
      <w:bookmarkStart w:id="130" w:name="_Toc424742052"/>
      <w:bookmarkStart w:id="131" w:name="_Toc424742186"/>
      <w:bookmarkStart w:id="132" w:name="_Toc427329023"/>
      <w:r>
        <w:rPr>
          <w:rStyle w:val="CharDivNo"/>
        </w:rPr>
        <w:t>Division 2</w:t>
      </w:r>
      <w:r>
        <w:t xml:space="preserve"> — </w:t>
      </w:r>
      <w:r>
        <w:rPr>
          <w:rStyle w:val="CharDivText"/>
        </w:rPr>
        <w:t>Notice and registration of access agreements and determinations</w:t>
      </w:r>
      <w:bookmarkEnd w:id="129"/>
      <w:bookmarkEnd w:id="130"/>
      <w:bookmarkEnd w:id="131"/>
      <w:bookmarkEnd w:id="132"/>
    </w:p>
    <w:p>
      <w:pPr>
        <w:pStyle w:val="Heading5"/>
        <w:rPr>
          <w:snapToGrid w:val="0"/>
        </w:rPr>
      </w:pPr>
      <w:bookmarkStart w:id="133" w:name="_Toc378668126"/>
      <w:bookmarkStart w:id="134" w:name="_Toc427329024"/>
      <w:r>
        <w:rPr>
          <w:rStyle w:val="CharSectno"/>
        </w:rPr>
        <w:t>39</w:t>
      </w:r>
      <w:r>
        <w:rPr>
          <w:snapToGrid w:val="0"/>
        </w:rPr>
        <w:t>.</w:t>
      </w:r>
      <w:r>
        <w:rPr>
          <w:snapToGrid w:val="0"/>
        </w:rPr>
        <w:tab/>
        <w:t>Registration of agreements and determinations</w:t>
      </w:r>
      <w:bookmarkEnd w:id="133"/>
      <w:bookmarkEnd w:id="134"/>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35" w:name="_Toc378668127"/>
      <w:bookmarkStart w:id="136" w:name="_Toc424742054"/>
      <w:bookmarkStart w:id="137" w:name="_Toc424742188"/>
      <w:bookmarkStart w:id="138" w:name="_Toc427329025"/>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35"/>
      <w:bookmarkEnd w:id="136"/>
      <w:bookmarkEnd w:id="137"/>
      <w:bookmarkEnd w:id="138"/>
      <w:r>
        <w:rPr>
          <w:rStyle w:val="CharPartText"/>
        </w:rPr>
        <w:t xml:space="preserve"> </w:t>
      </w:r>
    </w:p>
    <w:p>
      <w:pPr>
        <w:pStyle w:val="Heading5"/>
        <w:rPr>
          <w:snapToGrid w:val="0"/>
        </w:rPr>
      </w:pPr>
      <w:bookmarkStart w:id="139" w:name="_Toc378668128"/>
      <w:bookmarkStart w:id="140" w:name="_Toc427329026"/>
      <w:r>
        <w:rPr>
          <w:rStyle w:val="CharSectno"/>
        </w:rPr>
        <w:t>40</w:t>
      </w:r>
      <w:r>
        <w:rPr>
          <w:snapToGrid w:val="0"/>
        </w:rPr>
        <w:t>.</w:t>
      </w:r>
      <w:r>
        <w:rPr>
          <w:snapToGrid w:val="0"/>
        </w:rPr>
        <w:tab/>
        <w:t>Interpretation</w:t>
      </w:r>
      <w:bookmarkEnd w:id="139"/>
      <w:bookmarkEnd w:id="140"/>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141" w:name="_Toc378668129"/>
      <w:bookmarkStart w:id="142" w:name="_Toc427329027"/>
      <w:r>
        <w:rPr>
          <w:rStyle w:val="CharSectno"/>
        </w:rPr>
        <w:t>41</w:t>
      </w:r>
      <w:r>
        <w:t>.</w:t>
      </w:r>
      <w:r>
        <w:tab/>
        <w:t>Matters to be considered by Regulator</w:t>
      </w:r>
      <w:bookmarkEnd w:id="141"/>
      <w:bookmarkEnd w:id="142"/>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43" w:name="_Toc378668130"/>
      <w:bookmarkStart w:id="144" w:name="_Toc427329028"/>
      <w:r>
        <w:rPr>
          <w:rStyle w:val="CharSectno"/>
        </w:rPr>
        <w:t>42</w:t>
      </w:r>
      <w:r>
        <w:rPr>
          <w:snapToGrid w:val="0"/>
        </w:rPr>
        <w:t>.</w:t>
      </w:r>
      <w:r>
        <w:rPr>
          <w:snapToGrid w:val="0"/>
        </w:rPr>
        <w:tab/>
        <w:t>Public comment before approval given to segregation arrangements</w:t>
      </w:r>
      <w:bookmarkEnd w:id="143"/>
      <w:bookmarkEnd w:id="144"/>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45" w:name="_Toc378668131"/>
      <w:bookmarkStart w:id="146" w:name="_Toc427329029"/>
      <w:r>
        <w:rPr>
          <w:rStyle w:val="CharSectno"/>
        </w:rPr>
        <w:t>43</w:t>
      </w:r>
      <w:r>
        <w:rPr>
          <w:snapToGrid w:val="0"/>
        </w:rPr>
        <w:t>.</w:t>
      </w:r>
      <w:r>
        <w:rPr>
          <w:snapToGrid w:val="0"/>
        </w:rPr>
        <w:tab/>
        <w:t>Railway owner to comply with approved train management guidelines</w:t>
      </w:r>
      <w:bookmarkEnd w:id="145"/>
      <w:bookmarkEnd w:id="146"/>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47" w:name="_Toc378668132"/>
      <w:bookmarkStart w:id="148" w:name="_Toc427329030"/>
      <w:r>
        <w:rPr>
          <w:rStyle w:val="CharSectno"/>
        </w:rPr>
        <w:t>44</w:t>
      </w:r>
      <w:r>
        <w:rPr>
          <w:snapToGrid w:val="0"/>
        </w:rPr>
        <w:t>.</w:t>
      </w:r>
      <w:r>
        <w:rPr>
          <w:snapToGrid w:val="0"/>
        </w:rPr>
        <w:tab/>
        <w:t>Certain approved statements of policy to be observed</w:t>
      </w:r>
      <w:bookmarkEnd w:id="147"/>
      <w:bookmarkEnd w:id="148"/>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49" w:name="_Toc378668133"/>
      <w:bookmarkStart w:id="150" w:name="_Toc427329031"/>
      <w:r>
        <w:rPr>
          <w:rStyle w:val="CharSectno"/>
        </w:rPr>
        <w:t>45</w:t>
      </w:r>
      <w:r>
        <w:rPr>
          <w:snapToGrid w:val="0"/>
        </w:rPr>
        <w:t>.</w:t>
      </w:r>
      <w:r>
        <w:rPr>
          <w:snapToGrid w:val="0"/>
        </w:rPr>
        <w:tab/>
        <w:t>Public comment on draft statements under sections 43 and 44</w:t>
      </w:r>
      <w:bookmarkEnd w:id="149"/>
      <w:bookmarkEnd w:id="150"/>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51" w:name="_Toc378668134"/>
      <w:bookmarkStart w:id="152" w:name="_Toc427329032"/>
      <w:r>
        <w:rPr>
          <w:rStyle w:val="CharSectno"/>
        </w:rPr>
        <w:t>46</w:t>
      </w:r>
      <w:r>
        <w:rPr>
          <w:snapToGrid w:val="0"/>
        </w:rPr>
        <w:t>.</w:t>
      </w:r>
      <w:r>
        <w:rPr>
          <w:snapToGrid w:val="0"/>
        </w:rPr>
        <w:tab/>
        <w:t>Costing principles</w:t>
      </w:r>
      <w:bookmarkEnd w:id="151"/>
      <w:bookmarkEnd w:id="152"/>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53" w:name="_Toc378668135"/>
      <w:bookmarkStart w:id="154" w:name="_Toc427329033"/>
      <w:r>
        <w:rPr>
          <w:rStyle w:val="CharSectno"/>
        </w:rPr>
        <w:t>47</w:t>
      </w:r>
      <w:r>
        <w:rPr>
          <w:snapToGrid w:val="0"/>
        </w:rPr>
        <w:t>.</w:t>
      </w:r>
      <w:r>
        <w:rPr>
          <w:snapToGrid w:val="0"/>
        </w:rPr>
        <w:tab/>
        <w:t>Over</w:t>
      </w:r>
      <w:r>
        <w:rPr>
          <w:snapToGrid w:val="0"/>
        </w:rPr>
        <w:noBreakHyphen/>
        <w:t>payment rules</w:t>
      </w:r>
      <w:bookmarkEnd w:id="153"/>
      <w:bookmarkEnd w:id="154"/>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155" w:name="_Toc378668136"/>
      <w:bookmarkStart w:id="156" w:name="_Toc424742063"/>
      <w:bookmarkStart w:id="157" w:name="_Toc424742197"/>
      <w:bookmarkStart w:id="158" w:name="_Toc427329034"/>
      <w:r>
        <w:rPr>
          <w:rStyle w:val="CharPartNo"/>
        </w:rPr>
        <w:t>Part 6</w:t>
      </w:r>
      <w:r>
        <w:rPr>
          <w:rStyle w:val="CharDivNo"/>
        </w:rPr>
        <w:t xml:space="preserve"> </w:t>
      </w:r>
      <w:r>
        <w:t>—</w:t>
      </w:r>
      <w:r>
        <w:rPr>
          <w:rStyle w:val="CharDivText"/>
        </w:rPr>
        <w:t xml:space="preserve"> </w:t>
      </w:r>
      <w:r>
        <w:rPr>
          <w:rStyle w:val="CharPartText"/>
        </w:rPr>
        <w:t>General</w:t>
      </w:r>
      <w:bookmarkEnd w:id="155"/>
      <w:bookmarkEnd w:id="156"/>
      <w:bookmarkEnd w:id="157"/>
      <w:bookmarkEnd w:id="158"/>
      <w:r>
        <w:rPr>
          <w:rStyle w:val="CharPartText"/>
        </w:rPr>
        <w:t xml:space="preserve"> </w:t>
      </w:r>
    </w:p>
    <w:p>
      <w:pPr>
        <w:pStyle w:val="Heading5"/>
        <w:rPr>
          <w:snapToGrid w:val="0"/>
        </w:rPr>
      </w:pPr>
      <w:bookmarkStart w:id="159" w:name="_Toc378668137"/>
      <w:bookmarkStart w:id="160" w:name="_Toc427329035"/>
      <w:r>
        <w:rPr>
          <w:rStyle w:val="CharSectno"/>
        </w:rPr>
        <w:t>48</w:t>
      </w:r>
      <w:r>
        <w:rPr>
          <w:snapToGrid w:val="0"/>
        </w:rPr>
        <w:t>.</w:t>
      </w:r>
      <w:r>
        <w:rPr>
          <w:snapToGrid w:val="0"/>
        </w:rPr>
        <w:tab/>
        <w:t>Railway owner must supply certain information if requested</w:t>
      </w:r>
      <w:bookmarkEnd w:id="159"/>
      <w:bookmarkEnd w:id="1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161" w:name="_Toc378668138"/>
      <w:bookmarkStart w:id="162" w:name="_Toc427329036"/>
      <w:r>
        <w:rPr>
          <w:rStyle w:val="CharSectno"/>
        </w:rPr>
        <w:t>49</w:t>
      </w:r>
      <w:r>
        <w:rPr>
          <w:snapToGrid w:val="0"/>
        </w:rPr>
        <w:t>.</w:t>
      </w:r>
      <w:r>
        <w:rPr>
          <w:snapToGrid w:val="0"/>
        </w:rPr>
        <w:tab/>
        <w:t>Inquiries and reports by Regulator</w:t>
      </w:r>
      <w:bookmarkEnd w:id="161"/>
      <w:bookmarkEnd w:id="162"/>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63" w:name="_Toc378668139"/>
      <w:bookmarkStart w:id="164" w:name="_Toc427329037"/>
      <w:r>
        <w:rPr>
          <w:rStyle w:val="CharSectno"/>
        </w:rPr>
        <w:t>50</w:t>
      </w:r>
      <w:r>
        <w:rPr>
          <w:snapToGrid w:val="0"/>
        </w:rPr>
        <w:t>.</w:t>
      </w:r>
      <w:r>
        <w:rPr>
          <w:snapToGrid w:val="0"/>
        </w:rPr>
        <w:tab/>
        <w:t>Dissemination of information by Regulator</w:t>
      </w:r>
      <w:bookmarkEnd w:id="163"/>
      <w:bookmarkEnd w:id="164"/>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165" w:name="_Toc378668140"/>
      <w:bookmarkStart w:id="166" w:name="_Toc427329038"/>
      <w:r>
        <w:rPr>
          <w:rStyle w:val="CharSectno"/>
        </w:rPr>
        <w:t>51</w:t>
      </w:r>
      <w:r>
        <w:rPr>
          <w:snapToGrid w:val="0"/>
        </w:rPr>
        <w:t>.</w:t>
      </w:r>
      <w:r>
        <w:rPr>
          <w:snapToGrid w:val="0"/>
        </w:rPr>
        <w:tab/>
        <w:t>Enforcement</w:t>
      </w:r>
      <w:bookmarkEnd w:id="165"/>
      <w:bookmarkEnd w:id="166"/>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167" w:name="_Toc378668141"/>
      <w:bookmarkStart w:id="168" w:name="_Toc427329039"/>
      <w:r>
        <w:rPr>
          <w:rStyle w:val="CharSectno"/>
        </w:rPr>
        <w:t>52</w:t>
      </w:r>
      <w:r>
        <w:rPr>
          <w:snapToGrid w:val="0"/>
        </w:rPr>
        <w:t>.</w:t>
      </w:r>
      <w:r>
        <w:rPr>
          <w:snapToGrid w:val="0"/>
        </w:rPr>
        <w:tab/>
        <w:t>Transitional provisions</w:t>
      </w:r>
      <w:bookmarkEnd w:id="167"/>
      <w:bookmarkEnd w:id="168"/>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169" w:name="_Toc378668142"/>
      <w:bookmarkStart w:id="170" w:name="_Toc427329040"/>
      <w:r>
        <w:rPr>
          <w:rStyle w:val="CharSectno"/>
        </w:rPr>
        <w:t>53</w:t>
      </w:r>
      <w:r>
        <w:t>.</w:t>
      </w:r>
      <w:r>
        <w:tab/>
        <w:t>Further transitional provision</w:t>
      </w:r>
      <w:bookmarkEnd w:id="169"/>
      <w:bookmarkEnd w:id="170"/>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pStyle w:val="Ednotesection"/>
      </w:pPr>
      <w:r>
        <w:t>[</w:t>
      </w:r>
      <w:r>
        <w:rPr>
          <w:b/>
          <w:i w:val="0"/>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8668143"/>
      <w:bookmarkStart w:id="172" w:name="_Toc424742070"/>
      <w:bookmarkStart w:id="173" w:name="_Toc424742204"/>
      <w:bookmarkStart w:id="174" w:name="_Toc427329041"/>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171"/>
      <w:bookmarkEnd w:id="172"/>
      <w:bookmarkEnd w:id="173"/>
      <w:bookmarkEnd w:id="174"/>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amended by No. 77 of 2004 s. 13.]</w:t>
      </w:r>
    </w:p>
    <w:p>
      <w:pPr>
        <w:pStyle w:val="yFootnotesection"/>
      </w:pPr>
      <w:bookmarkStart w:id="175" w:name="_Toc378668144"/>
      <w:bookmarkStart w:id="176" w:name="_Toc424742071"/>
      <w:bookmarkStart w:id="177" w:name="_Toc424742205"/>
      <w:r>
        <w:tab/>
        <w:t>[Schedule 1, modifications have effect under the Railway (Roy Hill Infrastructure Pty Ltd) Agreement Act 2010 s. 13.  See note 1M.]</w:t>
      </w:r>
    </w:p>
    <w:p>
      <w:pPr>
        <w:pStyle w:val="yScheduleHeading"/>
      </w:pPr>
      <w:bookmarkStart w:id="178" w:name="_Toc427329042"/>
      <w:r>
        <w:rPr>
          <w:rStyle w:val="CharSchNo"/>
        </w:rPr>
        <w:t>Schedule 2</w:t>
      </w:r>
      <w:r>
        <w:t> — </w:t>
      </w:r>
      <w:r>
        <w:rPr>
          <w:rStyle w:val="CharSchText"/>
        </w:rPr>
        <w:t>Information to be made available</w:t>
      </w:r>
      <w:bookmarkEnd w:id="175"/>
      <w:bookmarkEnd w:id="176"/>
      <w:bookmarkEnd w:id="177"/>
      <w:bookmarkEnd w:id="178"/>
    </w:p>
    <w:p>
      <w:pPr>
        <w:pStyle w:val="yShoulderClause"/>
      </w:pPr>
      <w:r>
        <w:t>[s. 6]</w:t>
      </w:r>
    </w:p>
    <w:p>
      <w:pPr>
        <w:pStyle w:val="yFootnoteheading"/>
      </w:pPr>
      <w:r>
        <w:tab/>
        <w:t>[Heading inserted in Gazette 23 Jun 2009 p. 2417.]</w:t>
      </w:r>
    </w:p>
    <w:p>
      <w:pPr>
        <w:pStyle w:val="yHeading5"/>
      </w:pPr>
      <w:bookmarkStart w:id="179" w:name="_Toc378668145"/>
      <w:bookmarkStart w:id="180" w:name="_Toc427329043"/>
      <w:r>
        <w:t>Terms used</w:t>
      </w:r>
      <w:bookmarkEnd w:id="179"/>
      <w:bookmarkEnd w:id="180"/>
    </w:p>
    <w:p>
      <w:pPr>
        <w:pStyle w:val="ySubsection"/>
      </w:pPr>
      <w:r>
        <w:tab/>
        <w:t>1.</w:t>
      </w:r>
      <w:r>
        <w:tab/>
        <w:t xml:space="preserve">In item 4 of this Schedule — </w:t>
      </w:r>
    </w:p>
    <w:p>
      <w:pPr>
        <w:pStyle w:val="yDefstart"/>
      </w:pPr>
      <w:r>
        <w:tab/>
      </w:r>
      <w:r>
        <w:rPr>
          <w:rStyle w:val="CharDefText"/>
        </w:rPr>
        <w:t>gross tonnage</w:t>
      </w:r>
      <w:r>
        <w:t xml:space="preserve"> of a train means the total of the weights of the rolling stock of the train and of the freight carried;</w:t>
      </w:r>
    </w:p>
    <w:p>
      <w:pPr>
        <w:pStyle w:val="yDefstart"/>
      </w:pPr>
      <w:r>
        <w:tab/>
      </w:r>
      <w:r>
        <w:rPr>
          <w:rStyle w:val="CharDefText"/>
        </w:rPr>
        <w:t>tonnage of freight carried</w:t>
      </w:r>
      <w:r>
        <w:t xml:space="preserve"> means the gross tonnage of the train less the weight of the rolling stock.</w:t>
      </w:r>
    </w:p>
    <w:p>
      <w:pPr>
        <w:pStyle w:val="yHeading5"/>
      </w:pPr>
      <w:bookmarkStart w:id="181" w:name="_Toc378668146"/>
      <w:bookmarkStart w:id="182" w:name="_Toc427329044"/>
      <w:r>
        <w:t>Information</w:t>
      </w:r>
      <w:bookmarkEnd w:id="181"/>
      <w:bookmarkEnd w:id="182"/>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183" w:name="_Toc378668147"/>
      <w:bookmarkStart w:id="184" w:name="_Toc424742074"/>
      <w:bookmarkStart w:id="185" w:name="_Toc424742208"/>
      <w:bookmarkStart w:id="186" w:name="_Toc427329045"/>
      <w:r>
        <w:rPr>
          <w:rStyle w:val="CharSchNo"/>
        </w:rPr>
        <w:t xml:space="preserve">Schedule 3 </w:t>
      </w:r>
      <w:r>
        <w:t>—</w:t>
      </w:r>
      <w:r>
        <w:rPr>
          <w:rStyle w:val="CharSchText"/>
        </w:rPr>
        <w:t xml:space="preserve"> Matters for which provision to be made in access agreement</w:t>
      </w:r>
      <w:bookmarkEnd w:id="183"/>
      <w:bookmarkEnd w:id="184"/>
      <w:bookmarkEnd w:id="185"/>
      <w:bookmarkEnd w:id="186"/>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6"/>
          <w:headerReference w:type="default" r:id="rId27"/>
          <w:pgSz w:w="11907" w:h="16840"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p>
    <w:p>
      <w:pPr>
        <w:pStyle w:val="yScheduleHeading"/>
      </w:pPr>
      <w:bookmarkStart w:id="188" w:name="_Toc378668148"/>
      <w:bookmarkStart w:id="189" w:name="_Toc424742075"/>
      <w:bookmarkStart w:id="190" w:name="_Toc424742209"/>
      <w:bookmarkStart w:id="191" w:name="_Toc427329046"/>
      <w:r>
        <w:rPr>
          <w:rStyle w:val="CharSchNo"/>
        </w:rPr>
        <w:t xml:space="preserve">Schedule 4 </w:t>
      </w:r>
      <w:r>
        <w:t>—</w:t>
      </w:r>
      <w:r>
        <w:rPr>
          <w:rStyle w:val="CharSchText"/>
        </w:rPr>
        <w:t xml:space="preserve"> Provisions relating to prices to be paid for access</w:t>
      </w:r>
      <w:bookmarkEnd w:id="188"/>
      <w:bookmarkEnd w:id="189"/>
      <w:bookmarkEnd w:id="190"/>
      <w:bookmarkEnd w:id="191"/>
    </w:p>
    <w:p>
      <w:pPr>
        <w:pStyle w:val="yShoulderClause"/>
        <w:rPr>
          <w:snapToGrid w:val="0"/>
        </w:rPr>
      </w:pPr>
      <w:r>
        <w:rPr>
          <w:snapToGrid w:val="0"/>
        </w:rPr>
        <w:t>[s. 17(1)(b)]</w:t>
      </w:r>
    </w:p>
    <w:p>
      <w:pPr>
        <w:pStyle w:val="yHeading3"/>
      </w:pPr>
      <w:bookmarkStart w:id="192" w:name="_Toc378668149"/>
      <w:bookmarkStart w:id="193" w:name="_Toc424742076"/>
      <w:bookmarkStart w:id="194" w:name="_Toc424742210"/>
      <w:bookmarkStart w:id="195" w:name="_Toc427329047"/>
      <w:r>
        <w:rPr>
          <w:rStyle w:val="CharSDivNo"/>
        </w:rPr>
        <w:t>Division 1</w:t>
      </w:r>
      <w:r>
        <w:t xml:space="preserve"> — </w:t>
      </w:r>
      <w:r>
        <w:rPr>
          <w:rStyle w:val="CharSDivText"/>
        </w:rPr>
        <w:t>Preliminary</w:t>
      </w:r>
      <w:bookmarkEnd w:id="192"/>
      <w:bookmarkEnd w:id="193"/>
      <w:bookmarkEnd w:id="194"/>
      <w:bookmarkEnd w:id="195"/>
    </w:p>
    <w:p>
      <w:pPr>
        <w:pStyle w:val="yHeading5"/>
        <w:rPr>
          <w:snapToGrid w:val="0"/>
        </w:rPr>
      </w:pPr>
      <w:bookmarkStart w:id="196" w:name="_Toc378668150"/>
      <w:bookmarkStart w:id="197" w:name="_Toc427329048"/>
      <w:r>
        <w:rPr>
          <w:rStyle w:val="CharSClsNo"/>
        </w:rPr>
        <w:t>1</w:t>
      </w:r>
      <w:r>
        <w:rPr>
          <w:snapToGrid w:val="0"/>
        </w:rPr>
        <w:t>.</w:t>
      </w:r>
      <w:r>
        <w:rPr>
          <w:snapToGrid w:val="0"/>
        </w:rPr>
        <w:tab/>
        <w:t>Terms used</w:t>
      </w:r>
      <w:bookmarkEnd w:id="196"/>
      <w:bookmarkEnd w:id="197"/>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198" w:name="_Toc378668151"/>
      <w:bookmarkStart w:id="199" w:name="_Toc427329049"/>
      <w:r>
        <w:rPr>
          <w:rStyle w:val="CharSClsNo"/>
        </w:rPr>
        <w:t>2</w:t>
      </w:r>
      <w:r>
        <w:rPr>
          <w:snapToGrid w:val="0"/>
        </w:rPr>
        <w:t>.</w:t>
      </w:r>
      <w:r>
        <w:rPr>
          <w:snapToGrid w:val="0"/>
        </w:rPr>
        <w:tab/>
        <w:t>Railway infrastructure</w:t>
      </w:r>
      <w:bookmarkEnd w:id="198"/>
      <w:bookmarkEnd w:id="199"/>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200" w:name="_Toc378668152"/>
      <w:bookmarkStart w:id="201" w:name="_Toc427329050"/>
      <w:r>
        <w:rPr>
          <w:rStyle w:val="CharSClsNo"/>
        </w:rPr>
        <w:t>3</w:t>
      </w:r>
      <w:r>
        <w:rPr>
          <w:rStyle w:val="CharSClsNo"/>
          <w:vertAlign w:val="superscript"/>
        </w:rPr>
        <w:t> 1M</w:t>
      </w:r>
      <w:r>
        <w:rPr>
          <w:snapToGrid w:val="0"/>
        </w:rPr>
        <w:t>.</w:t>
      </w:r>
      <w:r>
        <w:rPr>
          <w:snapToGrid w:val="0"/>
        </w:rPr>
        <w:tab/>
        <w:t>Regulator to determine weighted average cost of capital</w:t>
      </w:r>
      <w:bookmarkEnd w:id="200"/>
      <w:bookmarkEnd w:id="201"/>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Footnotesection"/>
      </w:pPr>
      <w:bookmarkStart w:id="202" w:name="_Toc378668153"/>
      <w:r>
        <w:tab/>
        <w:t>[Clause 3, modification have effect under the Railway (Roy Hill Infrastructure Pty Ltd) Agreement Act 2010 s. 14.  See note 1M.]</w:t>
      </w:r>
    </w:p>
    <w:p>
      <w:pPr>
        <w:pStyle w:val="yHeading5"/>
        <w:spacing w:before="180"/>
        <w:rPr>
          <w:snapToGrid w:val="0"/>
        </w:rPr>
      </w:pPr>
      <w:bookmarkStart w:id="203" w:name="_Toc427329051"/>
      <w:r>
        <w:rPr>
          <w:rStyle w:val="CharSClsNo"/>
        </w:rPr>
        <w:t>4</w:t>
      </w:r>
      <w:r>
        <w:rPr>
          <w:snapToGrid w:val="0"/>
        </w:rPr>
        <w:t>.</w:t>
      </w:r>
      <w:r>
        <w:rPr>
          <w:snapToGrid w:val="0"/>
        </w:rPr>
        <w:tab/>
        <w:t>Nature of costs</w:t>
      </w:r>
      <w:bookmarkEnd w:id="202"/>
      <w:bookmarkEnd w:id="203"/>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204" w:name="_Toc378668154"/>
      <w:bookmarkStart w:id="205" w:name="_Toc424742081"/>
      <w:bookmarkStart w:id="206" w:name="_Toc424742215"/>
      <w:bookmarkStart w:id="207" w:name="_Toc427329052"/>
      <w:r>
        <w:rPr>
          <w:rStyle w:val="CharSDivNo"/>
        </w:rPr>
        <w:t>Division 2</w:t>
      </w:r>
      <w:r>
        <w:rPr>
          <w:snapToGrid w:val="0"/>
        </w:rPr>
        <w:t xml:space="preserve"> — </w:t>
      </w:r>
      <w:r>
        <w:rPr>
          <w:rStyle w:val="CharSDivText"/>
        </w:rPr>
        <w:t>Provisions relating to access price negotiation</w:t>
      </w:r>
      <w:bookmarkEnd w:id="204"/>
      <w:bookmarkEnd w:id="205"/>
      <w:bookmarkEnd w:id="206"/>
      <w:bookmarkEnd w:id="207"/>
    </w:p>
    <w:p>
      <w:pPr>
        <w:pStyle w:val="yHeading5"/>
        <w:spacing w:before="180"/>
        <w:rPr>
          <w:snapToGrid w:val="0"/>
        </w:rPr>
      </w:pPr>
      <w:bookmarkStart w:id="208" w:name="_Toc378668155"/>
      <w:bookmarkStart w:id="209" w:name="_Toc427329053"/>
      <w:r>
        <w:rPr>
          <w:rStyle w:val="CharSClsNo"/>
        </w:rPr>
        <w:t>5</w:t>
      </w:r>
      <w:r>
        <w:rPr>
          <w:snapToGrid w:val="0"/>
        </w:rPr>
        <w:t>.</w:t>
      </w:r>
      <w:r>
        <w:rPr>
          <w:snapToGrid w:val="0"/>
        </w:rPr>
        <w:tab/>
        <w:t>Term used: other entities</w:t>
      </w:r>
      <w:bookmarkEnd w:id="208"/>
      <w:bookmarkEnd w:id="209"/>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210" w:name="_Toc378668156"/>
      <w:bookmarkStart w:id="211" w:name="_Toc427329054"/>
      <w:r>
        <w:rPr>
          <w:rStyle w:val="CharSClsNo"/>
        </w:rPr>
        <w:t>6</w:t>
      </w:r>
      <w:r>
        <w:rPr>
          <w:snapToGrid w:val="0"/>
        </w:rPr>
        <w:t>.</w:t>
      </w:r>
      <w:r>
        <w:rPr>
          <w:snapToGrid w:val="0"/>
        </w:rPr>
        <w:tab/>
        <w:t>Prices to be negotiated</w:t>
      </w:r>
      <w:bookmarkEnd w:id="210"/>
      <w:bookmarkEnd w:id="211"/>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212" w:name="_Toc378668157"/>
      <w:bookmarkStart w:id="213" w:name="_Toc427329055"/>
      <w:r>
        <w:rPr>
          <w:rStyle w:val="CharSClsNo"/>
        </w:rPr>
        <w:t>7A</w:t>
      </w:r>
      <w:r>
        <w:t>.</w:t>
      </w:r>
      <w:r>
        <w:tab/>
        <w:t>Apportionment of costs of extension or expansion</w:t>
      </w:r>
      <w:bookmarkEnd w:id="212"/>
      <w:bookmarkEnd w:id="213"/>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214" w:name="_Toc378668158"/>
      <w:bookmarkStart w:id="215" w:name="_Toc427329056"/>
      <w:r>
        <w:rPr>
          <w:rStyle w:val="CharSClsNo"/>
        </w:rPr>
        <w:t>7</w:t>
      </w:r>
      <w:r>
        <w:rPr>
          <w:snapToGrid w:val="0"/>
        </w:rPr>
        <w:t>.</w:t>
      </w:r>
      <w:r>
        <w:rPr>
          <w:snapToGrid w:val="0"/>
        </w:rPr>
        <w:tab/>
        <w:t>Floor price test</w:t>
      </w:r>
      <w:bookmarkEnd w:id="214"/>
      <w:bookmarkEnd w:id="21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216" w:name="_Toc378668159"/>
      <w:bookmarkStart w:id="217" w:name="_Toc427329057"/>
      <w:r>
        <w:rPr>
          <w:rStyle w:val="CharSClsNo"/>
        </w:rPr>
        <w:t>8</w:t>
      </w:r>
      <w:r>
        <w:rPr>
          <w:snapToGrid w:val="0"/>
        </w:rPr>
        <w:t>.</w:t>
      </w:r>
      <w:r>
        <w:rPr>
          <w:snapToGrid w:val="0"/>
        </w:rPr>
        <w:tab/>
        <w:t>Ceiling price test</w:t>
      </w:r>
      <w:bookmarkEnd w:id="216"/>
      <w:bookmarkEnd w:id="21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218" w:name="_Toc378668160"/>
      <w:bookmarkStart w:id="219" w:name="_Toc427329058"/>
      <w:r>
        <w:rPr>
          <w:rStyle w:val="CharSClsNo"/>
        </w:rPr>
        <w:t>9</w:t>
      </w:r>
      <w:r>
        <w:rPr>
          <w:snapToGrid w:val="0"/>
        </w:rPr>
        <w:t>.</w:t>
      </w:r>
      <w:r>
        <w:rPr>
          <w:snapToGrid w:val="0"/>
        </w:rPr>
        <w:tab/>
        <w:t>Determination of costs by Regulator</w:t>
      </w:r>
      <w:bookmarkEnd w:id="218"/>
      <w:bookmarkEnd w:id="219"/>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220" w:name="_Toc378668161"/>
      <w:bookmarkStart w:id="221" w:name="_Toc427329059"/>
      <w:r>
        <w:rPr>
          <w:rStyle w:val="CharSClsNo"/>
        </w:rPr>
        <w:t>10</w:t>
      </w:r>
      <w:r>
        <w:rPr>
          <w:snapToGrid w:val="0"/>
        </w:rPr>
        <w:t>.</w:t>
      </w:r>
      <w:r>
        <w:rPr>
          <w:snapToGrid w:val="0"/>
        </w:rPr>
        <w:tab/>
        <w:t>Determination of costs where clause 9 does not apply</w:t>
      </w:r>
      <w:bookmarkEnd w:id="220"/>
      <w:bookmarkEnd w:id="221"/>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222" w:name="_Toc378668162"/>
      <w:bookmarkStart w:id="223" w:name="_Toc427329060"/>
      <w:r>
        <w:rPr>
          <w:rStyle w:val="CharSClsNo"/>
        </w:rPr>
        <w:t>11</w:t>
      </w:r>
      <w:r>
        <w:rPr>
          <w:snapToGrid w:val="0"/>
        </w:rPr>
        <w:t>.</w:t>
      </w:r>
      <w:r>
        <w:rPr>
          <w:snapToGrid w:val="0"/>
        </w:rPr>
        <w:tab/>
        <w:t>Public submissions may be sought</w:t>
      </w:r>
      <w:bookmarkEnd w:id="222"/>
      <w:bookmarkEnd w:id="223"/>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224" w:name="_Toc378668163"/>
      <w:bookmarkStart w:id="225" w:name="_Toc427329061"/>
      <w:r>
        <w:rPr>
          <w:rStyle w:val="CharSClsNo"/>
        </w:rPr>
        <w:t>12</w:t>
      </w:r>
      <w:r>
        <w:rPr>
          <w:snapToGrid w:val="0"/>
        </w:rPr>
        <w:t>.</w:t>
      </w:r>
      <w:r>
        <w:rPr>
          <w:snapToGrid w:val="0"/>
        </w:rPr>
        <w:tab/>
        <w:t>Review and redetermination of costs</w:t>
      </w:r>
      <w:bookmarkEnd w:id="224"/>
      <w:bookmarkEnd w:id="225"/>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226" w:name="_Toc378668164"/>
      <w:bookmarkStart w:id="227" w:name="_Toc427329062"/>
      <w:r>
        <w:rPr>
          <w:rStyle w:val="CharSClsNo"/>
        </w:rPr>
        <w:t>13</w:t>
      </w:r>
      <w:r>
        <w:t>.</w:t>
      </w:r>
      <w:r>
        <w:tab/>
        <w:t>Guidelines to be applied</w:t>
      </w:r>
      <w:bookmarkEnd w:id="226"/>
      <w:bookmarkEnd w:id="227"/>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28" w:name="_Toc378668165"/>
      <w:bookmarkStart w:id="229" w:name="_Toc424742092"/>
      <w:bookmarkStart w:id="230" w:name="_Toc424742226"/>
      <w:bookmarkStart w:id="231" w:name="_Toc427329063"/>
      <w:r>
        <w:rPr>
          <w:rStyle w:val="CharSchNo"/>
        </w:rPr>
        <w:t xml:space="preserve">Schedule 5 </w:t>
      </w:r>
      <w:r>
        <w:t>—</w:t>
      </w:r>
      <w:r>
        <w:rPr>
          <w:rStyle w:val="CharSchText"/>
        </w:rPr>
        <w:t xml:space="preserve"> Relevant provisions of Competition Principles Agreement</w:t>
      </w:r>
      <w:bookmarkEnd w:id="228"/>
      <w:bookmarkEnd w:id="229"/>
      <w:bookmarkEnd w:id="230"/>
      <w:bookmarkEnd w:id="231"/>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32" w:name="_Toc378668166"/>
      <w:bookmarkStart w:id="233" w:name="_Toc424742093"/>
      <w:bookmarkStart w:id="234" w:name="_Toc424742227"/>
      <w:bookmarkStart w:id="235" w:name="_Toc427329064"/>
      <w:r>
        <w:t>Notes</w:t>
      </w:r>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236" w:name="_Toc378668167"/>
      <w:bookmarkStart w:id="237" w:name="_Toc427329065"/>
      <w: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Railways (Access) Code 2000</w:t>
            </w:r>
          </w:p>
        </w:tc>
        <w:tc>
          <w:tcPr>
            <w:tcW w:w="1276" w:type="dxa"/>
          </w:tcPr>
          <w:p>
            <w:pPr>
              <w:pStyle w:val="nTable"/>
              <w:spacing w:after="40"/>
            </w:pPr>
            <w:r>
              <w:t>8 Sep 2000 p. 5123</w:t>
            </w:r>
            <w:r>
              <w:noBreakHyphen/>
              <w:t>81</w:t>
            </w:r>
          </w:p>
        </w:tc>
        <w:tc>
          <w:tcPr>
            <w:tcW w:w="2693" w:type="dxa"/>
          </w:tcPr>
          <w:p>
            <w:pPr>
              <w:pStyle w:val="nTable"/>
              <w:spacing w:after="40"/>
            </w:pPr>
            <w:r>
              <w:t>1 Sep 2001 (see s. 2 and </w:t>
            </w:r>
            <w:r>
              <w:rPr>
                <w:i/>
              </w:rPr>
              <w:t>Gazette</w:t>
            </w:r>
            <w:r>
              <w:t xml:space="preserve"> 28 Aug 2001 p. 4795)</w:t>
            </w:r>
          </w:p>
        </w:tc>
      </w:tr>
      <w:tr>
        <w:tc>
          <w:tcPr>
            <w:tcW w:w="3119" w:type="dxa"/>
          </w:tcPr>
          <w:p>
            <w:pPr>
              <w:pStyle w:val="nTable"/>
              <w:spacing w:after="40"/>
            </w:pPr>
            <w:r>
              <w:rPr>
                <w:i/>
              </w:rPr>
              <w:t>Railways (Access) Amendment Code 2004</w:t>
            </w:r>
            <w:r>
              <w:t xml:space="preserve"> </w:t>
            </w:r>
            <w:r>
              <w:rPr>
                <w:vertAlign w:val="superscript"/>
              </w:rPr>
              <w:t>3</w:t>
            </w:r>
          </w:p>
        </w:tc>
        <w:tc>
          <w:tcPr>
            <w:tcW w:w="1276" w:type="dxa"/>
          </w:tcPr>
          <w:p>
            <w:pPr>
              <w:pStyle w:val="nTable"/>
              <w:spacing w:after="40"/>
            </w:pPr>
            <w:r>
              <w:t>23 Jul 2004 p. 2988</w:t>
            </w:r>
            <w:r>
              <w:noBreakHyphen/>
              <w:t>97</w:t>
            </w:r>
          </w:p>
        </w:tc>
        <w:tc>
          <w:tcPr>
            <w:tcW w:w="2693" w:type="dxa"/>
          </w:tcPr>
          <w:p>
            <w:pPr>
              <w:pStyle w:val="nTable"/>
              <w:spacing w:after="40"/>
            </w:pPr>
            <w:r>
              <w:t>23 Jul 2004 (see s. 2)</w:t>
            </w:r>
          </w:p>
        </w:tc>
      </w:tr>
      <w:tr>
        <w:trPr>
          <w:cantSplit/>
        </w:trPr>
        <w:tc>
          <w:tcPr>
            <w:tcW w:w="4395" w:type="dxa"/>
            <w:gridSpan w:val="2"/>
          </w:tcPr>
          <w:p>
            <w:pPr>
              <w:pStyle w:val="nTable"/>
              <w:spacing w:after="40"/>
            </w:pPr>
            <w:r>
              <w:rPr>
                <w:i/>
                <w:iCs/>
              </w:rPr>
              <w:t>Railway and Port (The Pilbara Infrastructure Pty Ltd) Agreement Act 2004</w:t>
            </w:r>
            <w:r>
              <w:t xml:space="preserve"> Pt. 3 Div. 2 assented to 8 Dec 2004</w:t>
            </w:r>
          </w:p>
        </w:tc>
        <w:tc>
          <w:tcPr>
            <w:tcW w:w="2693" w:type="dxa"/>
          </w:tcPr>
          <w:p>
            <w:pPr>
              <w:pStyle w:val="nTable"/>
              <w:spacing w:after="40"/>
            </w:pPr>
            <w:r>
              <w:t xml:space="preserve">1 Jul 2008 (see s. 2(2) and </w:t>
            </w:r>
            <w:r>
              <w:rPr>
                <w:i/>
                <w:iCs/>
              </w:rPr>
              <w:t>Gazette</w:t>
            </w:r>
            <w:r>
              <w:t xml:space="preserve"> 17 Jun 2008 p. 2543)</w:t>
            </w:r>
          </w:p>
        </w:tc>
      </w:tr>
      <w:tr>
        <w:tc>
          <w:tcPr>
            <w:tcW w:w="3119" w:type="dxa"/>
          </w:tcPr>
          <w:p>
            <w:pPr>
              <w:pStyle w:val="nTable"/>
              <w:spacing w:after="40"/>
            </w:pPr>
            <w:r>
              <w:rPr>
                <w:i/>
              </w:rPr>
              <w:t>Railways (Access) Amendment Code 2009</w:t>
            </w:r>
          </w:p>
        </w:tc>
        <w:tc>
          <w:tcPr>
            <w:tcW w:w="1276" w:type="dxa"/>
          </w:tcPr>
          <w:p>
            <w:pPr>
              <w:pStyle w:val="nTable"/>
              <w:spacing w:after="40"/>
            </w:pPr>
            <w:r>
              <w:t>23 Jun 2009 p. 2407</w:t>
            </w:r>
            <w:r>
              <w:noBreakHyphen/>
              <w:t>19</w:t>
            </w:r>
          </w:p>
        </w:tc>
        <w:tc>
          <w:tcPr>
            <w:tcW w:w="2693" w:type="dxa"/>
          </w:tcPr>
          <w:p>
            <w:pPr>
              <w:pStyle w:val="nTable"/>
              <w:spacing w:after="40"/>
            </w:pPr>
            <w:r>
              <w:rPr>
                <w:snapToGrid w:val="0"/>
                <w:spacing w:val="-2"/>
              </w:rPr>
              <w:t>s. 1 and 2: 23 Jun 2009 (see s. 2(a));</w:t>
            </w:r>
            <w:r>
              <w:rPr>
                <w:snapToGrid w:val="0"/>
                <w:spacing w:val="-2"/>
              </w:rPr>
              <w:br/>
              <w:t>Code other than s. 1 and 2: 24 Jun 2009 (see s.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9" w:type="dxa"/>
          </w:tcPr>
          <w:p>
            <w:pPr>
              <w:pStyle w:val="nTable"/>
              <w:spacing w:after="40"/>
            </w:pPr>
            <w:r>
              <w:rPr>
                <w:i/>
              </w:rPr>
              <w:t>Railways (Access) Amendment Code 2011</w:t>
            </w:r>
          </w:p>
        </w:tc>
        <w:tc>
          <w:tcPr>
            <w:tcW w:w="1276" w:type="dxa"/>
          </w:tcPr>
          <w:p>
            <w:pPr>
              <w:pStyle w:val="nTable"/>
              <w:spacing w:after="40"/>
            </w:pPr>
            <w:r>
              <w:t>20 Sep 2011 p. 3801</w:t>
            </w:r>
            <w:r>
              <w:noBreakHyphen/>
              <w:t>2</w:t>
            </w:r>
          </w:p>
        </w:tc>
        <w:tc>
          <w:tcPr>
            <w:tcW w:w="2693" w:type="dxa"/>
          </w:tcPr>
          <w:p>
            <w:pPr>
              <w:pStyle w:val="nTable"/>
              <w:spacing w:after="40"/>
            </w:pPr>
            <w:r>
              <w:rPr>
                <w:snapToGrid w:val="0"/>
                <w:spacing w:val="-2"/>
              </w:rPr>
              <w:t>s. 1 and 2: 20 Sep 2011 (see s. 2(a));</w:t>
            </w:r>
            <w:r>
              <w:rPr>
                <w:snapToGrid w:val="0"/>
                <w:spacing w:val="-2"/>
              </w:rPr>
              <w:br/>
              <w:t>Code other than s. 1 and 2: 21 Sep 2011 (see s. 2(b))</w:t>
            </w:r>
          </w:p>
        </w:tc>
      </w:tr>
      <w:tr>
        <w:tc>
          <w:tcPr>
            <w:tcW w:w="3119" w:type="dxa"/>
            <w:tcBorders>
              <w:bottom w:val="single" w:sz="4" w:space="0" w:color="auto"/>
            </w:tcBorders>
          </w:tcPr>
          <w:p>
            <w:pPr>
              <w:pStyle w:val="nTable"/>
              <w:spacing w:after="40"/>
              <w:rPr>
                <w:i/>
              </w:rPr>
            </w:pPr>
            <w:r>
              <w:rPr>
                <w:i/>
              </w:rPr>
              <w:t>Railways (Access) Amendment Code 2013</w:t>
            </w:r>
          </w:p>
        </w:tc>
        <w:tc>
          <w:tcPr>
            <w:tcW w:w="1276" w:type="dxa"/>
            <w:tcBorders>
              <w:bottom w:val="single" w:sz="4" w:space="0" w:color="auto"/>
            </w:tcBorders>
          </w:tcPr>
          <w:p>
            <w:pPr>
              <w:pStyle w:val="nTable"/>
              <w:spacing w:after="40"/>
            </w:pPr>
            <w:r>
              <w:t>19 Jul 2013 p. 3269-71</w:t>
            </w:r>
          </w:p>
        </w:tc>
        <w:tc>
          <w:tcPr>
            <w:tcW w:w="2693" w:type="dxa"/>
            <w:tcBorders>
              <w:bottom w:val="single" w:sz="4" w:space="0" w:color="auto"/>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p>
    <w:p>
      <w:pPr>
        <w:pStyle w:val="nSubsection"/>
        <w:spacing w:before="160"/>
      </w:pPr>
      <w:r>
        <w:rPr>
          <w:vertAlign w:val="superscript"/>
        </w:rPr>
        <w:t>2</w:t>
      </w:r>
      <w:r>
        <w:tab/>
        <w:t xml:space="preserve">For notices published under Schedule 4 clause 3(1) see —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keepNext/>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39" w:name="_Toc424742229"/>
      <w:bookmarkStart w:id="240" w:name="_Toc427329066"/>
      <w:r>
        <w:rPr>
          <w:sz w:val="28"/>
        </w:rPr>
        <w:t>Defined terms</w:t>
      </w:r>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commencement day means the day on which the </w:t>
      </w:r>
      <w:r>
        <w:tab/>
        <w:t>36A(1)</w:t>
      </w:r>
    </w:p>
    <w:p>
      <w:pPr>
        <w:pStyle w:val="DefinedTerms"/>
      </w:pPr>
      <w:r>
        <w:t>a statement of policy</w:t>
      </w:r>
      <w:r>
        <w:tab/>
        <w:t>44(2)</w:t>
      </w:r>
    </w:p>
    <w:p>
      <w:pPr>
        <w:pStyle w:val="DefinedTerms"/>
      </w:pPr>
      <w:r>
        <w:t>access</w:t>
      </w:r>
      <w:r>
        <w:tab/>
        <w:t>3</w:t>
      </w:r>
    </w:p>
    <w:p>
      <w:pPr>
        <w:pStyle w:val="DefinedTerms"/>
      </w:pPr>
      <w:r>
        <w:t>access agreement</w:t>
      </w:r>
      <w:r>
        <w:tab/>
        <w:t>3</w:t>
      </w:r>
    </w:p>
    <w:p>
      <w:pPr>
        <w:pStyle w:val="DefinedTerms"/>
      </w:pPr>
      <w:r>
        <w:t>access</w:t>
      </w:r>
      <w:r>
        <w:noBreakHyphen/>
        <w:t>related functions</w:t>
      </w:r>
      <w:r>
        <w:tab/>
        <w:t>Sch. 4 cl. 1</w:t>
      </w:r>
    </w:p>
    <w:p>
      <w:pPr>
        <w:pStyle w:val="DefinedTerms"/>
      </w:pPr>
      <w:r>
        <w:t>Act</w:t>
      </w:r>
      <w:r>
        <w:tab/>
        <w:t>3</w:t>
      </w:r>
    </w:p>
    <w:p>
      <w:pPr>
        <w:pStyle w:val="DefinedTerms"/>
      </w:pPr>
      <w:r>
        <w:t>arbitrator</w:t>
      </w:r>
      <w:r>
        <w:tab/>
        <w:t>22</w:t>
      </w:r>
    </w:p>
    <w:p>
      <w:pPr>
        <w:pStyle w:val="DefinedTerms"/>
      </w:pPr>
      <w:r>
        <w:t>associate</w:t>
      </w:r>
      <w:r>
        <w:tab/>
        <w:t>3</w:t>
      </w:r>
    </w:p>
    <w:p>
      <w:pPr>
        <w:pStyle w:val="DefinedTerms"/>
      </w:pPr>
      <w:r>
        <w:t>calendar year</w:t>
      </w:r>
      <w:r>
        <w:tab/>
        <w:t>6</w:t>
      </w:r>
    </w:p>
    <w:p>
      <w:pPr>
        <w:pStyle w:val="DefinedTerms"/>
      </w:pPr>
      <w:r>
        <w:t>capacity</w:t>
      </w:r>
      <w:r>
        <w:tab/>
        <w:t>3</w:t>
      </w:r>
    </w:p>
    <w:p>
      <w:pPr>
        <w:pStyle w:val="DefinedTerms"/>
      </w:pPr>
      <w:r>
        <w:t>capital costs</w:t>
      </w:r>
      <w:r>
        <w:tab/>
        <w:t>Sch. 4 cl. 2(1)</w:t>
      </w:r>
    </w:p>
    <w:p>
      <w:pPr>
        <w:pStyle w:val="DefinedTerms"/>
      </w:pPr>
      <w:r>
        <w:t>ceiling price</w:t>
      </w:r>
      <w:r>
        <w:tab/>
        <w:t>9(4)</w:t>
      </w:r>
    </w:p>
    <w:p>
      <w:pPr>
        <w:pStyle w:val="DefinedTerms"/>
      </w:pPr>
      <w:r>
        <w:t>Commission</w:t>
      </w:r>
      <w:r>
        <w:tab/>
        <w:t>3</w:t>
      </w:r>
    </w:p>
    <w:p>
      <w:pPr>
        <w:pStyle w:val="DefinedTerms"/>
      </w:pPr>
      <w:r>
        <w:t>determination</w:t>
      </w:r>
      <w:r>
        <w:tab/>
        <w:t>3</w:t>
      </w:r>
    </w:p>
    <w:p>
      <w:pPr>
        <w:pStyle w:val="DefinedTerms"/>
      </w:pPr>
      <w:r>
        <w:t>enhanced facilities</w:t>
      </w:r>
      <w:r>
        <w:tab/>
        <w:t>Sch. 4 cl. 7A(2)</w:t>
      </w:r>
    </w:p>
    <w:p>
      <w:pPr>
        <w:pStyle w:val="DefinedTerms"/>
      </w:pPr>
      <w:r>
        <w:t>entity</w:t>
      </w:r>
      <w:r>
        <w:tab/>
        <w:t>3</w:t>
      </w:r>
    </w:p>
    <w:p>
      <w:pPr>
        <w:pStyle w:val="DefinedTerms"/>
      </w:pPr>
      <w:r>
        <w:t>expansion</w:t>
      </w:r>
      <w:r>
        <w:tab/>
        <w:t>3</w:t>
      </w:r>
    </w:p>
    <w:p>
      <w:pPr>
        <w:pStyle w:val="DefinedTerms"/>
      </w:pPr>
      <w:r>
        <w:t>extension</w:t>
      </w:r>
      <w:r>
        <w:tab/>
        <w:t>3</w:t>
      </w:r>
    </w:p>
    <w:p>
      <w:pPr>
        <w:pStyle w:val="DefinedTerms"/>
      </w:pPr>
      <w:r>
        <w:t>financial resources</w:t>
      </w:r>
      <w:r>
        <w:tab/>
        <w:t>14(2)</w:t>
      </w:r>
    </w:p>
    <w:p>
      <w:pPr>
        <w:pStyle w:val="DefinedTerms"/>
      </w:pPr>
      <w:r>
        <w:t>floor price</w:t>
      </w:r>
      <w:r>
        <w:tab/>
        <w:t>9(4)</w:t>
      </w:r>
    </w:p>
    <w:p>
      <w:pPr>
        <w:pStyle w:val="DefinedTerms"/>
      </w:pPr>
      <w:r>
        <w:t>Government railway</w:t>
      </w:r>
      <w:r>
        <w:tab/>
        <w:t>3</w:t>
      </w:r>
    </w:p>
    <w:p>
      <w:pPr>
        <w:pStyle w:val="DefinedTerms"/>
      </w:pPr>
      <w:r>
        <w:t>gross tonnage</w:t>
      </w:r>
      <w:r>
        <w:tab/>
        <w:t>Sch. 2</w:t>
      </w:r>
    </w:p>
    <w:p>
      <w:pPr>
        <w:pStyle w:val="DefinedTerms"/>
      </w:pPr>
      <w:r>
        <w:t>GRV</w:t>
      </w:r>
      <w:r>
        <w:tab/>
        <w:t>Sch. 4 cl. 2(4)</w:t>
      </w:r>
    </w:p>
    <w:p>
      <w:pPr>
        <w:pStyle w:val="DefinedTerms"/>
      </w:pPr>
      <w:r>
        <w:t>incremental costs</w:t>
      </w:r>
      <w:r>
        <w:tab/>
        <w:t>Sch. 4 cl. 1</w:t>
      </w:r>
    </w:p>
    <w:p>
      <w:pPr>
        <w:pStyle w:val="DefinedTerms"/>
      </w:pPr>
      <w:r>
        <w:t>matters determined by the Regulator</w:t>
      </w:r>
      <w:r>
        <w:tab/>
        <w:t>29(3)</w:t>
      </w:r>
    </w:p>
    <w:p>
      <w:pPr>
        <w:pStyle w:val="DefinedTerms"/>
      </w:pPr>
      <w:r>
        <w:t>operating costs</w:t>
      </w:r>
      <w:r>
        <w:tab/>
        <w:t>Sch. 4 cl. 1</w:t>
      </w:r>
    </w:p>
    <w:p>
      <w:pPr>
        <w:pStyle w:val="DefinedTerms"/>
      </w:pPr>
      <w:r>
        <w:t>operator</w:t>
      </w:r>
      <w:r>
        <w:tab/>
        <w:t>3</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proponent</w:t>
      </w:r>
      <w:r>
        <w:tab/>
        <w:t>3</w:t>
      </w:r>
    </w:p>
    <w:p>
      <w:pPr>
        <w:pStyle w:val="DefinedTerms"/>
      </w:pPr>
      <w:r>
        <w:t>proposal</w:t>
      </w:r>
      <w:r>
        <w:tab/>
        <w:t>3</w:t>
      </w:r>
    </w:p>
    <w:p>
      <w:pPr>
        <w:pStyle w:val="DefinedTerms"/>
      </w:pPr>
      <w:r>
        <w:t>rail operations</w:t>
      </w:r>
      <w:r>
        <w:tab/>
        <w:t>3</w:t>
      </w:r>
    </w:p>
    <w:p>
      <w:pPr>
        <w:pStyle w:val="DefinedTerms"/>
      </w:pPr>
      <w:r>
        <w:t>rail operations of the railway owner</w:t>
      </w:r>
      <w:r>
        <w:tab/>
        <w:t>16(3)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related body corporate</w:t>
      </w:r>
      <w:r>
        <w:tab/>
        <w:t>3</w:t>
      </w:r>
    </w:p>
    <w:p>
      <w:pPr>
        <w:pStyle w:val="DefinedTerms"/>
      </w:pPr>
      <w:r>
        <w:t>required information</w:t>
      </w:r>
      <w:r>
        <w:tab/>
        <w:t>6</w:t>
      </w:r>
    </w:p>
    <w:p>
      <w:pPr>
        <w:pStyle w:val="DefinedTerms"/>
      </w:pPr>
      <w:r>
        <w:t>rolling stock</w:t>
      </w:r>
      <w:r>
        <w:tab/>
        <w:t>3</w:t>
      </w:r>
    </w:p>
    <w:p>
      <w:pPr>
        <w:pStyle w:val="DefinedTerms"/>
      </w:pPr>
      <w:r>
        <w:t>route</w:t>
      </w:r>
      <w:r>
        <w:tab/>
        <w:t>3</w:t>
      </w:r>
    </w:p>
    <w:p>
      <w:pPr>
        <w:pStyle w:val="DefinedTerms"/>
      </w:pPr>
      <w:r>
        <w:t>route section</w:t>
      </w:r>
      <w:r>
        <w:tab/>
        <w:t>3</w:t>
      </w:r>
    </w:p>
    <w:p>
      <w:pPr>
        <w:pStyle w:val="DefinedTerms"/>
      </w:pPr>
      <w:r>
        <w:t>the costing principles</w:t>
      </w:r>
      <w:r>
        <w:tab/>
        <w:t>46(1)</w:t>
      </w:r>
    </w:p>
    <w:p>
      <w:pPr>
        <w:pStyle w:val="DefinedTerms"/>
      </w:pPr>
      <w:r>
        <w:t>the other party</w:t>
      </w:r>
      <w:r>
        <w:tab/>
        <w:t>26(1)</w:t>
      </w:r>
    </w:p>
    <w:p>
      <w:pPr>
        <w:pStyle w:val="DefinedTerms"/>
      </w:pPr>
      <w:r>
        <w:t>the over</w:t>
      </w:r>
      <w:r>
        <w:noBreakHyphen/>
        <w:t>payment rules</w:t>
      </w:r>
      <w:r>
        <w:tab/>
        <w:t>47(1)</w:t>
      </w:r>
    </w:p>
    <w:p>
      <w:pPr>
        <w:pStyle w:val="DefinedTerms"/>
      </w:pPr>
      <w:r>
        <w:t>the route</w:t>
      </w:r>
      <w:r>
        <w:tab/>
        <w:t>Sch. 4 cl. 7(2), Sch. 4 cl. 8(3)</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w:t>
      </w:r>
    </w:p>
    <w:p>
      <w:pPr>
        <w:pStyle w:val="DefinedTerms"/>
      </w:pPr>
      <w:r>
        <w:t>total costs</w:t>
      </w:r>
      <w:r>
        <w:tab/>
        <w:t>Sch. 4 cl. 1</w:t>
      </w:r>
    </w:p>
    <w:p>
      <w:pPr>
        <w:pStyle w:val="DefinedTerms"/>
      </w:pPr>
      <w:r>
        <w:t>TPI Railway and Port Agreement</w:t>
      </w:r>
      <w:r>
        <w:tab/>
        <w:t>3</w:t>
      </w:r>
    </w:p>
    <w:p>
      <w:pPr>
        <w:pStyle w:val="DefinedTerms"/>
      </w:pPr>
      <w:r>
        <w:t>WACC</w:t>
      </w:r>
      <w:r>
        <w:tab/>
        <w:t>Sch. 4 cl. 2(4)</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07"/>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413B-7132-49BC-B0E2-589CF6C3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15871</Words>
  <Characters>77296</Characters>
  <Application>Microsoft Office Word</Application>
  <DocSecurity>0</DocSecurity>
  <Lines>2147</Lines>
  <Paragraphs>1411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2000 - 01-e0-02</dc:title>
  <dc:subject/>
  <dc:creator/>
  <cp:keywords/>
  <dc:description/>
  <cp:lastModifiedBy>svcMRProcess</cp:lastModifiedBy>
  <cp:revision>4</cp:revision>
  <cp:lastPrinted>2010-02-09T03:47:00Z</cp:lastPrinted>
  <dcterms:created xsi:type="dcterms:W3CDTF">2019-04-08T02:39:00Z</dcterms:created>
  <dcterms:modified xsi:type="dcterms:W3CDTF">2019-04-08T02:40:00Z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20150815</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AsAtDate">
    <vt:lpwstr>15 Aug 2015</vt:lpwstr>
  </property>
  <property fmtid="{D5CDD505-2E9C-101B-9397-08002B2CF9AE}" pid="8" name="Suffix">
    <vt:lpwstr>01-e0-02</vt:lpwstr>
  </property>
</Properties>
</file>