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Chattel Securities Act 1987</w:t>
      </w:r>
      <w:r>
        <w:fldChar w:fldCharType="end"/>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Chattel Securities Regulations 1988</w:t>
      </w:r>
      <w:r>
        <w:rPr>
          <w:sz w:val="48"/>
        </w:rPr>
        <w:fldChar w:fldCharType="end"/>
      </w:r>
    </w:p>
    <w:p>
      <w:pPr>
        <w:pStyle w:val="ReprintNo"/>
      </w:pPr>
      <w:r>
        <w:t>Reprint 3:  The regulations as at 14 August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B83134" w:rsidRDefault="00B8313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B83134" w:rsidRDefault="00B8313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B83134" w:rsidRDefault="00B8313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B83134" w:rsidRDefault="00B8313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_Toc420053681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_Toc420053682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_Toc420053683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register (s. 14)</w:t>
      </w:r>
      <w:r>
        <w:tab/>
      </w:r>
      <w:r>
        <w:fldChar w:fldCharType="begin"/>
      </w:r>
      <w:r>
        <w:instrText xml:space="preserve"> PAGEREF _Toc420053684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of making application</w:t>
      </w:r>
      <w:r>
        <w:tab/>
      </w:r>
      <w:r>
        <w:fldChar w:fldCharType="begin"/>
      </w:r>
      <w:r>
        <w:instrText xml:space="preserve"> PAGEREF _Toc420053685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w:t>
      </w:r>
      <w:r>
        <w:tab/>
      </w:r>
      <w:r>
        <w:fldChar w:fldCharType="begin"/>
      </w:r>
      <w:r>
        <w:instrText xml:space="preserve"> PAGEREF _Toc420053686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changes (s. 21)</w:t>
      </w:r>
      <w:r>
        <w:tab/>
      </w:r>
      <w:r>
        <w:fldChar w:fldCharType="begin"/>
      </w:r>
      <w:r>
        <w:instrText xml:space="preserve"> PAGEREF _Toc420053687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goods (s. 13)</w:t>
      </w:r>
      <w:r>
        <w:tab/>
      </w:r>
      <w:r>
        <w:fldChar w:fldCharType="begin"/>
      </w:r>
      <w:r>
        <w:instrText xml:space="preserve"> PAGEREF _Toc420053688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 — Prescribed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_Toc420053691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3" w:name="_Toc408467929"/>
      <w:bookmarkStart w:id="4" w:name="_Toc42005368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2005368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7" w:name="_Toc408467931"/>
      <w:bookmarkStart w:id="8" w:name="_Toc420053683"/>
      <w:r>
        <w:rPr>
          <w:rStyle w:val="CharSectno"/>
        </w:rPr>
        <w:t>3</w:t>
      </w:r>
      <w:r>
        <w:rPr>
          <w:snapToGrid w:val="0"/>
        </w:rPr>
        <w:t>.</w:t>
      </w:r>
      <w:r>
        <w:rPr>
          <w:snapToGrid w:val="0"/>
        </w:rPr>
        <w:tab/>
      </w:r>
      <w:bookmarkEnd w:id="7"/>
      <w:r>
        <w:rPr>
          <w:snapToGrid w:val="0"/>
        </w:rPr>
        <w:t>Terms used</w:t>
      </w:r>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(Vehicles) Act 2012</w:t>
      </w:r>
      <w:r>
        <w:t>; or</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 xml:space="preserve">means an identification number marked on a motor vehicle in accordance with the </w:t>
      </w:r>
      <w:r>
        <w:rPr>
          <w:i/>
        </w:rPr>
        <w:t xml:space="preserve">Road Traffic (Vehicles) Regulations 2014 </w:t>
      </w:r>
      <w:r>
        <w:t>regulation 274;</w:t>
      </w:r>
    </w:p>
    <w:p>
      <w:pPr>
        <w:pStyle w:val="Defstart"/>
        <w:rPr>
          <w:b/>
        </w:rPr>
      </w:pPr>
      <w:r>
        <w:tab/>
      </w:r>
      <w:r>
        <w:rPr>
          <w:rStyle w:val="CharDefText"/>
        </w:rPr>
        <w:t>vessel</w:t>
      </w:r>
      <w:r>
        <w:t xml:space="preserve"> has the meaning given in section 3(1) of the </w:t>
      </w:r>
      <w:r>
        <w:rPr>
          <w:i/>
        </w:rPr>
        <w:t>Western Australian Marine Act 1982</w:t>
      </w:r>
      <w:r>
        <w:t>.</w:t>
      </w:r>
    </w:p>
    <w:p>
      <w:pPr>
        <w:pStyle w:val="Footnotesection"/>
      </w:pPr>
      <w:r>
        <w:tab/>
        <w:t>[Regulation 3 amended in Gazette 20 Jan 1989 p. 132; 26 Jan 1990 p. 654; 29 Oct 1996 p. 5720; 8 May 2001 p. 2270; 14 Feb 2003 p. 467; 8 Jan 2015 p. 83</w:t>
      </w:r>
      <w:r>
        <w:noBreakHyphen/>
        <w:t>4.]</w:t>
      </w:r>
    </w:p>
    <w:p>
      <w:pPr>
        <w:pStyle w:val="Heading5"/>
        <w:rPr>
          <w:snapToGrid w:val="0"/>
        </w:rPr>
      </w:pPr>
      <w:bookmarkStart w:id="9" w:name="_Toc408467932"/>
      <w:bookmarkStart w:id="10" w:name="_Toc420053684"/>
      <w:r>
        <w:rPr>
          <w:rStyle w:val="CharSectno"/>
        </w:rPr>
        <w:t>4</w:t>
      </w:r>
      <w:r>
        <w:rPr>
          <w:snapToGrid w:val="0"/>
        </w:rPr>
        <w:t>.</w:t>
      </w:r>
      <w:r>
        <w:rPr>
          <w:snapToGrid w:val="0"/>
        </w:rPr>
        <w:tab/>
        <w:t>The register (s. 14)</w:t>
      </w:r>
      <w:bookmarkEnd w:id="9"/>
      <w:bookmarkEnd w:id="1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 and</w:t>
      </w:r>
    </w:p>
    <w:p>
      <w:pPr>
        <w:pStyle w:val="Indenta"/>
        <w:rPr>
          <w:snapToGrid w:val="0"/>
        </w:rPr>
      </w:pPr>
      <w:r>
        <w:rPr>
          <w:snapToGrid w:val="0"/>
        </w:rPr>
        <w:tab/>
        <w:t>(b)</w:t>
      </w:r>
      <w:r>
        <w:rPr>
          <w:snapToGrid w:val="0"/>
        </w:rPr>
        <w:tab/>
        <w:t>in the case of an application by an account customer — the account number; and</w:t>
      </w:r>
    </w:p>
    <w:p>
      <w:pPr>
        <w:pStyle w:val="Indenta"/>
        <w:rPr>
          <w:snapToGrid w:val="0"/>
        </w:rPr>
      </w:pPr>
      <w:r>
        <w:rPr>
          <w:snapToGrid w:val="0"/>
        </w:rPr>
        <w:tab/>
        <w:t>(c)</w:t>
      </w:r>
      <w:r>
        <w:rPr>
          <w:snapToGrid w:val="0"/>
        </w:rPr>
        <w:tab/>
        <w:t>the motor vehicle or machinery type; and</w:t>
      </w:r>
    </w:p>
    <w:p>
      <w:pPr>
        <w:pStyle w:val="Indenta"/>
        <w:rPr>
          <w:snapToGrid w:val="0"/>
        </w:rPr>
      </w:pPr>
      <w:r>
        <w:rPr>
          <w:snapToGrid w:val="0"/>
        </w:rPr>
        <w:tab/>
        <w:t>(d)</w:t>
      </w:r>
      <w:r>
        <w:rPr>
          <w:snapToGrid w:val="0"/>
        </w:rPr>
        <w:tab/>
        <w:t>where applicable, the registration number of the goods or otherwise the model number of the goods; and</w:t>
      </w:r>
    </w:p>
    <w:p>
      <w:pPr>
        <w:pStyle w:val="Indenta"/>
        <w:rPr>
          <w:snapToGrid w:val="0"/>
        </w:rPr>
      </w:pPr>
      <w:r>
        <w:rPr>
          <w:snapToGrid w:val="0"/>
        </w:rPr>
        <w:tab/>
        <w:t>(e)</w:t>
      </w:r>
      <w:r>
        <w:rPr>
          <w:snapToGrid w:val="0"/>
        </w:rPr>
        <w:tab/>
        <w:t>the make of the goods; and</w:t>
      </w:r>
    </w:p>
    <w:p>
      <w:pPr>
        <w:pStyle w:val="Indenta"/>
        <w:rPr>
          <w:snapToGrid w:val="0"/>
        </w:rPr>
      </w:pPr>
      <w:r>
        <w:rPr>
          <w:snapToGrid w:val="0"/>
        </w:rPr>
        <w:tab/>
        <w:t>(f)</w:t>
      </w:r>
      <w:r>
        <w:rPr>
          <w:snapToGrid w:val="0"/>
        </w:rPr>
        <w:tab/>
        <w:t>the body type of the goods; and</w:t>
      </w:r>
    </w:p>
    <w:p>
      <w:pPr>
        <w:pStyle w:val="Indenta"/>
        <w:rPr>
          <w:snapToGrid w:val="0"/>
        </w:rPr>
      </w:pPr>
      <w:r>
        <w:rPr>
          <w:snapToGrid w:val="0"/>
        </w:rPr>
        <w:tab/>
        <w:t>(g)</w:t>
      </w:r>
      <w:r>
        <w:rPr>
          <w:snapToGrid w:val="0"/>
        </w:rPr>
        <w:tab/>
        <w:t>the year of manufacture of the goods; and</w:t>
      </w:r>
    </w:p>
    <w:p>
      <w:pPr>
        <w:pStyle w:val="Indenta"/>
        <w:rPr>
          <w:snapToGrid w:val="0"/>
        </w:rPr>
      </w:pPr>
      <w:r>
        <w:rPr>
          <w:snapToGrid w:val="0"/>
        </w:rPr>
        <w:tab/>
        <w:t>(h)</w:t>
      </w:r>
      <w:r>
        <w:rPr>
          <w:snapToGrid w:val="0"/>
        </w:rPr>
        <w:tab/>
        <w:t>the engine number of the goods; and</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 or</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the financier’s reference number for the interest; and</w:t>
      </w:r>
    </w:p>
    <w:p>
      <w:pPr>
        <w:pStyle w:val="Indenta"/>
        <w:rPr>
          <w:snapToGrid w:val="0"/>
        </w:rPr>
      </w:pPr>
      <w:r>
        <w:rPr>
          <w:snapToGrid w:val="0"/>
        </w:rPr>
        <w:tab/>
        <w:t>(k)</w:t>
      </w:r>
      <w:r>
        <w:rPr>
          <w:snapToGrid w:val="0"/>
        </w:rPr>
        <w:tab/>
        <w:t>the type of interest; and</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 and</w:t>
      </w:r>
    </w:p>
    <w:p>
      <w:pPr>
        <w:pStyle w:val="Indenta"/>
      </w:pPr>
      <w:r>
        <w:tab/>
        <w:t>(b)</w:t>
      </w:r>
      <w:r>
        <w:tab/>
        <w:t>in the case of an application by an account customer — the account number; and</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 and</w:t>
      </w:r>
    </w:p>
    <w:p>
      <w:pPr>
        <w:pStyle w:val="Indenta"/>
      </w:pPr>
      <w:r>
        <w:tab/>
        <w:t>(d)</w:t>
      </w:r>
      <w:r>
        <w:tab/>
        <w:t>the hull identification number of the vessel; and</w:t>
      </w:r>
    </w:p>
    <w:p>
      <w:pPr>
        <w:pStyle w:val="Indenta"/>
      </w:pPr>
      <w:r>
        <w:tab/>
        <w:t>(e)</w:t>
      </w:r>
      <w:r>
        <w:tab/>
        <w:t>the hull type of the vessel; and</w:t>
      </w:r>
    </w:p>
    <w:p>
      <w:pPr>
        <w:pStyle w:val="Indenta"/>
      </w:pPr>
      <w:r>
        <w:tab/>
        <w:t>(f)</w:t>
      </w:r>
      <w:r>
        <w:tab/>
        <w:t>the name of the manufacturer of the hull of the vessel; and</w:t>
      </w:r>
    </w:p>
    <w:p>
      <w:pPr>
        <w:pStyle w:val="Indenta"/>
      </w:pPr>
      <w:r>
        <w:tab/>
        <w:t>(g)</w:t>
      </w:r>
      <w:r>
        <w:tab/>
        <w:t>the overall length of the vessel expressed in centimetres; and</w:t>
      </w:r>
    </w:p>
    <w:p>
      <w:pPr>
        <w:pStyle w:val="Indenta"/>
      </w:pPr>
      <w:r>
        <w:tab/>
        <w:t>(h)</w:t>
      </w:r>
      <w:r>
        <w:tab/>
        <w:t>the year the vessel was built; and</w:t>
      </w:r>
    </w:p>
    <w:p>
      <w:pPr>
        <w:pStyle w:val="Indenta"/>
      </w:pPr>
      <w:r>
        <w:tab/>
        <w:t>(i)</w:t>
      </w:r>
      <w:r>
        <w:tab/>
        <w:t>the name of the manufacturer of any propulsion engine fitted to the vessel, including any auxiliary engine; and</w:t>
      </w:r>
    </w:p>
    <w:p>
      <w:pPr>
        <w:pStyle w:val="Indenta"/>
      </w:pPr>
      <w:r>
        <w:tab/>
        <w:t>(j)</w:t>
      </w:r>
      <w:r>
        <w:tab/>
        <w:t>the engine number of any propulsion engine fitted to the vessel; and</w:t>
      </w:r>
    </w:p>
    <w:p>
      <w:pPr>
        <w:pStyle w:val="Indenta"/>
      </w:pPr>
      <w:r>
        <w:tab/>
        <w:t>(k)</w:t>
      </w:r>
      <w:r>
        <w:tab/>
        <w:t>the financier’s reference number for the interest; and</w:t>
      </w:r>
    </w:p>
    <w:p>
      <w:pPr>
        <w:pStyle w:val="Indenta"/>
      </w:pPr>
      <w:r>
        <w:tab/>
        <w:t>(l)</w:t>
      </w:r>
      <w:r>
        <w:tab/>
        <w:t>the type of interest; and</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keepNext w:val="0"/>
        <w:keepLines w:val="0"/>
        <w:spacing w:before="180"/>
        <w:rPr>
          <w:snapToGrid w:val="0"/>
        </w:rPr>
      </w:pPr>
      <w:bookmarkStart w:id="11" w:name="_Toc408467933"/>
      <w:bookmarkStart w:id="12" w:name="_Toc420053685"/>
      <w:r>
        <w:rPr>
          <w:rStyle w:val="CharSectno"/>
        </w:rPr>
        <w:t>5</w:t>
      </w:r>
      <w:r>
        <w:rPr>
          <w:snapToGrid w:val="0"/>
        </w:rPr>
        <w:t>.</w:t>
      </w:r>
      <w:r>
        <w:rPr>
          <w:snapToGrid w:val="0"/>
        </w:rPr>
        <w:tab/>
        <w:t>Time of making application</w:t>
      </w:r>
      <w:bookmarkEnd w:id="11"/>
      <w:bookmarkEnd w:id="12"/>
    </w:p>
    <w:p>
      <w:pPr>
        <w:pStyle w:val="Subsection"/>
        <w:spacing w:before="12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13" w:name="_Toc408467934"/>
      <w:bookmarkStart w:id="14" w:name="_Toc420053686"/>
      <w:r>
        <w:rPr>
          <w:rStyle w:val="CharSectno"/>
        </w:rPr>
        <w:t>6</w:t>
      </w:r>
      <w:r>
        <w:rPr>
          <w:snapToGrid w:val="0"/>
        </w:rPr>
        <w:t>.</w:t>
      </w:r>
      <w:r>
        <w:rPr>
          <w:snapToGrid w:val="0"/>
        </w:rPr>
        <w:tab/>
        <w:t>Prescribed fees</w:t>
      </w:r>
      <w:bookmarkEnd w:id="13"/>
      <w:bookmarkEnd w:id="14"/>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15" w:name="_Toc408467935"/>
      <w:bookmarkStart w:id="16" w:name="_Toc420053687"/>
      <w:r>
        <w:rPr>
          <w:rStyle w:val="CharSectno"/>
        </w:rPr>
        <w:t>7</w:t>
      </w:r>
      <w:r>
        <w:rPr>
          <w:snapToGrid w:val="0"/>
        </w:rPr>
        <w:t>.</w:t>
      </w:r>
      <w:r>
        <w:rPr>
          <w:snapToGrid w:val="0"/>
        </w:rPr>
        <w:tab/>
        <w:t>Prescribed changes (s. 21)</w:t>
      </w:r>
      <w:bookmarkEnd w:id="15"/>
      <w:bookmarkEnd w:id="1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 and</w:t>
      </w:r>
    </w:p>
    <w:p>
      <w:pPr>
        <w:pStyle w:val="Indenta"/>
        <w:rPr>
          <w:snapToGrid w:val="0"/>
        </w:rPr>
      </w:pPr>
      <w:r>
        <w:rPr>
          <w:snapToGrid w:val="0"/>
        </w:rPr>
        <w:tab/>
        <w:t>(b)</w:t>
      </w:r>
      <w:r>
        <w:rPr>
          <w:snapToGrid w:val="0"/>
        </w:rPr>
        <w:tab/>
        <w:t>a change in the registration number effected in accordance with the —</w:t>
      </w:r>
    </w:p>
    <w:p>
      <w:pPr>
        <w:pStyle w:val="Indenti"/>
      </w:pPr>
      <w:r>
        <w:tab/>
        <w:t>(i)</w:t>
      </w:r>
      <w:r>
        <w:tab/>
      </w:r>
      <w:r>
        <w:rPr>
          <w:i/>
        </w:rPr>
        <w:t>Road Traffic (Vehicles) Act 2012</w:t>
      </w:r>
      <w:r>
        <w:t>; or</w:t>
      </w:r>
    </w:p>
    <w:p>
      <w:pPr>
        <w:pStyle w:val="Indenti"/>
      </w:pPr>
      <w:r>
        <w:tab/>
        <w:t>(ia)</w:t>
      </w:r>
      <w:r>
        <w:tab/>
      </w:r>
      <w:r>
        <w:rPr>
          <w:i/>
          <w:snapToGrid w:val="0"/>
        </w:rPr>
        <w:t>Navigable</w:t>
      </w:r>
      <w:r>
        <w:rPr>
          <w:i/>
        </w:rPr>
        <w:t xml:space="preserve"> Waters Regulations 1958</w:t>
      </w:r>
      <w:r>
        <w:rPr>
          <w:iCs/>
          <w:vertAlign w:val="superscript"/>
        </w:rPr>
        <w:t> 2</w:t>
      </w:r>
      <w:r>
        <w:t>; or</w:t>
      </w:r>
    </w:p>
    <w:p>
      <w:pPr>
        <w:pStyle w:val="Indenti"/>
      </w:pPr>
      <w:r>
        <w:tab/>
        <w:t>(ii)</w:t>
      </w:r>
      <w:r>
        <w:tab/>
        <w:t xml:space="preserve">the </w:t>
      </w:r>
      <w:r>
        <w:rPr>
          <w:i/>
        </w:rPr>
        <w:t>Taxi Act 1994</w:t>
      </w:r>
      <w: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 8 Jan 2015 p. 84.]</w:t>
      </w:r>
    </w:p>
    <w:p>
      <w:pPr>
        <w:pStyle w:val="Heading5"/>
        <w:rPr>
          <w:snapToGrid w:val="0"/>
        </w:rPr>
      </w:pPr>
      <w:bookmarkStart w:id="17" w:name="_Toc408467936"/>
      <w:bookmarkStart w:id="18" w:name="_Toc420053688"/>
      <w:r>
        <w:rPr>
          <w:rStyle w:val="CharSectno"/>
        </w:rPr>
        <w:t>8</w:t>
      </w:r>
      <w:r>
        <w:rPr>
          <w:snapToGrid w:val="0"/>
        </w:rPr>
        <w:t>.</w:t>
      </w:r>
      <w:r>
        <w:rPr>
          <w:snapToGrid w:val="0"/>
        </w:rPr>
        <w:tab/>
        <w:t>Prescribed goods (s. 13)</w:t>
      </w:r>
      <w:bookmarkEnd w:id="17"/>
      <w:bookmarkEnd w:id="1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is not and has not been licensed under the</w:t>
      </w:r>
      <w:r>
        <w:rPr>
          <w:i/>
          <w:snapToGrid w:val="0"/>
        </w:rPr>
        <w:t xml:space="preserve"> Road Traffic (Vehicles) Act 2012</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3</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3</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 and</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keepNext/>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 8 Jan 2015 p. 84.]</w:t>
      </w:r>
    </w:p>
    <w:p>
      <w:pPr>
        <w:pStyle w:val="Ednotesection"/>
      </w:pPr>
      <w:r>
        <w:t>[</w:t>
      </w:r>
      <w:r>
        <w:rPr>
          <w:b/>
        </w:rPr>
        <w:t>9, 10.</w:t>
      </w:r>
      <w:r>
        <w:tab/>
        <w:t>Deleted in Gazette 20 Aug 2013 p. 3825.]</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408467937"/>
      <w:bookmarkStart w:id="20" w:name="_Toc415234456"/>
      <w:bookmarkStart w:id="21" w:name="_Toc415234468"/>
      <w:bookmarkStart w:id="22" w:name="_Toc415234490"/>
      <w:bookmarkStart w:id="23" w:name="_Toc417562896"/>
      <w:bookmarkStart w:id="24" w:name="_Toc420053689"/>
      <w:r>
        <w:rPr>
          <w:rStyle w:val="CharSchNo"/>
        </w:rPr>
        <w:t>Schedule 1</w:t>
      </w:r>
      <w:r>
        <w:rPr>
          <w:rStyle w:val="CharSDivNo"/>
        </w:rPr>
        <w:t> </w:t>
      </w:r>
      <w:r>
        <w:t>—</w:t>
      </w:r>
      <w:r>
        <w:rPr>
          <w:rStyle w:val="CharSDivText"/>
        </w:rPr>
        <w:t> </w:t>
      </w:r>
      <w:r>
        <w:rPr>
          <w:rStyle w:val="CharSchText"/>
        </w:rPr>
        <w:t>Prescribed fees</w:t>
      </w:r>
      <w:bookmarkEnd w:id="19"/>
      <w:bookmarkEnd w:id="20"/>
      <w:bookmarkEnd w:id="21"/>
      <w:bookmarkEnd w:id="22"/>
      <w:bookmarkEnd w:id="23"/>
      <w:bookmarkEnd w:id="24"/>
    </w:p>
    <w:p>
      <w:pPr>
        <w:pStyle w:val="yShoulderClause"/>
        <w:spacing w:after="80"/>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6" w:name="_Toc408467938"/>
      <w:bookmarkStart w:id="27" w:name="_Toc415234457"/>
      <w:bookmarkStart w:id="28" w:name="_Toc415234469"/>
      <w:bookmarkStart w:id="29" w:name="_Toc415234491"/>
      <w:bookmarkStart w:id="30" w:name="_Toc417562897"/>
      <w:bookmarkStart w:id="31" w:name="_Toc420053690"/>
      <w:r>
        <w:t>Notes</w:t>
      </w:r>
      <w:bookmarkEnd w:id="26"/>
      <w:bookmarkEnd w:id="27"/>
      <w:bookmarkEnd w:id="28"/>
      <w:bookmarkEnd w:id="29"/>
      <w:bookmarkEnd w:id="30"/>
      <w:bookmarkEnd w:id="31"/>
    </w:p>
    <w:p>
      <w:pPr>
        <w:pStyle w:val="nSubsection"/>
      </w:pPr>
      <w:r>
        <w:rPr>
          <w:vertAlign w:val="superscript"/>
        </w:rPr>
        <w:t>1</w:t>
      </w:r>
      <w:r>
        <w:tab/>
        <w:t xml:space="preserve">This reprint is a compilation as at 14 August 2015 of the </w:t>
      </w:r>
      <w:r>
        <w:rPr>
          <w:i/>
          <w:noProof/>
        </w:rPr>
        <w:t>Chattel Securities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32" w:name="_Toc420053691"/>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Chattel Securities Regulations 1988</w:t>
            </w:r>
          </w:p>
        </w:tc>
        <w:tc>
          <w:tcPr>
            <w:tcW w:w="1276" w:type="dxa"/>
            <w:tcBorders>
              <w:top w:val="single" w:sz="8" w:space="0" w:color="auto"/>
            </w:tcBorders>
          </w:tcPr>
          <w:p>
            <w:pPr>
              <w:pStyle w:val="nTable"/>
              <w:spacing w:after="40"/>
            </w:pPr>
            <w:r>
              <w:t>5 Aug 1988 p. 2630</w:t>
            </w:r>
            <w:r>
              <w:noBreakHyphen/>
              <w:t>1</w:t>
            </w:r>
          </w:p>
        </w:tc>
        <w:tc>
          <w:tcPr>
            <w:tcW w:w="2693" w:type="dxa"/>
            <w:tcBorders>
              <w:top w:val="single" w:sz="8" w:space="0" w:color="auto"/>
            </w:tcBorders>
          </w:tcPr>
          <w:p>
            <w:pPr>
              <w:pStyle w:val="nTable"/>
              <w:spacing w:after="40"/>
            </w:pPr>
            <w:r>
              <w:t>29 Aug 1988 (see r. 2)</w:t>
            </w:r>
          </w:p>
        </w:tc>
      </w:tr>
      <w:tr>
        <w:trPr>
          <w:cantSplit/>
        </w:trPr>
        <w:tc>
          <w:tcPr>
            <w:tcW w:w="3119" w:type="dxa"/>
          </w:tcPr>
          <w:p>
            <w:pPr>
              <w:pStyle w:val="nTable"/>
              <w:spacing w:after="40"/>
              <w:ind w:right="113"/>
            </w:pPr>
            <w:r>
              <w:rPr>
                <w:i/>
              </w:rPr>
              <w:t>Chattel Securities Amendment Regulations (No. 2) 1989</w:t>
            </w:r>
          </w:p>
        </w:tc>
        <w:tc>
          <w:tcPr>
            <w:tcW w:w="1276" w:type="dxa"/>
          </w:tcPr>
          <w:p>
            <w:pPr>
              <w:pStyle w:val="nTable"/>
              <w:spacing w:after="40"/>
            </w:pPr>
            <w:r>
              <w:t>20 Jan 1989 p. 132</w:t>
            </w:r>
          </w:p>
        </w:tc>
        <w:tc>
          <w:tcPr>
            <w:tcW w:w="2693" w:type="dxa"/>
          </w:tcPr>
          <w:p>
            <w:pPr>
              <w:pStyle w:val="nTable"/>
              <w:spacing w:after="40"/>
            </w:pPr>
            <w:r>
              <w:t>20 Jan 1989</w:t>
            </w:r>
          </w:p>
        </w:tc>
      </w:tr>
      <w:tr>
        <w:trPr>
          <w:cantSplit/>
        </w:trPr>
        <w:tc>
          <w:tcPr>
            <w:tcW w:w="3119" w:type="dxa"/>
          </w:tcPr>
          <w:p>
            <w:pPr>
              <w:pStyle w:val="nTable"/>
              <w:spacing w:after="40"/>
              <w:ind w:right="113"/>
            </w:pPr>
            <w:r>
              <w:rPr>
                <w:i/>
              </w:rPr>
              <w:t>Chattel Securities Amendment Regulations (No. 3)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9" w:type="dxa"/>
          </w:tcPr>
          <w:p>
            <w:pPr>
              <w:pStyle w:val="nTable"/>
              <w:spacing w:after="40"/>
              <w:ind w:right="113"/>
            </w:pPr>
            <w:r>
              <w:rPr>
                <w:i/>
              </w:rPr>
              <w:t>Chattel Securities Amendment Regulations 1989</w:t>
            </w:r>
          </w:p>
        </w:tc>
        <w:tc>
          <w:tcPr>
            <w:tcW w:w="1276" w:type="dxa"/>
          </w:tcPr>
          <w:p>
            <w:pPr>
              <w:pStyle w:val="nTable"/>
              <w:spacing w:after="40"/>
            </w:pPr>
            <w:r>
              <w:t>26 Jan 1990 p. 654</w:t>
            </w:r>
            <w:r>
              <w:noBreakHyphen/>
              <w:t>5</w:t>
            </w:r>
          </w:p>
        </w:tc>
        <w:tc>
          <w:tcPr>
            <w:tcW w:w="2693" w:type="dxa"/>
          </w:tcPr>
          <w:p>
            <w:pPr>
              <w:pStyle w:val="nTable"/>
              <w:spacing w:after="40"/>
            </w:pPr>
            <w:r>
              <w:t>16 Apr 1990 (see r. 2)</w:t>
            </w:r>
          </w:p>
        </w:tc>
      </w:tr>
      <w:tr>
        <w:trPr>
          <w:cantSplit/>
        </w:trPr>
        <w:tc>
          <w:tcPr>
            <w:tcW w:w="3119" w:type="dxa"/>
          </w:tcPr>
          <w:p>
            <w:pPr>
              <w:pStyle w:val="nTable"/>
              <w:spacing w:after="40"/>
              <w:ind w:right="113"/>
            </w:pPr>
            <w:r>
              <w:rPr>
                <w:i/>
              </w:rPr>
              <w:t>Chattel Securities Amendment Regulations 1990</w:t>
            </w:r>
          </w:p>
        </w:tc>
        <w:tc>
          <w:tcPr>
            <w:tcW w:w="1276" w:type="dxa"/>
          </w:tcPr>
          <w:p>
            <w:pPr>
              <w:pStyle w:val="nTable"/>
              <w:spacing w:after="40"/>
            </w:pPr>
            <w:r>
              <w:t>8 Aug 1990 p. 3819</w:t>
            </w:r>
          </w:p>
        </w:tc>
        <w:tc>
          <w:tcPr>
            <w:tcW w:w="2693" w:type="dxa"/>
          </w:tcPr>
          <w:p>
            <w:pPr>
              <w:pStyle w:val="nTable"/>
              <w:spacing w:after="40"/>
            </w:pPr>
            <w:r>
              <w:t>8 Aug 1990</w:t>
            </w:r>
          </w:p>
        </w:tc>
      </w:tr>
      <w:tr>
        <w:trPr>
          <w:cantSplit/>
        </w:trPr>
        <w:tc>
          <w:tcPr>
            <w:tcW w:w="3119" w:type="dxa"/>
          </w:tcPr>
          <w:p>
            <w:pPr>
              <w:pStyle w:val="nTable"/>
              <w:spacing w:after="40"/>
              <w:ind w:right="113"/>
            </w:pPr>
            <w:r>
              <w:rPr>
                <w:i/>
              </w:rPr>
              <w:t>Chattel Securities Amendment Regulations (No. 2) 1990</w:t>
            </w:r>
          </w:p>
        </w:tc>
        <w:tc>
          <w:tcPr>
            <w:tcW w:w="1276" w:type="dxa"/>
          </w:tcPr>
          <w:p>
            <w:pPr>
              <w:pStyle w:val="nTable"/>
              <w:spacing w:after="40"/>
            </w:pPr>
            <w:r>
              <w:t>1 Mar 1991 p. 969</w:t>
            </w:r>
            <w:r>
              <w:noBreakHyphen/>
              <w:t>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(No. 3) 1990</w:t>
            </w:r>
          </w:p>
        </w:tc>
        <w:tc>
          <w:tcPr>
            <w:tcW w:w="1276" w:type="dxa"/>
          </w:tcPr>
          <w:p>
            <w:pPr>
              <w:pStyle w:val="nTable"/>
              <w:spacing w:after="40"/>
            </w:pPr>
            <w:r>
              <w:t>1 Mar 1991 p. 970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1996</w:t>
            </w:r>
          </w:p>
        </w:tc>
        <w:tc>
          <w:tcPr>
            <w:tcW w:w="1276" w:type="dxa"/>
          </w:tcPr>
          <w:p>
            <w:pPr>
              <w:pStyle w:val="nTable"/>
              <w:spacing w:after="40"/>
            </w:pPr>
            <w:r>
              <w:t>29 Oct 1996 p. 5719</w:t>
            </w:r>
            <w:r>
              <w:noBreakHyphen/>
              <w:t>21</w:t>
            </w:r>
          </w:p>
        </w:tc>
        <w:tc>
          <w:tcPr>
            <w:tcW w:w="2693" w:type="dxa"/>
          </w:tcPr>
          <w:p>
            <w:pPr>
              <w:pStyle w:val="nTable"/>
              <w:spacing w:after="40"/>
            </w:pPr>
            <w:r>
              <w:t>4 Nov 1996 (see r. 2 and </w:t>
            </w:r>
            <w:r>
              <w:rPr>
                <w:i/>
              </w:rPr>
              <w:t>Gazette</w:t>
            </w:r>
            <w:r>
              <w:t xml:space="preserve"> 29 Oct 1996 p. 5715)</w:t>
            </w:r>
          </w:p>
        </w:tc>
      </w:tr>
      <w:tr>
        <w:trPr>
          <w:cantSplit/>
        </w:trPr>
        <w:tc>
          <w:tcPr>
            <w:tcW w:w="7088" w:type="dxa"/>
            <w:gridSpan w:val="3"/>
          </w:tcPr>
          <w:p>
            <w:pPr>
              <w:pStyle w:val="nTable"/>
              <w:spacing w:after="4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2001</w:t>
            </w:r>
          </w:p>
        </w:tc>
        <w:tc>
          <w:tcPr>
            <w:tcW w:w="1276" w:type="dxa"/>
          </w:tcPr>
          <w:p>
            <w:pPr>
              <w:pStyle w:val="nTable"/>
              <w:spacing w:after="40"/>
            </w:pPr>
            <w:r>
              <w:t>8 May 2001 p. 2269</w:t>
            </w:r>
            <w:r>
              <w:noBreakHyphen/>
              <w:t>72</w:t>
            </w:r>
          </w:p>
        </w:tc>
        <w:tc>
          <w:tcPr>
            <w:tcW w:w="2693" w:type="dxa"/>
          </w:tcPr>
          <w:p>
            <w:pPr>
              <w:pStyle w:val="nTable"/>
              <w:spacing w:after="40"/>
            </w:pPr>
            <w:r>
              <w:t>14 May 2001 (see r. 2)</w:t>
            </w:r>
          </w:p>
        </w:tc>
      </w:tr>
      <w:tr>
        <w:trPr>
          <w:cantSplit/>
        </w:trPr>
        <w:tc>
          <w:tcPr>
            <w:tcW w:w="3119" w:type="dxa"/>
          </w:tcPr>
          <w:p>
            <w:pPr>
              <w:pStyle w:val="nTable"/>
              <w:spacing w:after="40"/>
              <w:ind w:right="113"/>
              <w:rPr>
                <w:i/>
              </w:rPr>
            </w:pPr>
            <w:r>
              <w:rPr>
                <w:i/>
              </w:rPr>
              <w:t>Chattel Securities Amendment Regulations 2002</w:t>
            </w:r>
          </w:p>
        </w:tc>
        <w:tc>
          <w:tcPr>
            <w:tcW w:w="1276" w:type="dxa"/>
          </w:tcPr>
          <w:p>
            <w:pPr>
              <w:pStyle w:val="nTable"/>
              <w:spacing w:after="40"/>
            </w:pPr>
            <w:r>
              <w:t>14 Feb 2003 p. 467</w:t>
            </w:r>
          </w:p>
        </w:tc>
        <w:tc>
          <w:tcPr>
            <w:tcW w:w="2693" w:type="dxa"/>
          </w:tcPr>
          <w:p>
            <w:pPr>
              <w:pStyle w:val="nTable"/>
              <w:spacing w:after="40"/>
            </w:pPr>
            <w:r>
              <w:t>14 Feb 2003</w:t>
            </w:r>
          </w:p>
        </w:tc>
      </w:tr>
      <w:tr>
        <w:trPr>
          <w:cantSplit/>
        </w:trPr>
        <w:tc>
          <w:tcPr>
            <w:tcW w:w="3119" w:type="dxa"/>
          </w:tcPr>
          <w:p>
            <w:pPr>
              <w:pStyle w:val="nTable"/>
              <w:spacing w:after="40"/>
              <w:ind w:right="113"/>
              <w:rPr>
                <w:i/>
              </w:rPr>
            </w:pPr>
            <w:r>
              <w:rPr>
                <w:i/>
              </w:rPr>
              <w:t>Chattel Securities Amendment Regulations 2003</w:t>
            </w:r>
          </w:p>
        </w:tc>
        <w:tc>
          <w:tcPr>
            <w:tcW w:w="1276" w:type="dxa"/>
          </w:tcPr>
          <w:p>
            <w:pPr>
              <w:pStyle w:val="nTable"/>
              <w:spacing w:after="40"/>
            </w:pPr>
            <w:r>
              <w:t>27 Jun 2003 p. 2544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Chattel Securities Amendment Regulations 2005</w:t>
            </w:r>
          </w:p>
        </w:tc>
        <w:tc>
          <w:tcPr>
            <w:tcW w:w="1276" w:type="dxa"/>
          </w:tcPr>
          <w:p>
            <w:pPr>
              <w:pStyle w:val="nTable"/>
              <w:spacing w:after="40"/>
            </w:pPr>
            <w:r>
              <w:t>28 Jun 2005 p. 2905</w:t>
            </w:r>
            <w:r>
              <w:noBreakHyphen/>
              <w:t>6</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Chattel Securities Amendment Regulations (No. 2) 2006</w:t>
            </w:r>
          </w:p>
        </w:tc>
        <w:tc>
          <w:tcPr>
            <w:tcW w:w="1276" w:type="dxa"/>
          </w:tcPr>
          <w:p>
            <w:pPr>
              <w:pStyle w:val="nTable"/>
              <w:spacing w:after="40"/>
            </w:pPr>
            <w:r>
              <w:t>27 Jun 2006 p. 2252</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2006</w:t>
            </w:r>
          </w:p>
        </w:tc>
        <w:tc>
          <w:tcPr>
            <w:tcW w:w="1276" w:type="dxa"/>
          </w:tcPr>
          <w:p>
            <w:pPr>
              <w:pStyle w:val="nTable"/>
              <w:spacing w:after="40"/>
            </w:pPr>
            <w:r>
              <w:t>22 Sep 2006 p. 4081-4</w:t>
            </w:r>
          </w:p>
        </w:tc>
        <w:tc>
          <w:tcPr>
            <w:tcW w:w="2693" w:type="dxa"/>
          </w:tcPr>
          <w:p>
            <w:pPr>
              <w:pStyle w:val="nTable"/>
              <w:spacing w:after="40"/>
            </w:pPr>
            <w:r>
              <w:t>22 Sep 2006 (see r. 2(a))</w:t>
            </w:r>
          </w:p>
        </w:tc>
      </w:tr>
      <w:tr>
        <w:trPr>
          <w:cantSplit/>
        </w:trPr>
        <w:tc>
          <w:tcPr>
            <w:tcW w:w="3119" w:type="dxa"/>
          </w:tcPr>
          <w:p>
            <w:pPr>
              <w:pStyle w:val="nTable"/>
              <w:spacing w:after="40"/>
              <w:ind w:right="113"/>
              <w:rPr>
                <w:i/>
              </w:rPr>
            </w:pPr>
            <w:r>
              <w:rPr>
                <w:i/>
              </w:rPr>
              <w:t>Chattel Securities Amendment Regulations 2011</w:t>
            </w:r>
          </w:p>
        </w:tc>
        <w:tc>
          <w:tcPr>
            <w:tcW w:w="1276" w:type="dxa"/>
          </w:tcPr>
          <w:p>
            <w:pPr>
              <w:pStyle w:val="nTable"/>
              <w:spacing w:after="40"/>
            </w:pPr>
            <w:r>
              <w:t>22 Jun 2011 p. 2337</w:t>
            </w:r>
            <w:r>
              <w:noBreakHyphen/>
              <w:t>8</w:t>
            </w:r>
          </w:p>
        </w:tc>
        <w:tc>
          <w:tcPr>
            <w:tcW w:w="2693" w:type="dxa"/>
          </w:tcPr>
          <w:p>
            <w:pPr>
              <w:pStyle w:val="nTable"/>
              <w:spacing w:after="40"/>
            </w:pPr>
            <w:r>
              <w:t>r. 1 and 2: 22 Jun 2011 (see r. 2(a));</w:t>
            </w:r>
            <w:r>
              <w:br/>
              <w:t>Regulations other than r. 1 and 2: 1 Jul 2011 (see r. 2(b))</w:t>
            </w:r>
          </w:p>
        </w:tc>
      </w:tr>
      <w:tr>
        <w:trPr>
          <w:cantSplit/>
        </w:trPr>
        <w:tc>
          <w:tcPr>
            <w:tcW w:w="3119" w:type="dxa"/>
          </w:tcPr>
          <w:p>
            <w:pPr>
              <w:pStyle w:val="nTable"/>
              <w:spacing w:after="40"/>
              <w:ind w:right="113"/>
              <w:rPr>
                <w:i/>
              </w:rPr>
            </w:pPr>
            <w:r>
              <w:rPr>
                <w:i/>
              </w:rPr>
              <w:t>Chattel Securities Amendment Regulations 2012</w:t>
            </w:r>
          </w:p>
        </w:tc>
        <w:tc>
          <w:tcPr>
            <w:tcW w:w="1276" w:type="dxa"/>
          </w:tcPr>
          <w:p>
            <w:pPr>
              <w:pStyle w:val="nTable"/>
              <w:spacing w:after="40"/>
            </w:pPr>
            <w:r>
              <w:t>15 Jun 2012 p. 2583</w:t>
            </w:r>
          </w:p>
        </w:tc>
        <w:tc>
          <w:tcPr>
            <w:tcW w:w="2693" w:type="dxa"/>
          </w:tcPr>
          <w:p>
            <w:pPr>
              <w:pStyle w:val="nTable"/>
              <w:spacing w:after="40"/>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Chattel Securities Amendment Regulations 2013</w:t>
            </w:r>
          </w:p>
        </w:tc>
        <w:tc>
          <w:tcPr>
            <w:tcW w:w="1276" w:type="dxa"/>
          </w:tcPr>
          <w:p>
            <w:pPr>
              <w:pStyle w:val="nTable"/>
              <w:spacing w:after="40"/>
            </w:pPr>
            <w:r>
              <w:t>20 Aug 2013 p. 3825</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rPr>
          <w:cantSplit/>
        </w:trPr>
        <w:tc>
          <w:tcPr>
            <w:tcW w:w="3119" w:type="dxa"/>
            <w:shd w:val="clear" w:color="auto" w:fill="auto"/>
          </w:tcPr>
          <w:p>
            <w:pPr>
              <w:pStyle w:val="nTable"/>
              <w:spacing w:after="40"/>
              <w:ind w:right="113"/>
              <w:rPr>
                <w:i/>
              </w:rPr>
            </w:pPr>
            <w:r>
              <w:rPr>
                <w:i/>
              </w:rPr>
              <w:t>Chattel Securities Amendment Regulations 2014</w:t>
            </w:r>
          </w:p>
        </w:tc>
        <w:tc>
          <w:tcPr>
            <w:tcW w:w="1276" w:type="dxa"/>
            <w:shd w:val="clear" w:color="auto" w:fill="auto"/>
          </w:tcPr>
          <w:p>
            <w:pPr>
              <w:pStyle w:val="nTable"/>
              <w:spacing w:after="40"/>
            </w:pPr>
            <w:r>
              <w:t>8 Jan 2015 p. 83</w:t>
            </w:r>
            <w:r>
              <w:noBreakHyphen/>
              <w:t>4</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Chattel Securities Regulations 1988</w:t>
            </w:r>
            <w:r>
              <w:rPr>
                <w:b/>
                <w:snapToGrid w:val="0"/>
                <w:spacing w:val="-2"/>
              </w:rPr>
              <w:t xml:space="preserve"> as at 14 Aug 2015</w:t>
            </w:r>
            <w:r>
              <w:rPr>
                <w:snapToGrid w:val="0"/>
                <w:spacing w:val="-2"/>
              </w:rPr>
              <w:t xml:space="preserve"> (includes amendments listed above)</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Re</w:t>
      </w:r>
      <w:r>
        <w:t xml:space="preserve">pealed by the </w:t>
      </w:r>
      <w:r>
        <w:rPr>
          <w:i/>
        </w:rPr>
        <w:t>Fish Resources Management Act 1994</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15234472"/>
      <w:bookmarkStart w:id="35" w:name="_Toc415234494"/>
      <w:bookmarkStart w:id="36" w:name="_Toc417562899"/>
      <w:bookmarkStart w:id="37" w:name="_Toc420053692"/>
      <w:r>
        <w:rPr>
          <w:sz w:val="28"/>
        </w:rPr>
        <w:t>Defined terms</w:t>
      </w:r>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 customer</w:t>
      </w:r>
      <w:r>
        <w:tab/>
        <w:t>3</w:t>
      </w:r>
    </w:p>
    <w:p>
      <w:pPr>
        <w:pStyle w:val="DefinedTerms"/>
      </w:pPr>
      <w:r>
        <w:t>financier’s reference number</w:t>
      </w:r>
      <w:r>
        <w:tab/>
        <w:t>3</w:t>
      </w:r>
    </w:p>
    <w:p>
      <w:pPr>
        <w:pStyle w:val="DefinedTerms"/>
      </w:pPr>
      <w:r>
        <w:t>hull identification number</w:t>
      </w:r>
      <w:r>
        <w:tab/>
        <w:t>3</w:t>
      </w:r>
    </w:p>
    <w:p>
      <w:pPr>
        <w:pStyle w:val="DefinedTerms"/>
      </w:pPr>
      <w:r>
        <w:t>interest</w:t>
      </w:r>
      <w:r>
        <w:tab/>
        <w:t>3</w:t>
      </w:r>
    </w:p>
    <w:p>
      <w:pPr>
        <w:pStyle w:val="DefinedTerms"/>
      </w:pPr>
      <w:r>
        <w:t>pleasure vessel</w:t>
      </w:r>
      <w:r>
        <w:tab/>
        <w:t>3</w:t>
      </w:r>
    </w:p>
    <w:p>
      <w:pPr>
        <w:pStyle w:val="DefinedTerms"/>
      </w:pPr>
      <w:r>
        <w:t>registration number</w:t>
      </w:r>
      <w:r>
        <w:tab/>
        <w:t>3</w:t>
      </w:r>
    </w:p>
    <w:p>
      <w:pPr>
        <w:pStyle w:val="DefinedTerms"/>
      </w:pPr>
      <w:r>
        <w:t>serial number</w:t>
      </w:r>
      <w:r>
        <w:tab/>
        <w:t>3</w:t>
      </w:r>
    </w:p>
    <w:p>
      <w:pPr>
        <w:pStyle w:val="DefinedTerms"/>
      </w:pPr>
      <w:r>
        <w:t>vehicle identification number</w:t>
      </w:r>
      <w:r>
        <w:tab/>
        <w:t>3</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7152808"/>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2590</Words>
  <Characters>13109</Characters>
  <Application>Microsoft Office Word</Application>
  <DocSecurity>0</DocSecurity>
  <Lines>468</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1988 - 03-00-00</dc:title>
  <dc:subject/>
  <dc:creator/>
  <cp:keywords/>
  <dc:description/>
  <cp:lastModifiedBy>svcMRProcess</cp:lastModifiedBy>
  <cp:revision>4</cp:revision>
  <cp:lastPrinted>2015-08-18T00:54:00Z</cp:lastPrinted>
  <dcterms:created xsi:type="dcterms:W3CDTF">2020-03-04T06:27:00Z</dcterms:created>
  <dcterms:modified xsi:type="dcterms:W3CDTF">2020-03-04T06:27:00Z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DocumentType">
    <vt:lpwstr>Reg</vt:lpwstr>
  </property>
  <property fmtid="{D5CDD505-2E9C-101B-9397-08002B2CF9AE}" pid="4" name="OwlsUID">
    <vt:i4>4345</vt:i4>
  </property>
  <property fmtid="{D5CDD505-2E9C-101B-9397-08002B2CF9AE}" pid="5" name="CommencementDate">
    <vt:lpwstr>20150814</vt:lpwstr>
  </property>
  <property fmtid="{D5CDD505-2E9C-101B-9397-08002B2CF9AE}" pid="6" name="AsAtDate">
    <vt:lpwstr>14 Aug 2015</vt:lpwstr>
  </property>
  <property fmtid="{D5CDD505-2E9C-101B-9397-08002B2CF9AE}" pid="7" name="Suffix">
    <vt:lpwstr>03-00-00</vt:lpwstr>
  </property>
  <property fmtid="{D5CDD505-2E9C-101B-9397-08002B2CF9AE}" pid="8" name="ReprintedAsAt">
    <vt:filetime>2015-08-13T16:00:00Z</vt:filetime>
  </property>
  <property fmtid="{D5CDD505-2E9C-101B-9397-08002B2CF9AE}" pid="9" name="ReprintNo">
    <vt:lpwstr>3</vt:lpwstr>
  </property>
</Properties>
</file>