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Teacher Registration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Teacher Registration (General)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August 2015</w:t>
            </w:r>
          </w:p>
        </w:tc>
      </w:tr>
    </w:tbl>
    <w:p>
      <w:pPr>
        <w:pStyle w:val="WA"/>
        <w:spacing w:before="12"/>
      </w:pPr>
      <w:r>
        <w:t>Western Australia</w:t>
      </w:r>
    </w:p>
    <w:p>
      <w:pPr>
        <w:pStyle w:val="NameofActRegPage1"/>
        <w:ind w:left="567" w:right="566"/>
      </w:pPr>
      <w:r>
        <w:fldChar w:fldCharType="begin"/>
      </w:r>
      <w:r>
        <w:instrText xml:space="preserve"> STYLEREF "Name Of Act/Reg"</w:instrText>
      </w:r>
      <w:r>
        <w:fldChar w:fldCharType="separate"/>
      </w:r>
      <w:r>
        <w:rPr>
          <w:noProof/>
        </w:rPr>
        <w:t>Teacher Registration (General)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_Toc427230826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_Toc427230827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_Toc427230828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Prescribed bodies or agencies (s. 3)</w:t>
      </w:r>
      <w:r>
        <w:tab/>
      </w:r>
      <w:r>
        <w:fldChar w:fldCharType="begin"/>
      </w:r>
      <w:r>
        <w:instrText xml:space="preserve"> PAGEREF _Toc427230830 \h </w:instrText>
      </w:r>
      <w:r>
        <w:fldChar w:fldCharType="separate"/>
      </w:r>
      <w:r>
        <w:t>3</w:t>
      </w:r>
      <w:r>
        <w:fldChar w:fldCharType="end"/>
      </w:r>
    </w:p>
    <w:p>
      <w:pPr>
        <w:pStyle w:val="TOC8"/>
        <w:rPr>
          <w:rFonts w:asciiTheme="minorHAnsi" w:eastAsiaTheme="minorEastAsia" w:hAnsiTheme="minorHAnsi" w:cstheme="minorBidi"/>
          <w:szCs w:val="22"/>
        </w:rPr>
      </w:pPr>
      <w:r>
        <w:t>5.</w:t>
      </w:r>
      <w:r>
        <w:tab/>
        <w:t>Places where centre</w:t>
      </w:r>
      <w:r>
        <w:noBreakHyphen/>
        <w:t>based services operate are educational venues (s. 3)</w:t>
      </w:r>
      <w:r>
        <w:tab/>
      </w:r>
      <w:r>
        <w:fldChar w:fldCharType="begin"/>
      </w:r>
      <w:r>
        <w:instrText xml:space="preserve"> PAGEREF _Toc427230831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curriculum (s. 3)</w:t>
      </w:r>
      <w:r>
        <w:tab/>
      </w:r>
      <w:r>
        <w:fldChar w:fldCharType="begin"/>
      </w:r>
      <w:r>
        <w:instrText xml:space="preserve"> PAGEREF _Toc427230832 \h </w:instrText>
      </w:r>
      <w:r>
        <w:fldChar w:fldCharType="separate"/>
      </w:r>
      <w:r>
        <w:t>3</w:t>
      </w:r>
      <w:r>
        <w:fldChar w:fldCharType="end"/>
      </w:r>
    </w:p>
    <w:p>
      <w:pPr>
        <w:pStyle w:val="TOC8"/>
        <w:rPr>
          <w:rFonts w:asciiTheme="minorHAnsi" w:eastAsiaTheme="minorEastAsia" w:hAnsiTheme="minorHAnsi" w:cstheme="minorBidi"/>
          <w:szCs w:val="22"/>
        </w:rPr>
      </w:pPr>
      <w:r>
        <w:t>7.</w:t>
      </w:r>
      <w:r>
        <w:tab/>
        <w:t>When unpaid volunteers are teaching (s. 3)</w:t>
      </w:r>
      <w:r>
        <w:tab/>
      </w:r>
      <w:r>
        <w:fldChar w:fldCharType="begin"/>
      </w:r>
      <w:r>
        <w:instrText xml:space="preserve"> PAGEREF _Toc427230833 \h </w:instrText>
      </w:r>
      <w:r>
        <w:fldChar w:fldCharType="separate"/>
      </w:r>
      <w:r>
        <w:t>4</w:t>
      </w:r>
      <w:r>
        <w:fldChar w:fldCharType="end"/>
      </w:r>
    </w:p>
    <w:p>
      <w:pPr>
        <w:pStyle w:val="TOC8"/>
        <w:rPr>
          <w:rFonts w:asciiTheme="minorHAnsi" w:eastAsiaTheme="minorEastAsia" w:hAnsiTheme="minorHAnsi" w:cstheme="minorBidi"/>
          <w:szCs w:val="22"/>
        </w:rPr>
      </w:pPr>
      <w:r>
        <w:t>8.</w:t>
      </w:r>
      <w:r>
        <w:tab/>
        <w:t>Other persons who are not teaching (s. 3)</w:t>
      </w:r>
      <w:r>
        <w:tab/>
      </w:r>
      <w:r>
        <w:fldChar w:fldCharType="begin"/>
      </w:r>
      <w:r>
        <w:instrText xml:space="preserve"> PAGEREF _Toc427230834 \h </w:instrText>
      </w:r>
      <w:r>
        <w:fldChar w:fldCharType="separate"/>
      </w:r>
      <w:r>
        <w:t>5</w:t>
      </w:r>
      <w:r>
        <w:fldChar w:fldCharType="end"/>
      </w:r>
    </w:p>
    <w:p>
      <w:pPr>
        <w:pStyle w:val="TOC8"/>
        <w:rPr>
          <w:rFonts w:asciiTheme="minorHAnsi" w:eastAsiaTheme="minorEastAsia" w:hAnsiTheme="minorHAnsi" w:cstheme="minorBidi"/>
          <w:szCs w:val="22"/>
        </w:rPr>
      </w:pPr>
      <w:r>
        <w:t>9.</w:t>
      </w:r>
      <w:r>
        <w:tab/>
        <w:t>Professional learning activities</w:t>
      </w:r>
      <w:r>
        <w:tab/>
      </w:r>
      <w:r>
        <w:fldChar w:fldCharType="begin"/>
      </w:r>
      <w:r>
        <w:instrText xml:space="preserve"> PAGEREF _Toc427230835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w:t>
      </w:r>
    </w:p>
    <w:p>
      <w:pPr>
        <w:pStyle w:val="TOC4"/>
        <w:tabs>
          <w:tab w:val="right" w:leader="dot" w:pos="7077"/>
        </w:tabs>
        <w:rPr>
          <w:rFonts w:asciiTheme="minorHAnsi" w:eastAsiaTheme="minorEastAsia" w:hAnsiTheme="minorHAnsi" w:cstheme="minorBidi"/>
          <w:b w:val="0"/>
          <w:szCs w:val="22"/>
        </w:rPr>
      </w:pPr>
      <w:r>
        <w:t>Division 1 — Registration of teachers</w:t>
      </w:r>
    </w:p>
    <w:p>
      <w:pPr>
        <w:pStyle w:val="TOC8"/>
        <w:rPr>
          <w:rFonts w:asciiTheme="minorHAnsi" w:eastAsiaTheme="minorEastAsia" w:hAnsiTheme="minorHAnsi" w:cstheme="minorBidi"/>
          <w:szCs w:val="22"/>
        </w:rPr>
      </w:pPr>
      <w:r>
        <w:t>10.</w:t>
      </w:r>
      <w:r>
        <w:tab/>
        <w:t>English language skills for full and provisional registration (s. 15(d) and 16(d))</w:t>
      </w:r>
      <w:r>
        <w:tab/>
      </w:r>
      <w:r>
        <w:fldChar w:fldCharType="begin"/>
      </w:r>
      <w:r>
        <w:instrText xml:space="preserve"> PAGEREF _Toc427230838 \h </w:instrText>
      </w:r>
      <w:r>
        <w:fldChar w:fldCharType="separate"/>
      </w:r>
      <w:r>
        <w:t>7</w:t>
      </w:r>
      <w:r>
        <w:fldChar w:fldCharType="end"/>
      </w:r>
    </w:p>
    <w:p>
      <w:pPr>
        <w:pStyle w:val="TOC8"/>
        <w:rPr>
          <w:rFonts w:asciiTheme="minorHAnsi" w:eastAsiaTheme="minorEastAsia" w:hAnsiTheme="minorHAnsi" w:cstheme="minorBidi"/>
          <w:szCs w:val="22"/>
        </w:rPr>
      </w:pPr>
      <w:r>
        <w:t>11.</w:t>
      </w:r>
      <w:r>
        <w:tab/>
        <w:t>English language skills for limited registration (s. 17(c))</w:t>
      </w:r>
      <w:r>
        <w:tab/>
      </w:r>
      <w:r>
        <w:fldChar w:fldCharType="begin"/>
      </w:r>
      <w:r>
        <w:instrText xml:space="preserve"> PAGEREF _Toc427230839 \h </w:instrText>
      </w:r>
      <w:r>
        <w:fldChar w:fldCharType="separate"/>
      </w:r>
      <w:r>
        <w:t>8</w:t>
      </w:r>
      <w:r>
        <w:fldChar w:fldCharType="end"/>
      </w:r>
    </w:p>
    <w:p>
      <w:pPr>
        <w:pStyle w:val="TOC8"/>
        <w:rPr>
          <w:rFonts w:asciiTheme="minorHAnsi" w:eastAsiaTheme="minorEastAsia" w:hAnsiTheme="minorHAnsi" w:cstheme="minorBidi"/>
          <w:szCs w:val="22"/>
        </w:rPr>
      </w:pPr>
      <w:r>
        <w:t>12.</w:t>
      </w:r>
      <w:r>
        <w:tab/>
        <w:t>Other requirements for limited registration (s. 17(d))</w:t>
      </w:r>
      <w:r>
        <w:tab/>
      </w:r>
      <w:r>
        <w:fldChar w:fldCharType="begin"/>
      </w:r>
      <w:r>
        <w:instrText xml:space="preserve"> PAGEREF _Toc427230840 \h </w:instrText>
      </w:r>
      <w:r>
        <w:fldChar w:fldCharType="separate"/>
      </w:r>
      <w:r>
        <w:t>10</w:t>
      </w:r>
      <w:r>
        <w:fldChar w:fldCharType="end"/>
      </w:r>
    </w:p>
    <w:p>
      <w:pPr>
        <w:pStyle w:val="TOC8"/>
        <w:rPr>
          <w:rFonts w:asciiTheme="minorHAnsi" w:eastAsiaTheme="minorEastAsia" w:hAnsiTheme="minorHAnsi" w:cstheme="minorBidi"/>
          <w:szCs w:val="22"/>
        </w:rPr>
      </w:pPr>
      <w:r>
        <w:t>13.</w:t>
      </w:r>
      <w:r>
        <w:tab/>
        <w:t>Renewal of registration — requirements for professional engagement and professional learning activities (s. 22(2)(c))</w:t>
      </w:r>
      <w:r>
        <w:tab/>
      </w:r>
      <w:r>
        <w:fldChar w:fldCharType="begin"/>
      </w:r>
      <w:r>
        <w:instrText xml:space="preserve"> PAGEREF _Toc427230841 \h </w:instrText>
      </w:r>
      <w:r>
        <w:fldChar w:fldCharType="separate"/>
      </w:r>
      <w:r>
        <w:t>11</w:t>
      </w:r>
      <w:r>
        <w:fldChar w:fldCharType="end"/>
      </w:r>
    </w:p>
    <w:p>
      <w:pPr>
        <w:pStyle w:val="TOC8"/>
        <w:rPr>
          <w:rFonts w:asciiTheme="minorHAnsi" w:eastAsiaTheme="minorEastAsia" w:hAnsiTheme="minorHAnsi" w:cstheme="minorBidi"/>
          <w:szCs w:val="22"/>
        </w:rPr>
      </w:pPr>
      <w:r>
        <w:t>14.</w:t>
      </w:r>
      <w:r>
        <w:tab/>
        <w:t>Intention to apply for limited registration (s. 23(3)(a))</w:t>
      </w:r>
      <w:r>
        <w:tab/>
      </w:r>
      <w:r>
        <w:fldChar w:fldCharType="begin"/>
      </w:r>
      <w:r>
        <w:instrText xml:space="preserve"> PAGEREF _Toc427230842 \h </w:instrText>
      </w:r>
      <w:r>
        <w:fldChar w:fldCharType="separate"/>
      </w:r>
      <w:r>
        <w:t>12</w:t>
      </w:r>
      <w:r>
        <w:fldChar w:fldCharType="end"/>
      </w:r>
    </w:p>
    <w:p>
      <w:pPr>
        <w:pStyle w:val="TOC8"/>
        <w:rPr>
          <w:rFonts w:asciiTheme="minorHAnsi" w:eastAsiaTheme="minorEastAsia" w:hAnsiTheme="minorHAnsi" w:cstheme="minorBidi"/>
          <w:szCs w:val="22"/>
        </w:rPr>
      </w:pPr>
      <w:r>
        <w:t>15.</w:t>
      </w:r>
      <w:r>
        <w:tab/>
        <w:t>Duration of non</w:t>
      </w:r>
      <w:r>
        <w:noBreakHyphen/>
        <w:t>practising registration</w:t>
      </w:r>
      <w:r>
        <w:tab/>
      </w:r>
      <w:r>
        <w:fldChar w:fldCharType="begin"/>
      </w:r>
      <w:r>
        <w:instrText xml:space="preserve"> PAGEREF _Toc427230843 \h </w:instrText>
      </w:r>
      <w:r>
        <w:fldChar w:fldCharType="separate"/>
      </w:r>
      <w:r>
        <w:t>12</w:t>
      </w:r>
      <w:r>
        <w:fldChar w:fldCharType="end"/>
      </w:r>
    </w:p>
    <w:p>
      <w:pPr>
        <w:pStyle w:val="TOC8"/>
        <w:rPr>
          <w:rFonts w:asciiTheme="minorHAnsi" w:eastAsiaTheme="minorEastAsia" w:hAnsiTheme="minorHAnsi" w:cstheme="minorBidi"/>
          <w:szCs w:val="22"/>
        </w:rPr>
      </w:pPr>
      <w:r>
        <w:t>16.</w:t>
      </w:r>
      <w:r>
        <w:tab/>
        <w:t>Condition on non</w:t>
      </w:r>
      <w:r>
        <w:noBreakHyphen/>
        <w:t>practising registration (s. 25(2))</w:t>
      </w:r>
      <w:r>
        <w:tab/>
      </w:r>
      <w:r>
        <w:fldChar w:fldCharType="begin"/>
      </w:r>
      <w:r>
        <w:instrText xml:space="preserve"> PAGEREF _Toc427230844 \h </w:instrText>
      </w:r>
      <w:r>
        <w:fldChar w:fldCharType="separate"/>
      </w:r>
      <w:r>
        <w:t>13</w:t>
      </w:r>
      <w:r>
        <w:fldChar w:fldCharType="end"/>
      </w:r>
    </w:p>
    <w:p>
      <w:pPr>
        <w:pStyle w:val="TOC8"/>
        <w:rPr>
          <w:rFonts w:asciiTheme="minorHAnsi" w:eastAsiaTheme="minorEastAsia" w:hAnsiTheme="minorHAnsi" w:cstheme="minorBidi"/>
          <w:szCs w:val="22"/>
        </w:rPr>
      </w:pPr>
      <w:r>
        <w:t>17.</w:t>
      </w:r>
      <w:r>
        <w:tab/>
        <w:t>Condition on limited registration (s. 25(2))</w:t>
      </w:r>
      <w:r>
        <w:tab/>
      </w:r>
      <w:r>
        <w:fldChar w:fldCharType="begin"/>
      </w:r>
      <w:r>
        <w:instrText xml:space="preserve"> PAGEREF _Toc427230845 \h </w:instrText>
      </w:r>
      <w:r>
        <w:fldChar w:fldCharType="separate"/>
      </w:r>
      <w:r>
        <w:t>13</w:t>
      </w:r>
      <w:r>
        <w:fldChar w:fldCharType="end"/>
      </w:r>
    </w:p>
    <w:p>
      <w:pPr>
        <w:pStyle w:val="TOC8"/>
        <w:rPr>
          <w:rFonts w:asciiTheme="minorHAnsi" w:eastAsiaTheme="minorEastAsia" w:hAnsiTheme="minorHAnsi" w:cstheme="minorBidi"/>
          <w:szCs w:val="22"/>
        </w:rPr>
      </w:pPr>
      <w:r>
        <w:t>18.</w:t>
      </w:r>
      <w:r>
        <w:tab/>
        <w:t>Applicant may change category of registration applied for</w:t>
      </w:r>
      <w:r>
        <w:tab/>
      </w:r>
      <w:r>
        <w:fldChar w:fldCharType="begin"/>
      </w:r>
      <w:r>
        <w:instrText xml:space="preserve"> PAGEREF _Toc427230846 \h </w:instrText>
      </w:r>
      <w:r>
        <w:fldChar w:fldCharType="separate"/>
      </w:r>
      <w:r>
        <w:t>13</w:t>
      </w:r>
      <w:r>
        <w:fldChar w:fldCharType="end"/>
      </w:r>
    </w:p>
    <w:p>
      <w:pPr>
        <w:pStyle w:val="TOC8"/>
        <w:rPr>
          <w:rFonts w:asciiTheme="minorHAnsi" w:eastAsiaTheme="minorEastAsia" w:hAnsiTheme="minorHAnsi" w:cstheme="minorBidi"/>
          <w:szCs w:val="22"/>
        </w:rPr>
      </w:pPr>
      <w:r>
        <w:t>19.</w:t>
      </w:r>
      <w:r>
        <w:tab/>
        <w:t>Provision of information about eligibility for registration</w:t>
      </w:r>
      <w:r>
        <w:tab/>
      </w:r>
      <w:r>
        <w:fldChar w:fldCharType="begin"/>
      </w:r>
      <w:r>
        <w:instrText xml:space="preserve"> PAGEREF _Toc427230847 \h </w:instrText>
      </w:r>
      <w:r>
        <w:fldChar w:fldCharType="separate"/>
      </w:r>
      <w:r>
        <w:t>14</w:t>
      </w:r>
      <w:r>
        <w:fldChar w:fldCharType="end"/>
      </w:r>
    </w:p>
    <w:p>
      <w:pPr>
        <w:pStyle w:val="TOC8"/>
        <w:rPr>
          <w:rFonts w:asciiTheme="minorHAnsi" w:eastAsiaTheme="minorEastAsia" w:hAnsiTheme="minorHAnsi" w:cstheme="minorBidi"/>
          <w:szCs w:val="22"/>
        </w:rPr>
      </w:pPr>
      <w:r>
        <w:t>20.</w:t>
      </w:r>
      <w:r>
        <w:tab/>
        <w:t>Registration cards</w:t>
      </w:r>
      <w:r>
        <w:tab/>
      </w:r>
      <w:r>
        <w:fldChar w:fldCharType="begin"/>
      </w:r>
      <w:r>
        <w:instrText xml:space="preserve"> PAGEREF _Toc427230848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21A.</w:t>
      </w:r>
      <w:r>
        <w:tab/>
        <w:t>Additional information to be recorded in register (s. 36(1)(e))</w:t>
      </w:r>
      <w:r>
        <w:tab/>
      </w:r>
      <w:r>
        <w:fldChar w:fldCharType="begin"/>
      </w:r>
      <w:r>
        <w:instrText xml:space="preserve"> PAGEREF _Toc427230850 \h </w:instrText>
      </w:r>
      <w:r>
        <w:fldChar w:fldCharType="separate"/>
      </w:r>
      <w:r>
        <w:t>16</w:t>
      </w:r>
      <w:r>
        <w:fldChar w:fldCharType="end"/>
      </w:r>
    </w:p>
    <w:p>
      <w:pPr>
        <w:pStyle w:val="TOC8"/>
        <w:rPr>
          <w:rFonts w:asciiTheme="minorHAnsi" w:eastAsiaTheme="minorEastAsia" w:hAnsiTheme="minorHAnsi" w:cstheme="minorBidi"/>
          <w:szCs w:val="22"/>
        </w:rPr>
      </w:pPr>
      <w:r>
        <w:t>21B.</w:t>
      </w:r>
      <w:r>
        <w:tab/>
        <w:t>Additional persons who may inspect register information (professional) (s. 37(3)(b))</w:t>
      </w:r>
      <w:r>
        <w:tab/>
      </w:r>
      <w:r>
        <w:fldChar w:fldCharType="begin"/>
      </w:r>
      <w:r>
        <w:instrText xml:space="preserve"> PAGEREF _Toc427230851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and impairment matters</w:t>
      </w:r>
    </w:p>
    <w:p>
      <w:pPr>
        <w:pStyle w:val="TOC8"/>
        <w:rPr>
          <w:rFonts w:asciiTheme="minorHAnsi" w:eastAsiaTheme="minorEastAsia" w:hAnsiTheme="minorHAnsi" w:cstheme="minorBidi"/>
          <w:szCs w:val="22"/>
        </w:rPr>
      </w:pPr>
      <w:r>
        <w:t>21.</w:t>
      </w:r>
      <w:r>
        <w:tab/>
        <w:t>Complaints</w:t>
      </w:r>
      <w:r>
        <w:tab/>
      </w:r>
      <w:r>
        <w:fldChar w:fldCharType="begin"/>
      </w:r>
      <w:r>
        <w:instrText xml:space="preserve"> PAGEREF _Toc427230853 \h </w:instrText>
      </w:r>
      <w:r>
        <w:fldChar w:fldCharType="separate"/>
      </w:r>
      <w:r>
        <w:t>18</w:t>
      </w:r>
      <w:r>
        <w:fldChar w:fldCharType="end"/>
      </w:r>
    </w:p>
    <w:p>
      <w:pPr>
        <w:pStyle w:val="TOC8"/>
        <w:rPr>
          <w:rFonts w:asciiTheme="minorHAnsi" w:eastAsiaTheme="minorEastAsia" w:hAnsiTheme="minorHAnsi" w:cstheme="minorBidi"/>
          <w:szCs w:val="22"/>
        </w:rPr>
      </w:pPr>
      <w:r>
        <w:t>22.</w:t>
      </w:r>
      <w:r>
        <w:tab/>
        <w:t>Prescribed sexual offences (s. 46)</w:t>
      </w:r>
      <w:r>
        <w:tab/>
      </w:r>
      <w:r>
        <w:fldChar w:fldCharType="begin"/>
      </w:r>
      <w:r>
        <w:instrText xml:space="preserve"> PAGEREF _Toc427230854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23.</w:t>
      </w:r>
      <w:r>
        <w:tab/>
        <w:t>Payment of relief teachers during Board or committee meetings</w:t>
      </w:r>
      <w:r>
        <w:tab/>
      </w:r>
      <w:r>
        <w:fldChar w:fldCharType="begin"/>
      </w:r>
      <w:r>
        <w:instrText xml:space="preserve"> PAGEREF _Toc427230856 \h </w:instrText>
      </w:r>
      <w:r>
        <w:fldChar w:fldCharType="separate"/>
      </w:r>
      <w:r>
        <w:t>19</w:t>
      </w:r>
      <w:r>
        <w:fldChar w:fldCharType="end"/>
      </w:r>
    </w:p>
    <w:p>
      <w:pPr>
        <w:pStyle w:val="TOC8"/>
        <w:rPr>
          <w:rFonts w:asciiTheme="minorHAnsi" w:eastAsiaTheme="minorEastAsia" w:hAnsiTheme="minorHAnsi" w:cstheme="minorBidi"/>
          <w:szCs w:val="22"/>
        </w:rPr>
      </w:pPr>
      <w:r>
        <w:t>24.</w:t>
      </w:r>
      <w:r>
        <w:tab/>
        <w:t>Retention of criminal record checks</w:t>
      </w:r>
      <w:r>
        <w:tab/>
      </w:r>
      <w:r>
        <w:fldChar w:fldCharType="begin"/>
      </w:r>
      <w:r>
        <w:instrText xml:space="preserve"> PAGEREF _Toc427230857 \h </w:instrText>
      </w:r>
      <w:r>
        <w:fldChar w:fldCharType="separate"/>
      </w:r>
      <w:r>
        <w:t>19</w:t>
      </w:r>
      <w:r>
        <w:fldChar w:fldCharType="end"/>
      </w:r>
    </w:p>
    <w:p>
      <w:pPr>
        <w:pStyle w:val="TOC8"/>
        <w:rPr>
          <w:rFonts w:asciiTheme="minorHAnsi" w:eastAsiaTheme="minorEastAsia" w:hAnsiTheme="minorHAnsi" w:cstheme="minorBidi"/>
          <w:szCs w:val="22"/>
        </w:rPr>
      </w:pPr>
      <w:r>
        <w:t>25.</w:t>
      </w:r>
      <w:r>
        <w:tab/>
        <w:t>Employer to supply information about teachers</w:t>
      </w:r>
      <w:r>
        <w:tab/>
      </w:r>
      <w:r>
        <w:fldChar w:fldCharType="begin"/>
      </w:r>
      <w:r>
        <w:instrText xml:space="preserve"> PAGEREF _Toc427230858 \h </w:instrText>
      </w:r>
      <w:r>
        <w:fldChar w:fldCharType="separate"/>
      </w:r>
      <w:r>
        <w:t>19</w:t>
      </w:r>
      <w:r>
        <w:fldChar w:fldCharType="end"/>
      </w:r>
    </w:p>
    <w:p>
      <w:pPr>
        <w:pStyle w:val="TOC8"/>
        <w:rPr>
          <w:rFonts w:asciiTheme="minorHAnsi" w:eastAsiaTheme="minorEastAsia" w:hAnsiTheme="minorHAnsi" w:cstheme="minorBidi"/>
          <w:szCs w:val="22"/>
        </w:rPr>
      </w:pPr>
      <w:r>
        <w:t>26.</w:t>
      </w:r>
      <w:r>
        <w:tab/>
        <w:t>Notice to be given by employer about suspension, dismissal or resignation of registered teacher — investigations and serious incompetence (s. 42)</w:t>
      </w:r>
      <w:r>
        <w:tab/>
      </w:r>
      <w:r>
        <w:fldChar w:fldCharType="begin"/>
      </w:r>
      <w:r>
        <w:instrText xml:space="preserve"> PAGEREF _Toc427230859 \h </w:instrText>
      </w:r>
      <w:r>
        <w:fldChar w:fldCharType="separate"/>
      </w:r>
      <w:r>
        <w:t>20</w:t>
      </w:r>
      <w:r>
        <w:fldChar w:fldCharType="end"/>
      </w:r>
    </w:p>
    <w:p>
      <w:pPr>
        <w:pStyle w:val="TOC8"/>
        <w:rPr>
          <w:rFonts w:asciiTheme="minorHAnsi" w:eastAsiaTheme="minorEastAsia" w:hAnsiTheme="minorHAnsi" w:cstheme="minorBidi"/>
          <w:szCs w:val="22"/>
        </w:rPr>
      </w:pPr>
      <w:r>
        <w:t>27A.</w:t>
      </w:r>
      <w:r>
        <w:tab/>
        <w:t>Notice to be given of change of name, postal or email address</w:t>
      </w:r>
      <w:r>
        <w:tab/>
      </w:r>
      <w:r>
        <w:fldChar w:fldCharType="begin"/>
      </w:r>
      <w:r>
        <w:instrText xml:space="preserve"> PAGEREF _Toc427230860 \h </w:instrText>
      </w:r>
      <w:r>
        <w:fldChar w:fldCharType="separate"/>
      </w:r>
      <w:r>
        <w:t>22</w:t>
      </w:r>
      <w:r>
        <w:fldChar w:fldCharType="end"/>
      </w:r>
    </w:p>
    <w:p>
      <w:pPr>
        <w:pStyle w:val="TOC8"/>
        <w:rPr>
          <w:rFonts w:asciiTheme="minorHAnsi" w:eastAsiaTheme="minorEastAsia" w:hAnsiTheme="minorHAnsi" w:cstheme="minorBidi"/>
          <w:szCs w:val="22"/>
        </w:rPr>
      </w:pPr>
      <w:r>
        <w:t>27.</w:t>
      </w:r>
      <w:r>
        <w:tab/>
        <w:t>Board may require information to be verified by statutory declaration</w:t>
      </w:r>
      <w:r>
        <w:tab/>
      </w:r>
      <w:r>
        <w:fldChar w:fldCharType="begin"/>
      </w:r>
      <w:r>
        <w:instrText xml:space="preserve"> PAGEREF _Toc427230861 \h </w:instrText>
      </w:r>
      <w:r>
        <w:fldChar w:fldCharType="separate"/>
      </w:r>
      <w:r>
        <w:t>22</w:t>
      </w:r>
      <w:r>
        <w:fldChar w:fldCharType="end"/>
      </w:r>
    </w:p>
    <w:p>
      <w:pPr>
        <w:pStyle w:val="TOC8"/>
        <w:rPr>
          <w:rFonts w:asciiTheme="minorHAnsi" w:eastAsiaTheme="minorEastAsia" w:hAnsiTheme="minorHAnsi" w:cstheme="minorBidi"/>
          <w:szCs w:val="22"/>
        </w:rPr>
      </w:pPr>
      <w:r>
        <w:t>28.</w:t>
      </w:r>
      <w:r>
        <w:tab/>
        <w:t>Fees</w:t>
      </w:r>
      <w:r>
        <w:tab/>
      </w:r>
      <w:r>
        <w:fldChar w:fldCharType="begin"/>
      </w:r>
      <w:r>
        <w:instrText xml:space="preserve"> PAGEREF _Toc427230862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matters</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_Toc427230864 \h </w:instrText>
      </w:r>
      <w:r>
        <w:fldChar w:fldCharType="separate"/>
      </w:r>
      <w:r>
        <w:t>24</w:t>
      </w:r>
      <w:r>
        <w:fldChar w:fldCharType="end"/>
      </w:r>
    </w:p>
    <w:p>
      <w:pPr>
        <w:pStyle w:val="TOC8"/>
        <w:rPr>
          <w:rFonts w:asciiTheme="minorHAnsi" w:eastAsiaTheme="minorEastAsia" w:hAnsiTheme="minorHAnsi" w:cstheme="minorBidi"/>
          <w:szCs w:val="22"/>
        </w:rPr>
      </w:pPr>
      <w:r>
        <w:t>30.</w:t>
      </w:r>
      <w:r>
        <w:tab/>
        <w:t>Renewal of registration — requirements for professional engagement and professional learning activities for first 5 years after commencement</w:t>
      </w:r>
      <w:r>
        <w:tab/>
      </w:r>
      <w:r>
        <w:fldChar w:fldCharType="begin"/>
      </w:r>
      <w:r>
        <w:instrText xml:space="preserve"> PAGEREF _Toc427230865 \h </w:instrText>
      </w:r>
      <w:r>
        <w:fldChar w:fldCharType="separate"/>
      </w:r>
      <w:r>
        <w:t>24</w:t>
      </w:r>
      <w:r>
        <w:fldChar w:fldCharType="end"/>
      </w:r>
    </w:p>
    <w:p>
      <w:pPr>
        <w:pStyle w:val="TOC8"/>
        <w:rPr>
          <w:rFonts w:asciiTheme="minorHAnsi" w:eastAsiaTheme="minorEastAsia" w:hAnsiTheme="minorHAnsi" w:cstheme="minorBidi"/>
          <w:szCs w:val="22"/>
        </w:rPr>
      </w:pPr>
      <w:r>
        <w:t>31.</w:t>
      </w:r>
      <w:r>
        <w:tab/>
        <w:t>Requirement for limited registration — applications made within 18 months (s. 17(d) and 149)</w:t>
      </w:r>
      <w:r>
        <w:tab/>
      </w:r>
      <w:r>
        <w:fldChar w:fldCharType="begin"/>
      </w:r>
      <w:r>
        <w:instrText xml:space="preserve"> PAGEREF _Toc427230866 \h </w:instrText>
      </w:r>
      <w:r>
        <w:fldChar w:fldCharType="separate"/>
      </w:r>
      <w:r>
        <w:t>25</w:t>
      </w:r>
      <w:r>
        <w:fldChar w:fldCharType="end"/>
      </w:r>
    </w:p>
    <w:p>
      <w:pPr>
        <w:pStyle w:val="TOC8"/>
        <w:rPr>
          <w:rFonts w:asciiTheme="minorHAnsi" w:eastAsiaTheme="minorEastAsia" w:hAnsiTheme="minorHAnsi" w:cstheme="minorBidi"/>
          <w:szCs w:val="22"/>
        </w:rPr>
      </w:pPr>
      <w:r>
        <w:t>32.</w:t>
      </w:r>
      <w:r>
        <w:tab/>
        <w:t>Teachers taken to be registered on commencement day do not need to meet requirements for teaching qualifications when renewing that registration</w:t>
      </w:r>
      <w:r>
        <w:tab/>
      </w:r>
      <w:r>
        <w:fldChar w:fldCharType="begin"/>
      </w:r>
      <w:r>
        <w:instrText xml:space="preserve"> PAGEREF _Toc427230867 \h </w:instrText>
      </w:r>
      <w:r>
        <w:fldChar w:fldCharType="separate"/>
      </w:r>
      <w:r>
        <w:t>25</w:t>
      </w:r>
      <w:r>
        <w:fldChar w:fldCharType="end"/>
      </w:r>
    </w:p>
    <w:p>
      <w:pPr>
        <w:pStyle w:val="TOC8"/>
        <w:rPr>
          <w:rFonts w:asciiTheme="minorHAnsi" w:eastAsiaTheme="minorEastAsia" w:hAnsiTheme="minorHAnsi" w:cstheme="minorBidi"/>
          <w:szCs w:val="22"/>
        </w:rPr>
      </w:pPr>
      <w:r>
        <w:t>33.</w:t>
      </w:r>
      <w:r>
        <w:tab/>
        <w:t>Provisionally registered teachers — renewal</w:t>
      </w:r>
      <w:r>
        <w:tab/>
      </w:r>
      <w:r>
        <w:fldChar w:fldCharType="begin"/>
      </w:r>
      <w:r>
        <w:instrText xml:space="preserve"> PAGEREF _Toc427230868 \h </w:instrText>
      </w:r>
      <w:r>
        <w:fldChar w:fldCharType="separate"/>
      </w:r>
      <w:r>
        <w:t>26</w:t>
      </w:r>
      <w:r>
        <w:fldChar w:fldCharType="end"/>
      </w:r>
    </w:p>
    <w:p>
      <w:pPr>
        <w:pStyle w:val="TOC8"/>
        <w:rPr>
          <w:rFonts w:asciiTheme="minorHAnsi" w:eastAsiaTheme="minorEastAsia" w:hAnsiTheme="minorHAnsi" w:cstheme="minorBidi"/>
          <w:szCs w:val="22"/>
        </w:rPr>
      </w:pPr>
      <w:r>
        <w:t>34.</w:t>
      </w:r>
      <w:r>
        <w:tab/>
        <w:t>Provisional and limited registration — period of registration</w:t>
      </w:r>
      <w:r>
        <w:tab/>
      </w:r>
      <w:r>
        <w:fldChar w:fldCharType="begin"/>
      </w:r>
      <w:r>
        <w:instrText xml:space="preserve"> PAGEREF _Toc427230869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Form for notice of intention to apply for limited registration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_Toc427230873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August 2015</w:t>
            </w:r>
          </w:p>
        </w:tc>
      </w:tr>
    </w:tbl>
    <w:p>
      <w:pPr>
        <w:pStyle w:val="WA"/>
        <w:spacing w:before="12"/>
      </w:pPr>
      <w:r>
        <w:t>Western Australia</w:t>
      </w:r>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3" w:name="_Toc425858537"/>
      <w:bookmarkStart w:id="4" w:name="_Toc425858587"/>
      <w:bookmarkStart w:id="5" w:name="_Toc42723082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27230826"/>
      <w:r>
        <w:rPr>
          <w:rStyle w:val="CharSectno"/>
        </w:rPr>
        <w:t>1</w:t>
      </w:r>
      <w:r>
        <w:t>.</w:t>
      </w:r>
      <w:r>
        <w:tab/>
        <w:t>Citation</w:t>
      </w:r>
      <w:bookmarkEnd w:id="6"/>
    </w:p>
    <w:p>
      <w:pPr>
        <w:pStyle w:val="Subsection"/>
      </w:pPr>
      <w:r>
        <w:tab/>
      </w:r>
      <w:r>
        <w:tab/>
      </w:r>
      <w:bookmarkStart w:id="7" w:name="Start_Cursor"/>
      <w:bookmarkEnd w:id="7"/>
      <w:r>
        <w:t xml:space="preserve">These regulations are the </w:t>
      </w:r>
      <w:r>
        <w:rPr>
          <w:i/>
        </w:rPr>
        <w:t>Teacher Registration (General) Regulations 2012</w:t>
      </w:r>
      <w:r>
        <w:rPr>
          <w:vertAlign w:val="superscript"/>
        </w:rPr>
        <w:t> 1</w:t>
      </w:r>
      <w:r>
        <w:t>.</w:t>
      </w:r>
    </w:p>
    <w:p>
      <w:pPr>
        <w:pStyle w:val="Heading5"/>
      </w:pPr>
      <w:bookmarkStart w:id="8" w:name="_Toc427230827"/>
      <w:r>
        <w:rPr>
          <w:rStyle w:val="CharSectno"/>
        </w:rPr>
        <w:t>2</w:t>
      </w:r>
      <w:r>
        <w:t>.</w:t>
      </w:r>
      <w:r>
        <w:tab/>
        <w:t>Commencement</w:t>
      </w:r>
      <w:bookmarkEnd w:id="8"/>
    </w:p>
    <w:p>
      <w:pPr>
        <w:pStyle w:val="Subsection"/>
      </w:pPr>
      <w:r>
        <w:tab/>
      </w:r>
      <w:r>
        <w:tab/>
        <w:t>These regulations come into operation as follows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r>
        <w:rPr>
          <w:vertAlign w:val="superscript"/>
        </w:rPr>
        <w:t> 1</w:t>
      </w:r>
      <w:r>
        <w:t>.</w:t>
      </w:r>
    </w:p>
    <w:p>
      <w:pPr>
        <w:pStyle w:val="Heading5"/>
      </w:pPr>
      <w:bookmarkStart w:id="9" w:name="_Toc427230828"/>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t>
      </w:r>
      <w:smartTag w:uri="urn:schemas-microsoft-com:office:smarttags" w:element="State">
        <w:smartTag w:uri="urn:schemas-microsoft-com:office:smarttags" w:element="place">
          <w:r>
            <w:rPr>
              <w:i/>
            </w:rPr>
            <w:t>Western Australia</w:t>
          </w:r>
        </w:smartTag>
      </w:smartTag>
      <w:r>
        <w:rPr>
          <w:i/>
        </w:rPr>
        <w:t>) Act 2007</w:t>
      </w:r>
      <w:r>
        <w:t>.</w:t>
      </w:r>
    </w:p>
    <w:p>
      <w:pPr>
        <w:pStyle w:val="Footnotesection"/>
      </w:pPr>
      <w:r>
        <w:tab/>
        <w:t>[Regulation 3 amended in Gazette 13 Aug 2013 p. 3733.]</w:t>
      </w:r>
    </w:p>
    <w:p>
      <w:pPr>
        <w:pStyle w:val="Heading2"/>
      </w:pPr>
      <w:bookmarkStart w:id="10" w:name="_Toc425858541"/>
      <w:bookmarkStart w:id="11" w:name="_Toc425858591"/>
      <w:bookmarkStart w:id="12" w:name="_Toc427230829"/>
      <w:r>
        <w:rPr>
          <w:rStyle w:val="CharPartNo"/>
        </w:rPr>
        <w:t>Part 2</w:t>
      </w:r>
      <w:r>
        <w:rPr>
          <w:rStyle w:val="CharDivNo"/>
        </w:rPr>
        <w:t> </w:t>
      </w:r>
      <w:r>
        <w:t>—</w:t>
      </w:r>
      <w:r>
        <w:rPr>
          <w:rStyle w:val="CharDivText"/>
        </w:rPr>
        <w:t> </w:t>
      </w:r>
      <w:r>
        <w:rPr>
          <w:rStyle w:val="CharPartText"/>
        </w:rPr>
        <w:t>General provisions</w:t>
      </w:r>
      <w:bookmarkEnd w:id="10"/>
      <w:bookmarkEnd w:id="11"/>
      <w:bookmarkEnd w:id="12"/>
    </w:p>
    <w:p>
      <w:pPr>
        <w:pStyle w:val="Heading5"/>
      </w:pPr>
      <w:bookmarkStart w:id="13" w:name="_Toc427230830"/>
      <w:r>
        <w:rPr>
          <w:rStyle w:val="CharSectno"/>
        </w:rPr>
        <w:t>4</w:t>
      </w:r>
      <w:r>
        <w:t>.</w:t>
      </w:r>
      <w:r>
        <w:tab/>
        <w:t>Prescribed bodies or agencies (s. 3)</w:t>
      </w:r>
      <w:bookmarkEnd w:id="13"/>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14" w:name="_Toc427230831"/>
      <w:r>
        <w:rPr>
          <w:rStyle w:val="CharSectno"/>
        </w:rPr>
        <w:t>5</w:t>
      </w:r>
      <w:r>
        <w:t>.</w:t>
      </w:r>
      <w:r>
        <w:tab/>
        <w:t>Places where centre</w:t>
      </w:r>
      <w:r>
        <w:noBreakHyphen/>
        <w:t>based services operate are educational venues (s. 3)</w:t>
      </w:r>
      <w:bookmarkEnd w:id="14"/>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pPr>
      <w:bookmarkStart w:id="15" w:name="_Toc427230832"/>
      <w:r>
        <w:rPr>
          <w:rStyle w:val="CharSectno"/>
        </w:rPr>
        <w:t>6</w:t>
      </w:r>
      <w:r>
        <w:t>.</w:t>
      </w:r>
      <w:r>
        <w:tab/>
        <w:t>Prescribed curriculum (s. 3)</w:t>
      </w:r>
      <w:bookmarkEnd w:id="15"/>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16" w:name="_Toc427230833"/>
      <w:r>
        <w:rPr>
          <w:rStyle w:val="CharSectno"/>
        </w:rPr>
        <w:t>7</w:t>
      </w:r>
      <w:r>
        <w:t>.</w:t>
      </w:r>
      <w:r>
        <w:tab/>
        <w:t>When unpaid volunteers are teaching (s. 3)</w:t>
      </w:r>
      <w:bookmarkEnd w:id="16"/>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17" w:name="_Toc427230834"/>
      <w:r>
        <w:rPr>
          <w:rStyle w:val="CharSectno"/>
        </w:rPr>
        <w:t>8</w:t>
      </w:r>
      <w:r>
        <w:t>.</w:t>
      </w:r>
      <w:r>
        <w:tab/>
        <w:t>Other persons who are not teaching (s. 3)</w:t>
      </w:r>
      <w:bookmarkEnd w:id="17"/>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Standards for NVR 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18" w:name="_Toc427230835"/>
      <w:r>
        <w:rPr>
          <w:rStyle w:val="CharSectno"/>
        </w:rPr>
        <w:t>9</w:t>
      </w:r>
      <w:r>
        <w:t>.</w:t>
      </w:r>
      <w:r>
        <w:tab/>
        <w:t>Professional learning activities</w:t>
      </w:r>
      <w:bookmarkEnd w:id="18"/>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19" w:name="_Toc425858548"/>
      <w:bookmarkStart w:id="20" w:name="_Toc425858598"/>
      <w:bookmarkStart w:id="21" w:name="_Toc427230836"/>
      <w:r>
        <w:rPr>
          <w:rStyle w:val="CharPartNo"/>
        </w:rPr>
        <w:t>Part 3</w:t>
      </w:r>
      <w:r>
        <w:t> — </w:t>
      </w:r>
      <w:r>
        <w:rPr>
          <w:rStyle w:val="CharPartText"/>
        </w:rPr>
        <w:t>Registration</w:t>
      </w:r>
      <w:bookmarkEnd w:id="19"/>
      <w:bookmarkEnd w:id="20"/>
      <w:bookmarkEnd w:id="21"/>
    </w:p>
    <w:p>
      <w:pPr>
        <w:pStyle w:val="Heading3"/>
      </w:pPr>
      <w:bookmarkStart w:id="22" w:name="_Toc425858549"/>
      <w:bookmarkStart w:id="23" w:name="_Toc425858599"/>
      <w:bookmarkStart w:id="24" w:name="_Toc427230837"/>
      <w:r>
        <w:rPr>
          <w:rStyle w:val="CharDivNo"/>
        </w:rPr>
        <w:t>Division 1</w:t>
      </w:r>
      <w:r>
        <w:t> — </w:t>
      </w:r>
      <w:r>
        <w:rPr>
          <w:rStyle w:val="CharDivText"/>
        </w:rPr>
        <w:t>Registration of teachers</w:t>
      </w:r>
      <w:bookmarkEnd w:id="22"/>
      <w:bookmarkEnd w:id="23"/>
      <w:bookmarkEnd w:id="24"/>
    </w:p>
    <w:p>
      <w:pPr>
        <w:pStyle w:val="Footnoteheading"/>
      </w:pPr>
      <w:r>
        <w:tab/>
        <w:t>[Heading inserted in Gazette 28 Jan 2014 p. 177.]</w:t>
      </w:r>
    </w:p>
    <w:p>
      <w:pPr>
        <w:pStyle w:val="Heading5"/>
      </w:pPr>
      <w:bookmarkStart w:id="25" w:name="_Toc427230838"/>
      <w:r>
        <w:rPr>
          <w:rStyle w:val="CharSectno"/>
        </w:rPr>
        <w:t>10</w:t>
      </w:r>
      <w:r>
        <w:t>.</w:t>
      </w:r>
      <w:r>
        <w:tab/>
        <w:t>English language skills for full and provisional registration (s. 15(d) and 16(d))</w:t>
      </w:r>
      <w:bookmarkEnd w:id="25"/>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26" w:name="_Toc427230839"/>
      <w:r>
        <w:rPr>
          <w:rStyle w:val="CharSectno"/>
        </w:rPr>
        <w:t>11</w:t>
      </w:r>
      <w:r>
        <w:t>.</w:t>
      </w:r>
      <w:r>
        <w:tab/>
        <w:t>English language skills for limited registration (s. 17(c))</w:t>
      </w:r>
      <w:bookmarkEnd w:id="26"/>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tab/>
        <w:t>(3)</w:t>
      </w:r>
      <w:r>
        <w:tab/>
        <w:t xml:space="preserve">The nominee has undertaken all of the components of a requirement under regulation 12(2),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pPr>
      <w:r>
        <w:tab/>
        <w:t>(7)</w:t>
      </w:r>
      <w:r>
        <w:tab/>
        <w:t xml:space="preserve">In subregulation (6)(a) — </w:t>
      </w:r>
    </w:p>
    <w:p>
      <w:pPr>
        <w:pStyle w:val="Defstart"/>
      </w:pPr>
      <w:r>
        <w:tab/>
      </w:r>
      <w:r>
        <w:rPr>
          <w:rStyle w:val="CharDefText"/>
        </w:rPr>
        <w:t>Aboriginal person</w:t>
      </w:r>
      <w:r>
        <w:t xml:space="preserve"> means a person who is a descendant of the Aboriginal people of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27" w:name="_Toc427230840"/>
      <w:r>
        <w:rPr>
          <w:rStyle w:val="CharSectno"/>
        </w:rPr>
        <w:t>12</w:t>
      </w:r>
      <w:r>
        <w:t>.</w:t>
      </w:r>
      <w:r>
        <w:tab/>
        <w:t>Other requirements for limited registration (s. 17(d))</w:t>
      </w:r>
      <w:bookmarkEnd w:id="27"/>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tab/>
        <w:t>(e)</w:t>
      </w:r>
      <w:r>
        <w:tab/>
        <w:t>the nominee has successfully completed all of the course requirements for, but has not yet received, a teaching qualification from an accredited initial teacher education programme.</w:t>
      </w:r>
    </w:p>
    <w:p>
      <w:pPr>
        <w:pStyle w:val="Heading5"/>
      </w:pPr>
      <w:bookmarkStart w:id="28" w:name="_Toc427230841"/>
      <w:r>
        <w:rPr>
          <w:rStyle w:val="CharSectno"/>
        </w:rPr>
        <w:t>13</w:t>
      </w:r>
      <w:r>
        <w:t>.</w:t>
      </w:r>
      <w:r>
        <w:tab/>
        <w:t>Renewal of registration — requirements for professional engagement and professional learning activities (s. 22(2)(c))</w:t>
      </w:r>
      <w:bookmarkEnd w:id="28"/>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pPr>
      <w:r>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29" w:name="_Toc427230842"/>
      <w:r>
        <w:rPr>
          <w:rStyle w:val="CharSectno"/>
        </w:rPr>
        <w:t>14</w:t>
      </w:r>
      <w:r>
        <w:t>.</w:t>
      </w:r>
      <w:r>
        <w:tab/>
        <w:t>Intention to apply for limited registration (s. 23(3)(a))</w:t>
      </w:r>
      <w:bookmarkEnd w:id="29"/>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30" w:name="_Toc427230843"/>
      <w:r>
        <w:rPr>
          <w:rStyle w:val="CharSectno"/>
        </w:rPr>
        <w:t>15</w:t>
      </w:r>
      <w:r>
        <w:t>.</w:t>
      </w:r>
      <w:r>
        <w:tab/>
        <w:t>Duration of non</w:t>
      </w:r>
      <w:r>
        <w:noBreakHyphen/>
        <w:t>practising registration</w:t>
      </w:r>
      <w:bookmarkEnd w:id="30"/>
    </w:p>
    <w:p>
      <w:pPr>
        <w:pStyle w:val="Subsection"/>
      </w:pPr>
      <w:r>
        <w:tab/>
        <w:t>(1)</w:t>
      </w:r>
      <w:r>
        <w:tab/>
        <w:t>The period of non</w:t>
      </w:r>
      <w:r>
        <w:noBreakHyphen/>
        <w:t xml:space="preserve">practising registration — </w:t>
      </w:r>
    </w:p>
    <w:p>
      <w:pPr>
        <w:pStyle w:val="Indenta"/>
      </w:pPr>
      <w:r>
        <w:tab/>
        <w:t>(a)</w:t>
      </w:r>
      <w:r>
        <w:tab/>
        <w:t>commences on the day that the registration is granted to a person; and</w:t>
      </w:r>
    </w:p>
    <w:p>
      <w:pPr>
        <w:pStyle w:val="Indenta"/>
      </w:pPr>
      <w:r>
        <w:tab/>
        <w:t>(b)</w:t>
      </w:r>
      <w:r>
        <w:tab/>
        <w:t>unless the person commences teaching after that day, is for an indefinite period.</w:t>
      </w:r>
    </w:p>
    <w:p>
      <w:pPr>
        <w:pStyle w:val="Subsection"/>
      </w:pPr>
      <w:r>
        <w:tab/>
        <w:t>(2)</w:t>
      </w:r>
      <w:r>
        <w:tab/>
        <w:t>If a person holding non</w:t>
      </w:r>
      <w:r>
        <w:noBreakHyphen/>
        <w:t xml:space="preserve">practising registration commences teaching, the period of the registration ends on whichever of the following occurs first — </w:t>
      </w:r>
    </w:p>
    <w:p>
      <w:pPr>
        <w:pStyle w:val="Indenta"/>
      </w:pPr>
      <w:r>
        <w:tab/>
        <w:t>(a)</w:t>
      </w:r>
      <w:r>
        <w:tab/>
        <w:t>the second anniversary of the day that the person first commenced teaching while holding non</w:t>
      </w:r>
      <w:r>
        <w:noBreakHyphen/>
        <w:t>practising registration (</w:t>
      </w:r>
      <w:r>
        <w:rPr>
          <w:rStyle w:val="CharDefText"/>
        </w:rPr>
        <w:t>expiry day</w:t>
      </w:r>
      <w:r>
        <w:t xml:space="preserve">) or such later day — </w:t>
      </w:r>
    </w:p>
    <w:p>
      <w:pPr>
        <w:pStyle w:val="Indenti"/>
      </w:pPr>
      <w:r>
        <w:tab/>
        <w:t>(i)</w:t>
      </w:r>
      <w:r>
        <w:tab/>
        <w:t>as is specified in a notice given under subregulation (3); or</w:t>
      </w:r>
    </w:p>
    <w:p>
      <w:pPr>
        <w:pStyle w:val="Indenti"/>
      </w:pPr>
      <w:r>
        <w:tab/>
        <w:t>(ii)</w:t>
      </w:r>
      <w:r>
        <w:tab/>
        <w:t>as is determined under subregulation (4);</w:t>
      </w:r>
    </w:p>
    <w:p>
      <w:pPr>
        <w:pStyle w:val="Indenta"/>
      </w:pPr>
      <w:r>
        <w:tab/>
        <w:t>(b)</w:t>
      </w:r>
      <w:r>
        <w:tab/>
        <w:t>the person is granted full or provisional registration.</w:t>
      </w:r>
    </w:p>
    <w:p>
      <w:pPr>
        <w:pStyle w:val="Subsection"/>
      </w:pPr>
      <w:r>
        <w:tab/>
        <w:t>(3)</w:t>
      </w:r>
      <w:r>
        <w:tab/>
        <w:t>The Board may, by notice in writing given to a person who has applied to the Board in the form approved by the Board, extend the period of the person’s non</w:t>
      </w:r>
      <w:r>
        <w:noBreakHyphen/>
        <w:t>practising registration if the Board is of the opinion that there are extenuating circumstances to do so.</w:t>
      </w:r>
    </w:p>
    <w:p>
      <w:pPr>
        <w:pStyle w:val="Subsection"/>
      </w:pPr>
      <w:r>
        <w:tab/>
        <w:t>(4)</w:t>
      </w:r>
      <w:r>
        <w:tab/>
        <w:t>If either of the following applications is made at least 28 days before expiry day, the non</w:t>
      </w:r>
      <w:r>
        <w:noBreakHyphen/>
        <w:t xml:space="preserve">practising registration continues until the application is decided — </w:t>
      </w:r>
    </w:p>
    <w:p>
      <w:pPr>
        <w:pStyle w:val="Indenta"/>
      </w:pPr>
      <w:r>
        <w:tab/>
        <w:t>(a)</w:t>
      </w:r>
      <w:r>
        <w:tab/>
        <w:t>an application for full or provisional registration under Part 3 of the Act;</w:t>
      </w:r>
    </w:p>
    <w:p>
      <w:pPr>
        <w:pStyle w:val="Indenta"/>
      </w:pPr>
      <w:r>
        <w:tab/>
        <w:t>(b)</w:t>
      </w:r>
      <w:r>
        <w:tab/>
        <w:t>an application to the Board under subregulation (3) for the period of non</w:t>
      </w:r>
      <w:r>
        <w:noBreakHyphen/>
        <w:t>practising registration to be extended.</w:t>
      </w:r>
    </w:p>
    <w:p>
      <w:pPr>
        <w:pStyle w:val="Footnotesection"/>
      </w:pPr>
      <w:r>
        <w:tab/>
        <w:t>[Regulation 15 inserted in Gazette 13 Aug 2013 p. 3733</w:t>
      </w:r>
      <w:r>
        <w:noBreakHyphen/>
        <w:t>4; amended in Gazette 13 Mar 2015 p. 849.]</w:t>
      </w:r>
    </w:p>
    <w:p>
      <w:pPr>
        <w:pStyle w:val="Heading5"/>
      </w:pPr>
      <w:bookmarkStart w:id="31" w:name="_Toc427230844"/>
      <w:r>
        <w:rPr>
          <w:rStyle w:val="CharSectno"/>
        </w:rPr>
        <w:t>16</w:t>
      </w:r>
      <w:r>
        <w:t>.</w:t>
      </w:r>
      <w:r>
        <w:tab/>
        <w:t>Condition on non</w:t>
      </w:r>
      <w:r>
        <w:noBreakHyphen/>
        <w:t>practising registration (s. 25(2))</w:t>
      </w:r>
      <w:bookmarkEnd w:id="31"/>
    </w:p>
    <w:p>
      <w:pPr>
        <w:pStyle w:val="Subsection"/>
      </w:pPr>
      <w:r>
        <w:tab/>
      </w:r>
      <w:r>
        <w:tab/>
        <w:t>It is a condition of non</w:t>
      </w:r>
      <w:r>
        <w:noBreakHyphen/>
        <w:t>practising registration that, within 14 days after a teacher first commences teaching while holding that category of registration, the teacher gives written notice of that fact to the Board.</w:t>
      </w:r>
    </w:p>
    <w:p>
      <w:pPr>
        <w:pStyle w:val="Footnotesection"/>
      </w:pPr>
      <w:r>
        <w:tab/>
        <w:t>[Regulation 16 inserted in Gazette 13 Aug 2013 p. 3734.]</w:t>
      </w:r>
    </w:p>
    <w:p>
      <w:pPr>
        <w:pStyle w:val="Heading5"/>
      </w:pPr>
      <w:bookmarkStart w:id="32" w:name="_Toc427230845"/>
      <w:r>
        <w:rPr>
          <w:rStyle w:val="CharSectno"/>
        </w:rPr>
        <w:t>17</w:t>
      </w:r>
      <w:r>
        <w:t>.</w:t>
      </w:r>
      <w:r>
        <w:tab/>
        <w:t>Condition on limited registration (s. 25(2))</w:t>
      </w:r>
      <w:bookmarkEnd w:id="32"/>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33" w:name="_Toc427230846"/>
      <w:r>
        <w:rPr>
          <w:rStyle w:val="CharSectno"/>
        </w:rPr>
        <w:t>18</w:t>
      </w:r>
      <w:r>
        <w:t>.</w:t>
      </w:r>
      <w:r>
        <w:tab/>
        <w:t>Applicant may change category of registration applied for</w:t>
      </w:r>
      <w:bookmarkEnd w:id="33"/>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34" w:name="_Toc427230847"/>
      <w:r>
        <w:rPr>
          <w:rStyle w:val="CharSectno"/>
        </w:rPr>
        <w:t>19</w:t>
      </w:r>
      <w:r>
        <w:t>.</w:t>
      </w:r>
      <w:r>
        <w:tab/>
        <w:t>Provision of information about eligibility for registration</w:t>
      </w:r>
      <w:bookmarkEnd w:id="34"/>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keepNext/>
      </w:pPr>
      <w:r>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35" w:name="_Toc427230848"/>
      <w:r>
        <w:rPr>
          <w:rStyle w:val="CharSectno"/>
        </w:rPr>
        <w:t>20</w:t>
      </w:r>
      <w:r>
        <w:t>.</w:t>
      </w:r>
      <w:r>
        <w:tab/>
        <w:t>Registration cards</w:t>
      </w:r>
      <w:bookmarkEnd w:id="35"/>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3"/>
      </w:pPr>
      <w:bookmarkStart w:id="36" w:name="_Toc425858561"/>
      <w:bookmarkStart w:id="37" w:name="_Toc425858611"/>
      <w:bookmarkStart w:id="38" w:name="_Toc427230849"/>
      <w:r>
        <w:rPr>
          <w:rStyle w:val="CharDivNo"/>
        </w:rPr>
        <w:t>Division 2</w:t>
      </w:r>
      <w:r>
        <w:t> — </w:t>
      </w:r>
      <w:r>
        <w:rPr>
          <w:rStyle w:val="CharDivText"/>
        </w:rPr>
        <w:t>The register</w:t>
      </w:r>
      <w:bookmarkEnd w:id="36"/>
      <w:bookmarkEnd w:id="37"/>
      <w:bookmarkEnd w:id="38"/>
    </w:p>
    <w:p>
      <w:pPr>
        <w:pStyle w:val="Footnoteheading"/>
        <w:keepNext/>
      </w:pPr>
      <w:r>
        <w:tab/>
        <w:t>[Heading inserted in Gazette 28 Jan 2014 p. 177.]</w:t>
      </w:r>
    </w:p>
    <w:p>
      <w:pPr>
        <w:pStyle w:val="Heading5"/>
      </w:pPr>
      <w:bookmarkStart w:id="39" w:name="_Toc427230850"/>
      <w:r>
        <w:rPr>
          <w:rStyle w:val="CharSectno"/>
        </w:rPr>
        <w:t>21A</w:t>
      </w:r>
      <w:r>
        <w:t>.</w:t>
      </w:r>
      <w:r>
        <w:tab/>
        <w:t>Additional information to be recorded in register (s. 36(1)(e))</w:t>
      </w:r>
      <w:bookmarkEnd w:id="39"/>
    </w:p>
    <w:p>
      <w:pPr>
        <w:pStyle w:val="Subsection"/>
      </w:pPr>
      <w:r>
        <w:tab/>
      </w:r>
      <w:r>
        <w:tab/>
        <w:t xml:space="preserve">For the purposes of section 36(1)(e) of the Act, the following additional information is to be recorded in the register in respect of each registered teacher — </w:t>
      </w:r>
    </w:p>
    <w:p>
      <w:pPr>
        <w:pStyle w:val="Indenta"/>
      </w:pPr>
      <w:r>
        <w:tab/>
        <w:t>(a)</w:t>
      </w:r>
      <w:r>
        <w:tab/>
        <w:t>the teacher’s date of birth and gender;</w:t>
      </w:r>
    </w:p>
    <w:p>
      <w:pPr>
        <w:pStyle w:val="Indenta"/>
      </w:pPr>
      <w:r>
        <w:tab/>
        <w:t>(b)</w:t>
      </w:r>
      <w:r>
        <w:tab/>
        <w:t>the date of expiry of the teacher’s registration;</w:t>
      </w:r>
    </w:p>
    <w:p>
      <w:pPr>
        <w:pStyle w:val="Indenta"/>
      </w:pPr>
      <w:r>
        <w:tab/>
        <w:t>(c)</w:t>
      </w:r>
      <w:r>
        <w:tab/>
        <w:t>the date on which the Board last determined that the teacher was a fit and proper person to be registered, in accordance with section 24 of the Act;</w:t>
      </w:r>
    </w:p>
    <w:p>
      <w:pPr>
        <w:pStyle w:val="Indenta"/>
      </w:pPr>
      <w:r>
        <w:tab/>
        <w:t>(d)</w:t>
      </w:r>
      <w:r>
        <w:tab/>
        <w:t xml:space="preserve">any conditions imposed on the teacher’s registration — </w:t>
      </w:r>
    </w:p>
    <w:p>
      <w:pPr>
        <w:pStyle w:val="Indenti"/>
      </w:pPr>
      <w:r>
        <w:tab/>
        <w:t>(i)</w:t>
      </w:r>
      <w:r>
        <w:tab/>
        <w:t>by the Board under section 26 of the Act; or</w:t>
      </w:r>
    </w:p>
    <w:p>
      <w:pPr>
        <w:pStyle w:val="Indenti"/>
      </w:pPr>
      <w:r>
        <w:tab/>
        <w:t>(ii)</w:t>
      </w:r>
      <w:r>
        <w:tab/>
        <w:t>by order made under Part 5 of the Act;</w:t>
      </w:r>
    </w:p>
    <w:p>
      <w:pPr>
        <w:pStyle w:val="Indenta"/>
      </w:pPr>
      <w:r>
        <w:tab/>
        <w:t>(e)</w:t>
      </w:r>
      <w:r>
        <w:tab/>
        <w:t>the name of each educational venue at which the teacher is currently teaching, insofar as that information is known to the Board;</w:t>
      </w:r>
    </w:p>
    <w:p>
      <w:pPr>
        <w:pStyle w:val="Indenta"/>
      </w:pPr>
      <w:r>
        <w:tab/>
        <w:t>(f)</w:t>
      </w:r>
      <w:r>
        <w:tab/>
        <w:t>the date on which the annual fee is next payable by the teacher;</w:t>
      </w:r>
    </w:p>
    <w:p>
      <w:pPr>
        <w:pStyle w:val="Indenta"/>
      </w:pPr>
      <w:r>
        <w:tab/>
        <w:t>(g)</w:t>
      </w:r>
      <w:r>
        <w:tab/>
        <w:t>any order referred to in section 70(1)(f) of the Act made by a disciplinary committee or by the State Administrative Tribunal.</w:t>
      </w:r>
    </w:p>
    <w:p>
      <w:pPr>
        <w:pStyle w:val="Footnotesection"/>
      </w:pPr>
      <w:r>
        <w:tab/>
        <w:t>[Regulation 21A inserted in Gazette 28 Jan 2014 p. 177-8.]</w:t>
      </w:r>
    </w:p>
    <w:p>
      <w:pPr>
        <w:pStyle w:val="Heading5"/>
      </w:pPr>
      <w:bookmarkStart w:id="40" w:name="_Toc427230851"/>
      <w:r>
        <w:rPr>
          <w:rStyle w:val="CharSectno"/>
        </w:rPr>
        <w:t>21B</w:t>
      </w:r>
      <w:r>
        <w:t>.</w:t>
      </w:r>
      <w:r>
        <w:tab/>
        <w:t>Additional persons who may inspect register information (professional) (s. 37(3)(b))</w:t>
      </w:r>
      <w:bookmarkEnd w:id="40"/>
    </w:p>
    <w:p>
      <w:pPr>
        <w:pStyle w:val="Subsection"/>
      </w:pPr>
      <w:r>
        <w:tab/>
        <w:t>(1)</w:t>
      </w:r>
      <w:r>
        <w:tab/>
        <w:t xml:space="preserve">In this regulation — </w:t>
      </w:r>
    </w:p>
    <w:p>
      <w:pPr>
        <w:pStyle w:val="Defstart"/>
      </w:pPr>
      <w:r>
        <w:tab/>
      </w:r>
      <w:r>
        <w:rPr>
          <w:rStyle w:val="CharDefText"/>
        </w:rPr>
        <w:t>centre</w:t>
      </w:r>
      <w:r>
        <w:rPr>
          <w:rStyle w:val="CharDefText"/>
        </w:rPr>
        <w:noBreakHyphen/>
        <w:t>based service</w:t>
      </w:r>
      <w:r>
        <w:t xml:space="preserve"> has the meaning given in the </w:t>
      </w:r>
      <w:r>
        <w:rPr>
          <w:i/>
        </w:rPr>
        <w:t>Education and Care Services National Regulations 2012</w:t>
      </w:r>
      <w:r>
        <w:t xml:space="preserve"> regulation 4(1);</w:t>
      </w:r>
    </w:p>
    <w:p>
      <w:pPr>
        <w:pStyle w:val="Defstart"/>
      </w:pPr>
      <w:r>
        <w:tab/>
      </w:r>
      <w:r>
        <w:rPr>
          <w:rStyle w:val="CharDefText"/>
        </w:rPr>
        <w:t>child care service</w:t>
      </w:r>
      <w:r>
        <w:t xml:space="preserve"> has the meaning given in the </w:t>
      </w:r>
      <w:r>
        <w:rPr>
          <w:i/>
        </w:rPr>
        <w:t>Child Care Services Act 2007</w:t>
      </w:r>
      <w:r>
        <w:t xml:space="preserve"> section 4;</w:t>
      </w:r>
    </w:p>
    <w:p>
      <w:pPr>
        <w:pStyle w:val="Defstart"/>
      </w:pPr>
      <w:r>
        <w:tab/>
      </w:r>
      <w:r>
        <w:rPr>
          <w:rStyle w:val="CharDefText"/>
        </w:rPr>
        <w:t>nominated supervisor</w:t>
      </w:r>
      <w:r>
        <w:t xml:space="preserve"> has the meaning given in the </w:t>
      </w:r>
      <w:r>
        <w:rPr>
          <w:i/>
        </w:rPr>
        <w:t xml:space="preserve">Education and Care Services National Law (Western Australia) </w:t>
      </w:r>
      <w:r>
        <w:t>section 5(1);</w:t>
      </w:r>
    </w:p>
    <w:p>
      <w:pPr>
        <w:pStyle w:val="Defstart"/>
      </w:pPr>
      <w:r>
        <w:tab/>
      </w:r>
      <w:r>
        <w:rPr>
          <w:rStyle w:val="CharDefText"/>
        </w:rPr>
        <w:t>prescribed person</w:t>
      </w:r>
      <w:r>
        <w:t xml:space="preserve"> means a person — </w:t>
      </w:r>
    </w:p>
    <w:p>
      <w:pPr>
        <w:pStyle w:val="Defpara"/>
      </w:pPr>
      <w:r>
        <w:tab/>
        <w:t>(a)</w:t>
      </w:r>
      <w:r>
        <w:tab/>
        <w:t>referred to in section 37(3)(a) of the Act; or</w:t>
      </w:r>
    </w:p>
    <w:p>
      <w:pPr>
        <w:pStyle w:val="Defpara"/>
      </w:pPr>
      <w:r>
        <w:tab/>
        <w:t>(b)</w:t>
      </w:r>
      <w:r>
        <w:tab/>
        <w:t>prescribed under subregulation (2)(a) to (c) for the purposes of section 37(3)(b) of the Act;</w:t>
      </w:r>
    </w:p>
    <w:p>
      <w:pPr>
        <w:pStyle w:val="Defstart"/>
      </w:pPr>
      <w:r>
        <w:tab/>
      </w:r>
      <w:r>
        <w:rPr>
          <w:rStyle w:val="CharDefText"/>
        </w:rPr>
        <w:t>register information (professional)</w:t>
      </w:r>
      <w:r>
        <w:t xml:space="preserve"> has the meaning given in section 37(1) of the Act;</w:t>
      </w:r>
    </w:p>
    <w:p>
      <w:pPr>
        <w:pStyle w:val="Defstart"/>
      </w:pPr>
      <w:r>
        <w:tab/>
      </w:r>
      <w:r>
        <w:rPr>
          <w:rStyle w:val="CharDefText"/>
        </w:rPr>
        <w:t>supervising officer</w:t>
      </w:r>
      <w:r>
        <w:t xml:space="preserve"> has the meaning given in the </w:t>
      </w:r>
      <w:r>
        <w:rPr>
          <w:i/>
        </w:rPr>
        <w:t>Child Care Services Act 2007</w:t>
      </w:r>
      <w:r>
        <w:t xml:space="preserve"> section 5A.</w:t>
      </w:r>
    </w:p>
    <w:p>
      <w:pPr>
        <w:pStyle w:val="Subsection"/>
      </w:pPr>
      <w:r>
        <w:tab/>
        <w:t>(2)</w:t>
      </w:r>
      <w:r>
        <w:tab/>
        <w:t xml:space="preserve">The following persons are prescribed for the purposes of section 37(3)(b) of the Act — </w:t>
      </w:r>
    </w:p>
    <w:p>
      <w:pPr>
        <w:pStyle w:val="Indenta"/>
      </w:pPr>
      <w:r>
        <w:tab/>
        <w:t>(a)</w:t>
      </w:r>
      <w:r>
        <w:tab/>
        <w:t>nominated supervisors of centre</w:t>
      </w:r>
      <w:r>
        <w:noBreakHyphen/>
        <w:t>based services;</w:t>
      </w:r>
    </w:p>
    <w:p>
      <w:pPr>
        <w:pStyle w:val="Indenta"/>
      </w:pPr>
      <w:r>
        <w:tab/>
        <w:t>(b)</w:t>
      </w:r>
      <w:r>
        <w:tab/>
        <w:t>supervising officers for child care services;</w:t>
      </w:r>
    </w:p>
    <w:p>
      <w:pPr>
        <w:pStyle w:val="Indenta"/>
      </w:pPr>
      <w:r>
        <w:tab/>
        <w:t>(c)</w:t>
      </w:r>
      <w:r>
        <w:tab/>
        <w:t xml:space="preserve">persons appointed under the </w:t>
      </w:r>
      <w:r>
        <w:rPr>
          <w:i/>
        </w:rPr>
        <w:t>Young Offenders Act 1994</w:t>
      </w:r>
      <w:r>
        <w:t xml:space="preserve"> section 11(1a)(b) as principals of teaching staff at detention centres;</w:t>
      </w:r>
    </w:p>
    <w:p>
      <w:pPr>
        <w:pStyle w:val="Indenta"/>
      </w:pPr>
      <w:r>
        <w:tab/>
        <w:t>(d)</w:t>
      </w:r>
      <w:r>
        <w:tab/>
        <w:t xml:space="preserve">a person who — </w:t>
      </w:r>
    </w:p>
    <w:p>
      <w:pPr>
        <w:pStyle w:val="Indenti"/>
      </w:pPr>
      <w:r>
        <w:tab/>
        <w:t>(i)</w:t>
      </w:r>
      <w:r>
        <w:tab/>
        <w:t>has been nominated by a prescribed person as being a person who has good reason to inspect register information (professional); and</w:t>
      </w:r>
    </w:p>
    <w:p>
      <w:pPr>
        <w:pStyle w:val="Indenti"/>
      </w:pPr>
      <w:r>
        <w:tab/>
        <w:t>(ii)</w:t>
      </w:r>
      <w:r>
        <w:tab/>
        <w:t>has been accepted by the Board as a suitable person to inspect register information (professional).</w:t>
      </w:r>
    </w:p>
    <w:p>
      <w:pPr>
        <w:pStyle w:val="Footnotesection"/>
      </w:pPr>
      <w:r>
        <w:tab/>
        <w:t>[Regulation 21B inserted in Gazette 28 Jan 2014 p. 178-9.]</w:t>
      </w:r>
    </w:p>
    <w:p>
      <w:pPr>
        <w:pStyle w:val="Heading2"/>
      </w:pPr>
      <w:bookmarkStart w:id="41" w:name="_Toc425858564"/>
      <w:bookmarkStart w:id="42" w:name="_Toc425858614"/>
      <w:bookmarkStart w:id="43" w:name="_Toc427230852"/>
      <w:r>
        <w:rPr>
          <w:rStyle w:val="CharPartNo"/>
        </w:rPr>
        <w:t>Part 4</w:t>
      </w:r>
      <w:r>
        <w:rPr>
          <w:rStyle w:val="CharDivNo"/>
        </w:rPr>
        <w:t> </w:t>
      </w:r>
      <w:r>
        <w:t>—</w:t>
      </w:r>
      <w:r>
        <w:rPr>
          <w:rStyle w:val="CharDivText"/>
        </w:rPr>
        <w:t> </w:t>
      </w:r>
      <w:r>
        <w:rPr>
          <w:rStyle w:val="CharPartText"/>
        </w:rPr>
        <w:t>Disciplinary and impairment matters</w:t>
      </w:r>
      <w:bookmarkEnd w:id="41"/>
      <w:bookmarkEnd w:id="42"/>
      <w:bookmarkEnd w:id="43"/>
    </w:p>
    <w:p>
      <w:pPr>
        <w:pStyle w:val="Heading5"/>
      </w:pPr>
      <w:bookmarkStart w:id="44" w:name="_Toc427230853"/>
      <w:r>
        <w:rPr>
          <w:rStyle w:val="CharSectno"/>
        </w:rPr>
        <w:t>21</w:t>
      </w:r>
      <w:r>
        <w:t>.</w:t>
      </w:r>
      <w:r>
        <w:tab/>
        <w:t>Complaints</w:t>
      </w:r>
      <w:bookmarkEnd w:id="44"/>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45" w:name="_Toc427230854"/>
      <w:r>
        <w:rPr>
          <w:rStyle w:val="CharSectno"/>
        </w:rPr>
        <w:t>22</w:t>
      </w:r>
      <w:r>
        <w:t>.</w:t>
      </w:r>
      <w:r>
        <w:tab/>
        <w:t>Prescribed sexual offences (s. 46)</w:t>
      </w:r>
      <w:bookmarkEnd w:id="45"/>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46" w:name="_Toc425858567"/>
      <w:bookmarkStart w:id="47" w:name="_Toc425858617"/>
      <w:bookmarkStart w:id="48" w:name="_Toc427230855"/>
      <w:r>
        <w:rPr>
          <w:rStyle w:val="CharPartNo"/>
        </w:rPr>
        <w:t>Part 5</w:t>
      </w:r>
      <w:r>
        <w:rPr>
          <w:rStyle w:val="CharDivNo"/>
        </w:rPr>
        <w:t> </w:t>
      </w:r>
      <w:r>
        <w:t>—</w:t>
      </w:r>
      <w:r>
        <w:rPr>
          <w:rStyle w:val="CharDivText"/>
        </w:rPr>
        <w:t> </w:t>
      </w:r>
      <w:r>
        <w:rPr>
          <w:rStyle w:val="CharPartText"/>
        </w:rPr>
        <w:t>Miscellaneous</w:t>
      </w:r>
      <w:bookmarkEnd w:id="46"/>
      <w:bookmarkEnd w:id="47"/>
      <w:bookmarkEnd w:id="48"/>
    </w:p>
    <w:p>
      <w:pPr>
        <w:pStyle w:val="Heading5"/>
      </w:pPr>
      <w:bookmarkStart w:id="49" w:name="_Toc427230856"/>
      <w:r>
        <w:rPr>
          <w:rStyle w:val="CharSectno"/>
        </w:rPr>
        <w:t>23</w:t>
      </w:r>
      <w:r>
        <w:t>.</w:t>
      </w:r>
      <w:r>
        <w:tab/>
        <w:t>Payment of relief teachers during Board or committee meetings</w:t>
      </w:r>
      <w:bookmarkEnd w:id="49"/>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50" w:name="_Toc427230857"/>
      <w:r>
        <w:rPr>
          <w:rStyle w:val="CharSectno"/>
        </w:rPr>
        <w:t>24</w:t>
      </w:r>
      <w:r>
        <w:t>.</w:t>
      </w:r>
      <w:r>
        <w:tab/>
        <w:t>Retention of criminal record checks</w:t>
      </w:r>
      <w:bookmarkEnd w:id="50"/>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51" w:name="_Toc427230858"/>
      <w:r>
        <w:rPr>
          <w:rStyle w:val="CharSectno"/>
        </w:rPr>
        <w:t>25</w:t>
      </w:r>
      <w:r>
        <w:t>.</w:t>
      </w:r>
      <w:r>
        <w:tab/>
        <w:t>Employer to supply information about teachers</w:t>
      </w:r>
      <w:bookmarkEnd w:id="51"/>
    </w:p>
    <w:p>
      <w:pPr>
        <w:pStyle w:val="Subsection"/>
      </w:pPr>
      <w:r>
        <w:tab/>
        <w:t>(1)</w:t>
      </w:r>
      <w:r>
        <w:tab/>
        <w:t xml:space="preserve">At the written request of the Board, an employer of registered teachers is to provide to the Board in writing — </w:t>
      </w:r>
    </w:p>
    <w:p>
      <w:pPr>
        <w:pStyle w:val="Indenta"/>
      </w:pPr>
      <w:r>
        <w:tab/>
        <w:t>(a)</w:t>
      </w:r>
      <w:r>
        <w:tab/>
        <w:t>a list, in accordance with subregulation (2), of each person who is currently employed by the employer to 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52" w:name="_Toc427230859"/>
      <w:r>
        <w:rPr>
          <w:rStyle w:val="CharSectno"/>
        </w:rPr>
        <w:t>26</w:t>
      </w:r>
      <w:r>
        <w:t>.</w:t>
      </w:r>
      <w:r>
        <w:tab/>
        <w:t>Notice to be given by employer about suspension, dismissal or resignation of registered teacher — investigations and serious incompetence (s. 42)</w:t>
      </w:r>
      <w:bookmarkEnd w:id="52"/>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pPr>
      <w:bookmarkStart w:id="53" w:name="_Toc427230860"/>
      <w:r>
        <w:rPr>
          <w:rStyle w:val="CharSectno"/>
        </w:rPr>
        <w:t>27A</w:t>
      </w:r>
      <w:r>
        <w:t>.</w:t>
      </w:r>
      <w:r>
        <w:tab/>
        <w:t>Notice to be given of change of name, postal or email address</w:t>
      </w:r>
      <w:bookmarkEnd w:id="53"/>
    </w:p>
    <w:p>
      <w:pPr>
        <w:pStyle w:val="Subsection"/>
      </w:pPr>
      <w:r>
        <w:tab/>
        <w:t>(1)</w:t>
      </w:r>
      <w:r>
        <w:tab/>
        <w:t>A registered teacher must give written notice to the Board of any change to the teacher’s registration details no later than 30 days after the change occurs.</w:t>
      </w:r>
    </w:p>
    <w:p>
      <w:pPr>
        <w:pStyle w:val="Penstart"/>
      </w:pPr>
      <w:r>
        <w:tab/>
        <w:t>Penalty: a fine of $1 000.</w:t>
      </w:r>
    </w:p>
    <w:p>
      <w:pPr>
        <w:pStyle w:val="Subsection"/>
      </w:pPr>
      <w:r>
        <w:tab/>
        <w:t>(2)</w:t>
      </w:r>
      <w:r>
        <w:tab/>
        <w:t xml:space="preserve">In this regulation, a change to a teacher’s registration details occurs if there is a change to any of the following — </w:t>
      </w:r>
    </w:p>
    <w:p>
      <w:pPr>
        <w:pStyle w:val="Indenta"/>
      </w:pPr>
      <w:r>
        <w:tab/>
        <w:t>(a)</w:t>
      </w:r>
      <w:r>
        <w:tab/>
        <w:t>the teacher’s name as recorded in the register;</w:t>
      </w:r>
    </w:p>
    <w:p>
      <w:pPr>
        <w:pStyle w:val="Indenta"/>
      </w:pPr>
      <w:r>
        <w:tab/>
        <w:t>(b)</w:t>
      </w:r>
      <w:r>
        <w:tab/>
        <w:t xml:space="preserve">the teacher’s postal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Indenta"/>
      </w:pPr>
      <w:r>
        <w:tab/>
        <w:t>(c)</w:t>
      </w:r>
      <w:r>
        <w:tab/>
        <w:t xml:space="preserve">the teacher’s email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Footnotesection"/>
      </w:pPr>
      <w:r>
        <w:tab/>
        <w:t>[Regulation 27A inserted in Gazette 13 Aug 2013 p. 3734</w:t>
      </w:r>
      <w:r>
        <w:noBreakHyphen/>
        <w:t>5.]</w:t>
      </w:r>
    </w:p>
    <w:p>
      <w:pPr>
        <w:pStyle w:val="Heading5"/>
      </w:pPr>
      <w:bookmarkStart w:id="54" w:name="_Toc427230861"/>
      <w:r>
        <w:rPr>
          <w:rStyle w:val="CharSectno"/>
        </w:rPr>
        <w:t>27</w:t>
      </w:r>
      <w:r>
        <w:t>.</w:t>
      </w:r>
      <w:r>
        <w:tab/>
        <w:t>Board may require information to be verified by statutory declaration</w:t>
      </w:r>
      <w:bookmarkEnd w:id="54"/>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55" w:name="_Toc427230862"/>
      <w:r>
        <w:rPr>
          <w:rStyle w:val="CharSectno"/>
        </w:rPr>
        <w:t>28</w:t>
      </w:r>
      <w:r>
        <w:t>.</w:t>
      </w:r>
      <w:r>
        <w:tab/>
        <w:t>Fees</w:t>
      </w:r>
      <w:bookmarkEnd w:id="55"/>
    </w:p>
    <w:p>
      <w:pPr>
        <w:pStyle w:val="Subsection"/>
      </w:pPr>
      <w:r>
        <w:tab/>
        <w:t>(1)</w:t>
      </w:r>
      <w:r>
        <w:tab/>
        <w:t>The fees set out in Schedule 1 are prescribed in respect of the matters specified in that Schedule.</w:t>
      </w:r>
    </w:p>
    <w:p>
      <w:pPr>
        <w:pStyle w:val="Subsection"/>
      </w:pPr>
      <w:r>
        <w:tab/>
        <w:t>(2)</w:t>
      </w:r>
      <w:r>
        <w:tab/>
        <w:t>A fee set out in Schedule 1 items 1 to 5 is payable by the applicant.</w:t>
      </w:r>
    </w:p>
    <w:p>
      <w:pPr>
        <w:pStyle w:val="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56" w:name="_Toc425858575"/>
      <w:bookmarkStart w:id="57" w:name="_Toc425858625"/>
      <w:bookmarkStart w:id="58" w:name="_Toc427230863"/>
      <w:r>
        <w:rPr>
          <w:rStyle w:val="CharPartNo"/>
        </w:rPr>
        <w:t>Part 6</w:t>
      </w:r>
      <w:r>
        <w:rPr>
          <w:rStyle w:val="CharDivNo"/>
        </w:rPr>
        <w:t> </w:t>
      </w:r>
      <w:r>
        <w:t>—</w:t>
      </w:r>
      <w:r>
        <w:rPr>
          <w:rStyle w:val="CharDivText"/>
        </w:rPr>
        <w:t> </w:t>
      </w:r>
      <w:r>
        <w:rPr>
          <w:rStyle w:val="CharPartText"/>
        </w:rPr>
        <w:t>Transitional matters</w:t>
      </w:r>
      <w:bookmarkEnd w:id="56"/>
      <w:bookmarkEnd w:id="57"/>
      <w:bookmarkEnd w:id="58"/>
    </w:p>
    <w:p>
      <w:pPr>
        <w:pStyle w:val="Heading5"/>
        <w:spacing w:before="260"/>
      </w:pPr>
      <w:bookmarkStart w:id="59" w:name="_Toc427230864"/>
      <w:r>
        <w:rPr>
          <w:rStyle w:val="CharSectno"/>
        </w:rPr>
        <w:t>29</w:t>
      </w:r>
      <w:r>
        <w:t>.</w:t>
      </w:r>
      <w:r>
        <w:tab/>
        <w:t>Terms used</w:t>
      </w:r>
      <w:bookmarkEnd w:id="59"/>
    </w:p>
    <w:p>
      <w:pPr>
        <w:pStyle w:val="Subsection"/>
      </w:pPr>
      <w:r>
        <w:tab/>
      </w:r>
      <w:r>
        <w:tab/>
        <w:t xml:space="preserve">In this Part — </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r>
        <w:rPr>
          <w:vertAlign w:val="superscript"/>
        </w:rPr>
        <w:t> 1</w:t>
      </w:r>
      <w:r>
        <w:t>;</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spacing w:before="260"/>
      </w:pPr>
      <w:bookmarkStart w:id="60" w:name="_Toc427230865"/>
      <w:r>
        <w:rPr>
          <w:rStyle w:val="CharSectno"/>
        </w:rPr>
        <w:t>30</w:t>
      </w:r>
      <w:r>
        <w:t>.</w:t>
      </w:r>
      <w:r>
        <w:tab/>
        <w:t>Renewal of registration — requirements for professional engagement and professional learning activities for first 5 years after commencement</w:t>
      </w:r>
      <w:bookmarkEnd w:id="60"/>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61" w:name="_Toc427230866"/>
      <w:r>
        <w:rPr>
          <w:rStyle w:val="CharSectno"/>
        </w:rPr>
        <w:t>31</w:t>
      </w:r>
      <w:r>
        <w:t>.</w:t>
      </w:r>
      <w:r>
        <w:tab/>
        <w:t>Requirement for limited registration — applications made within 18 months (s. 17(d) and 149)</w:t>
      </w:r>
      <w:bookmarkEnd w:id="61"/>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62" w:name="_Toc427230867"/>
      <w:r>
        <w:rPr>
          <w:rStyle w:val="CharSectno"/>
        </w:rPr>
        <w:t>32</w:t>
      </w:r>
      <w:r>
        <w:t>.</w:t>
      </w:r>
      <w:r>
        <w:tab/>
        <w:t>Teachers taken to be registered on commencement day do not need to meet requirements for teaching qualifications when renewing that registration</w:t>
      </w:r>
      <w:bookmarkEnd w:id="62"/>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63" w:name="_Toc427230868"/>
      <w:r>
        <w:rPr>
          <w:rStyle w:val="CharSectno"/>
        </w:rPr>
        <w:t>33</w:t>
      </w:r>
      <w:r>
        <w:t>.</w:t>
      </w:r>
      <w:r>
        <w:tab/>
        <w:t>Provisionally registered teachers — renewal</w:t>
      </w:r>
      <w:bookmarkEnd w:id="63"/>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Heading5"/>
      </w:pPr>
      <w:bookmarkStart w:id="64" w:name="_Toc427230869"/>
      <w:r>
        <w:rPr>
          <w:rStyle w:val="CharSectno"/>
        </w:rPr>
        <w:t>34</w:t>
      </w:r>
      <w:r>
        <w:t>.</w:t>
      </w:r>
      <w:r>
        <w:tab/>
        <w:t>Provisional and limited registration — period of registration</w:t>
      </w:r>
      <w:bookmarkEnd w:id="64"/>
    </w:p>
    <w:p>
      <w:pPr>
        <w:pStyle w:val="Subsection"/>
      </w:pPr>
      <w:r>
        <w:tab/>
        <w:t>(1)</w:t>
      </w:r>
      <w:r>
        <w:tab/>
        <w:t>This regulation applies in relation to the provisional registration or limited registration of a teacher who, on commencement day, is taken under section 136 of the Act to hold that registration.</w:t>
      </w:r>
    </w:p>
    <w:p>
      <w:pPr>
        <w:pStyle w:val="Subsection"/>
      </w:pPr>
      <w:r>
        <w:tab/>
        <w:t>(2)</w:t>
      </w:r>
      <w:r>
        <w:tab/>
        <w:t>On and from commencement day, if the provisional registration or limited registration would otherwise have expired before 30 June 2013, the expiry date of that registration is to be taken to be 30 June 2013.</w:t>
      </w:r>
    </w:p>
    <w:p>
      <w:pPr>
        <w:pStyle w:val="Subsection"/>
      </w:pPr>
      <w:r>
        <w:tab/>
        <w:t>(3)</w:t>
      </w:r>
      <w:r>
        <w:tab/>
        <w:t>Section 23(2) of the Act applies in relation to the provisional registration or limited registration as if “renewed.” were deleted and the following were inserted:</w:t>
      </w:r>
    </w:p>
    <w:p>
      <w:pPr>
        <w:pStyle w:val="BlankOpen"/>
      </w:pPr>
    </w:p>
    <w:p>
      <w:pPr>
        <w:pStyle w:val="MiscellaneousBody"/>
        <w:ind w:left="896"/>
      </w:pPr>
      <w:r>
        <w:t>renewed, unless otherwise approved by the Board in a particular case and specified in writing given to the teacher concerned.</w:t>
      </w:r>
    </w:p>
    <w:p>
      <w:pPr>
        <w:pStyle w:val="BlankClose"/>
      </w:pPr>
    </w:p>
    <w:p>
      <w:pPr>
        <w:pStyle w:val="Footnotesection"/>
      </w:pPr>
      <w:r>
        <w:tab/>
        <w:t>[Regulation 34 inserted in Gazette 7 May 2013 p. 1903-4.]</w:t>
      </w:r>
    </w:p>
    <w:p>
      <w:pPr>
        <w:sectPr>
          <w:headerReference w:type="even" r:id="rId23"/>
          <w:headerReference w:type="default" r:id="rId24"/>
          <w:headerReference w:type="first" r:id="rId25"/>
          <w:endnotePr>
            <w:numFmt w:val="decimal"/>
          </w:endnotePr>
          <w:pgSz w:w="11907" w:h="16840" w:code="9"/>
          <w:pgMar w:top="2381" w:right="2410" w:bottom="3544" w:left="2410" w:header="720" w:footer="3380" w:gutter="0"/>
          <w:pgNumType w:start="1"/>
          <w:cols w:space="720"/>
          <w:noEndnote/>
          <w:titlePg/>
          <w:docGrid w:linePitch="78"/>
        </w:sectPr>
      </w:pPr>
    </w:p>
    <w:p>
      <w:pPr>
        <w:pStyle w:val="yScheduleHeading"/>
        <w:outlineLvl w:val="0"/>
      </w:pPr>
      <w:bookmarkStart w:id="65" w:name="_Toc425858582"/>
      <w:bookmarkStart w:id="66" w:name="_Toc425858632"/>
      <w:bookmarkStart w:id="67" w:name="_Toc427230870"/>
      <w:r>
        <w:rPr>
          <w:rStyle w:val="CharSchNo"/>
        </w:rPr>
        <w:t>Schedule 1</w:t>
      </w:r>
      <w:r>
        <w:rPr>
          <w:rStyle w:val="CharSDivNo"/>
        </w:rPr>
        <w:t> </w:t>
      </w:r>
      <w:r>
        <w:t>—</w:t>
      </w:r>
      <w:r>
        <w:rPr>
          <w:rStyle w:val="CharSDivText"/>
        </w:rPr>
        <w:t> </w:t>
      </w:r>
      <w:r>
        <w:rPr>
          <w:rStyle w:val="CharSchText"/>
        </w:rPr>
        <w:t>Fees</w:t>
      </w:r>
      <w:bookmarkEnd w:id="65"/>
      <w:bookmarkEnd w:id="66"/>
      <w:bookmarkEnd w:id="67"/>
    </w:p>
    <w:p>
      <w:pPr>
        <w:pStyle w:val="yShoulderClause"/>
        <w:spacing w:after="60"/>
      </w:pPr>
      <w:r>
        <w:t>[r. 28]</w:t>
      </w:r>
    </w:p>
    <w:tbl>
      <w:tblPr>
        <w:tblW w:w="0" w:type="auto"/>
        <w:tblInd w:w="108" w:type="dxa"/>
        <w:tblLayout w:type="fixed"/>
        <w:tblLook w:val="0000" w:firstRow="0" w:lastRow="0" w:firstColumn="0" w:lastColumn="0" w:noHBand="0" w:noVBand="0"/>
      </w:tblPr>
      <w:tblGrid>
        <w:gridCol w:w="567"/>
        <w:gridCol w:w="3828"/>
        <w:gridCol w:w="1417"/>
        <w:gridCol w:w="1276"/>
      </w:tblGrid>
      <w:tr>
        <w:trPr>
          <w:cantSplit/>
          <w:tblHeader/>
        </w:trPr>
        <w:tc>
          <w:tcPr>
            <w:tcW w:w="567" w:type="dxa"/>
            <w:tcBorders>
              <w:top w:val="single" w:sz="4" w:space="0" w:color="auto"/>
              <w:bottom w:val="single" w:sz="4" w:space="0" w:color="auto"/>
            </w:tcBorders>
          </w:tcPr>
          <w:p>
            <w:pPr>
              <w:pStyle w:val="yTableNAm"/>
              <w:widowControl w:val="0"/>
              <w:jc w:val="center"/>
              <w:rPr>
                <w:b/>
                <w:bCs/>
              </w:rPr>
            </w:pPr>
          </w:p>
        </w:tc>
        <w:tc>
          <w:tcPr>
            <w:tcW w:w="3828" w:type="dxa"/>
            <w:tcBorders>
              <w:top w:val="single" w:sz="4" w:space="0" w:color="auto"/>
              <w:bottom w:val="single" w:sz="4" w:space="0" w:color="auto"/>
            </w:tcBorders>
          </w:tcPr>
          <w:p>
            <w:pPr>
              <w:pStyle w:val="yTableNAm"/>
              <w:jc w:val="center"/>
              <w:rPr>
                <w:b/>
                <w:bCs/>
              </w:rPr>
            </w:pPr>
            <w:r>
              <w:rPr>
                <w:b/>
                <w:bCs/>
              </w:rPr>
              <w:t>Type of fee</w:t>
            </w:r>
          </w:p>
        </w:tc>
        <w:tc>
          <w:tcPr>
            <w:tcW w:w="1417" w:type="dxa"/>
            <w:tcBorders>
              <w:top w:val="single" w:sz="4" w:space="0" w:color="auto"/>
              <w:bottom w:val="single" w:sz="4" w:space="0" w:color="auto"/>
            </w:tcBorders>
          </w:tcPr>
          <w:p>
            <w:pPr>
              <w:pStyle w:val="yTableNAm"/>
              <w:jc w:val="center"/>
              <w:rPr>
                <w:b/>
                <w:bCs/>
              </w:rPr>
            </w:pPr>
            <w:r>
              <w:rPr>
                <w:b/>
                <w:bCs/>
              </w:rPr>
              <w:t xml:space="preserve">Provision </w:t>
            </w:r>
            <w:r>
              <w:rPr>
                <w:b/>
                <w:bCs/>
              </w:rPr>
              <w:br/>
              <w:t>of Act or regulations</w:t>
            </w:r>
          </w:p>
        </w:tc>
        <w:tc>
          <w:tcPr>
            <w:tcW w:w="1276" w:type="dxa"/>
            <w:tcBorders>
              <w:top w:val="single" w:sz="4" w:space="0" w:color="auto"/>
              <w:bottom w:val="single" w:sz="4" w:space="0" w:color="auto"/>
            </w:tcBorders>
          </w:tcPr>
          <w:p>
            <w:pPr>
              <w:pStyle w:val="yTableNAm"/>
              <w:jc w:val="center"/>
              <w:rPr>
                <w:b/>
                <w:bCs/>
              </w:rPr>
            </w:pPr>
            <w:r>
              <w:rPr>
                <w:b/>
                <w:bCs/>
              </w:rPr>
              <w:t>Fee</w:t>
            </w:r>
          </w:p>
        </w:tc>
      </w:tr>
      <w:tr>
        <w:trPr>
          <w:cantSplit/>
        </w:trPr>
        <w:tc>
          <w:tcPr>
            <w:tcW w:w="567" w:type="dxa"/>
          </w:tcPr>
          <w:p>
            <w:pPr>
              <w:pStyle w:val="yTableNAm"/>
            </w:pPr>
            <w:r>
              <w:t>1.</w:t>
            </w:r>
          </w:p>
        </w:tc>
        <w:tc>
          <w:tcPr>
            <w:tcW w:w="3828" w:type="dxa"/>
          </w:tcPr>
          <w:p>
            <w:pPr>
              <w:pStyle w:val="yTableNAm"/>
              <w:tabs>
                <w:tab w:val="clear" w:pos="567"/>
              </w:tabs>
              <w:rPr>
                <w:szCs w:val="22"/>
              </w:rPr>
            </w:pPr>
            <w:r>
              <w:rPr>
                <w:szCs w:val="22"/>
              </w:rPr>
              <w:t xml:space="preserve">Fee payable by a person who applies for provisional registration — </w:t>
            </w:r>
          </w:p>
          <w:p>
            <w:pPr>
              <w:pStyle w:val="yTableNAm"/>
              <w:tabs>
                <w:tab w:val="clear" w:pos="567"/>
                <w:tab w:val="left" w:pos="459"/>
              </w:tabs>
              <w:ind w:left="459" w:hanging="459"/>
            </w:pPr>
            <w:r>
              <w:rPr>
                <w:szCs w:val="22"/>
              </w:rPr>
              <w:t>(a)</w:t>
            </w:r>
            <w:r>
              <w:rPr>
                <w:szCs w:val="22"/>
              </w:rPr>
              <w:tab/>
              <w:t>if the applicant has a teaching qualification from an accredited initial teacher education programme</w:t>
            </w:r>
          </w:p>
        </w:tc>
        <w:tc>
          <w:tcPr>
            <w:tcW w:w="1417" w:type="dxa"/>
          </w:tcPr>
          <w:p>
            <w:pPr>
              <w:pStyle w:val="yTableNAm"/>
            </w:pPr>
            <w:r>
              <w:t>s. 10(2)(e)</w:t>
            </w:r>
          </w:p>
        </w:tc>
        <w:tc>
          <w:tcPr>
            <w:tcW w:w="1276" w:type="dxa"/>
          </w:tcPr>
          <w:p>
            <w:pPr>
              <w:pStyle w:val="yTableNAm"/>
              <w:rPr>
                <w:szCs w:val="22"/>
              </w:rPr>
            </w:pPr>
            <w:r>
              <w:br/>
            </w:r>
          </w:p>
          <w:p>
            <w:pPr>
              <w:pStyle w:val="yTableNAm"/>
            </w:pPr>
            <w:r>
              <w:rPr>
                <w:szCs w:val="22"/>
              </w:rPr>
              <w:t>$128</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417" w:type="dxa"/>
          </w:tcPr>
          <w:p>
            <w:pPr>
              <w:pStyle w:val="yTableNAm"/>
            </w:pPr>
          </w:p>
        </w:tc>
        <w:tc>
          <w:tcPr>
            <w:tcW w:w="1276" w:type="dxa"/>
          </w:tcPr>
          <w:p>
            <w:pPr>
              <w:pStyle w:val="yTableNAm"/>
            </w:pPr>
            <w:r>
              <w:rPr>
                <w:szCs w:val="22"/>
              </w:rPr>
              <w:t>$128</w:t>
            </w:r>
          </w:p>
        </w:tc>
      </w:tr>
      <w:tr>
        <w:trPr>
          <w:cantSplit/>
        </w:trPr>
        <w:tc>
          <w:tcPr>
            <w:tcW w:w="567" w:type="dxa"/>
          </w:tcPr>
          <w:p>
            <w:pPr>
              <w:pStyle w:val="yTableNAm"/>
            </w:pPr>
          </w:p>
        </w:tc>
        <w:tc>
          <w:tcPr>
            <w:tcW w:w="3828" w:type="dxa"/>
          </w:tcPr>
          <w:p>
            <w:pPr>
              <w:pStyle w:val="yTableNAm"/>
              <w:tabs>
                <w:tab w:val="clear" w:pos="567"/>
                <w:tab w:val="left" w:pos="453"/>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417" w:type="dxa"/>
          </w:tcPr>
          <w:p>
            <w:pPr>
              <w:pStyle w:val="yTableNAm"/>
            </w:pPr>
          </w:p>
        </w:tc>
        <w:tc>
          <w:tcPr>
            <w:tcW w:w="1276" w:type="dxa"/>
          </w:tcPr>
          <w:p>
            <w:pPr>
              <w:pStyle w:val="yTableNAm"/>
              <w:tabs>
                <w:tab w:val="clear" w:pos="567"/>
                <w:tab w:val="left" w:pos="453"/>
              </w:tabs>
              <w:ind w:left="459" w:hanging="459"/>
              <w:rPr>
                <w:szCs w:val="22"/>
              </w:rPr>
            </w:pPr>
            <w:r>
              <w:rPr>
                <w:szCs w:val="22"/>
              </w:rPr>
              <w:t>$430</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417" w:type="dxa"/>
          </w:tcPr>
          <w:p>
            <w:pPr>
              <w:pStyle w:val="yTableNAm"/>
            </w:pPr>
          </w:p>
        </w:tc>
        <w:tc>
          <w:tcPr>
            <w:tcW w:w="1276" w:type="dxa"/>
          </w:tcPr>
          <w:p>
            <w:pPr>
              <w:pStyle w:val="yTableNAm"/>
            </w:pPr>
            <w:r>
              <w:rPr>
                <w:szCs w:val="22"/>
              </w:rPr>
              <w:t>$128</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(e)</w:t>
            </w:r>
            <w:r>
              <w:rPr>
                <w:szCs w:val="22"/>
              </w:rPr>
              <w:tab/>
              <w:t>if the applicant holds non</w:t>
            </w:r>
            <w:r>
              <w:rPr>
                <w:szCs w:val="22"/>
              </w:rPr>
              <w:noBreakHyphen/>
              <w:t>practising registration</w:t>
            </w:r>
          </w:p>
        </w:tc>
        <w:tc>
          <w:tcPr>
            <w:tcW w:w="1417" w:type="dxa"/>
          </w:tcPr>
          <w:p>
            <w:pPr>
              <w:pStyle w:val="yTableNAm"/>
            </w:pPr>
          </w:p>
        </w:tc>
        <w:tc>
          <w:tcPr>
            <w:tcW w:w="1276" w:type="dxa"/>
          </w:tcPr>
          <w:p>
            <w:pPr>
              <w:pStyle w:val="yTableNAm"/>
              <w:rPr>
                <w:szCs w:val="22"/>
              </w:rPr>
            </w:pPr>
            <w:r>
              <w:t>no fee</w:t>
            </w:r>
          </w:p>
        </w:tc>
      </w:tr>
      <w:tr>
        <w:trPr>
          <w:cantSplit/>
        </w:trPr>
        <w:tc>
          <w:tcPr>
            <w:tcW w:w="567" w:type="dxa"/>
          </w:tcPr>
          <w:p>
            <w:pPr>
              <w:pStyle w:val="yTableNAm"/>
            </w:pPr>
            <w:r>
              <w:t>2.</w:t>
            </w:r>
          </w:p>
        </w:tc>
        <w:tc>
          <w:tcPr>
            <w:tcW w:w="3828" w:type="dxa"/>
          </w:tcPr>
          <w:p>
            <w:pPr>
              <w:pStyle w:val="yTableNAm"/>
              <w:tabs>
                <w:tab w:val="clear" w:pos="567"/>
              </w:tabs>
              <w:rPr>
                <w:szCs w:val="22"/>
              </w:rPr>
            </w:pPr>
            <w:r>
              <w:rPr>
                <w:szCs w:val="22"/>
              </w:rPr>
              <w:t xml:space="preserve">Fee payable by a person who applies for full registration — </w:t>
            </w:r>
          </w:p>
          <w:p>
            <w:pPr>
              <w:pStyle w:val="yTableNAm"/>
              <w:tabs>
                <w:tab w:val="clear" w:pos="567"/>
                <w:tab w:val="left" w:pos="459"/>
              </w:tabs>
              <w:ind w:left="459" w:hanging="459"/>
              <w:rPr>
                <w:szCs w:val="22"/>
              </w:rPr>
            </w:pPr>
            <w:r>
              <w:rPr>
                <w:szCs w:val="22"/>
              </w:rPr>
              <w:t>(a)</w:t>
            </w:r>
            <w:r>
              <w:rPr>
                <w:szCs w:val="22"/>
              </w:rPr>
              <w:tab/>
              <w:t>if the applicant has a teaching qualification from an accredited initial teacher education programme</w:t>
            </w:r>
          </w:p>
        </w:tc>
        <w:tc>
          <w:tcPr>
            <w:tcW w:w="1417" w:type="dxa"/>
          </w:tcPr>
          <w:p>
            <w:pPr>
              <w:pStyle w:val="yTableNAm"/>
            </w:pPr>
            <w:r>
              <w:t>s. 10(2)(e)</w:t>
            </w:r>
          </w:p>
        </w:tc>
        <w:tc>
          <w:tcPr>
            <w:tcW w:w="1276" w:type="dxa"/>
          </w:tcPr>
          <w:p>
            <w:pPr>
              <w:pStyle w:val="yTableNAm"/>
              <w:rPr>
                <w:szCs w:val="22"/>
              </w:rPr>
            </w:pPr>
            <w:r>
              <w:rPr>
                <w:szCs w:val="22"/>
              </w:rPr>
              <w:br/>
            </w:r>
          </w:p>
          <w:p>
            <w:pPr>
              <w:pStyle w:val="yTableNAm"/>
              <w:rPr>
                <w:szCs w:val="22"/>
              </w:rPr>
            </w:pPr>
            <w:r>
              <w:rPr>
                <w:szCs w:val="22"/>
              </w:rPr>
              <w:t>$161</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$161</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$462</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417" w:type="dxa"/>
          </w:tcPr>
          <w:p>
            <w:pPr>
              <w:pStyle w:val="yTableNAm"/>
            </w:pPr>
          </w:p>
        </w:tc>
        <w:tc>
          <w:tcPr>
            <w:tcW w:w="1276" w:type="dxa"/>
          </w:tcPr>
          <w:p>
            <w:pPr>
              <w:pStyle w:val="yTableNAm"/>
              <w:rPr>
                <w:szCs w:val="22"/>
              </w:rPr>
            </w:pPr>
            <w:r>
              <w:rPr>
                <w:szCs w:val="22"/>
              </w:rPr>
              <w:t>$128</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(e)</w:t>
            </w:r>
            <w:r>
              <w:rPr>
                <w:szCs w:val="22"/>
              </w:rPr>
              <w:tab/>
              <w:t>if the applicant holds provisional or non</w:t>
            </w:r>
            <w:r>
              <w:rPr>
                <w:szCs w:val="22"/>
              </w:rPr>
              <w:noBreakHyphen/>
              <w:t>practising registration</w:t>
            </w:r>
          </w:p>
        </w:tc>
        <w:tc>
          <w:tcPr>
            <w:tcW w:w="1417" w:type="dxa"/>
          </w:tcPr>
          <w:p>
            <w:pPr>
              <w:pStyle w:val="yTableNAm"/>
            </w:pPr>
          </w:p>
        </w:tc>
        <w:tc>
          <w:tcPr>
            <w:tcW w:w="1276" w:type="dxa"/>
          </w:tcPr>
          <w:p>
            <w:pPr>
              <w:pStyle w:val="yTableNAm"/>
              <w:rPr>
                <w:szCs w:val="22"/>
              </w:rPr>
            </w:pPr>
            <w:r>
              <w:t>no fee</w:t>
            </w:r>
          </w:p>
        </w:tc>
      </w:tr>
      <w:tr>
        <w:trPr>
          <w:cantSplit/>
        </w:trPr>
        <w:tc>
          <w:tcPr>
            <w:tcW w:w="567" w:type="dxa"/>
          </w:tcPr>
          <w:p>
            <w:pPr>
              <w:pStyle w:val="yTableNAm"/>
            </w:pPr>
            <w:r>
              <w:t>3.</w:t>
            </w:r>
          </w:p>
        </w:tc>
        <w:tc>
          <w:tcPr>
            <w:tcW w:w="3828" w:type="dxa"/>
          </w:tcPr>
          <w:p>
            <w:pPr>
              <w:pStyle w:val="yTableNAm"/>
              <w:tabs>
                <w:tab w:val="clear" w:pos="567"/>
              </w:tabs>
              <w:rPr>
                <w:szCs w:val="22"/>
              </w:rPr>
            </w:pPr>
            <w:r>
              <w:rPr>
                <w:szCs w:val="22"/>
              </w:rPr>
              <w:t xml:space="preserve">Fee payable by a person who applies for limited registration — </w:t>
            </w:r>
          </w:p>
          <w:p>
            <w:pPr>
              <w:pStyle w:val="yTableNAm"/>
              <w:tabs>
                <w:tab w:val="clear" w:pos="567"/>
                <w:tab w:val="left" w:pos="459"/>
              </w:tabs>
              <w:ind w:left="459" w:hanging="459"/>
              <w:rPr>
                <w:szCs w:val="22"/>
              </w:rPr>
            </w:pPr>
            <w:r>
              <w:rPr>
                <w:szCs w:val="22"/>
              </w:rPr>
              <w:t>(a)</w:t>
            </w:r>
            <w:r>
              <w:rPr>
                <w:szCs w:val="22"/>
              </w:rPr>
              <w:tab/>
              <w:t xml:space="preserve">if the application involves the consideration for approval of a qualification or qualifications conferred by a body that is not established, or primarily based,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p>
        </w:tc>
        <w:tc>
          <w:tcPr>
            <w:tcW w:w="1417" w:type="dxa"/>
          </w:tcPr>
          <w:p>
            <w:pPr>
              <w:pStyle w:val="yTableNAm"/>
            </w:pPr>
            <w:r>
              <w:t>s. 10(2)(e)</w:t>
            </w:r>
          </w:p>
        </w:tc>
        <w:tc>
          <w:tcPr>
            <w:tcW w:w="1276" w:type="dxa"/>
          </w:tcPr>
          <w:p>
            <w:pPr>
              <w:pStyle w:val="yTableNAm"/>
              <w:rPr>
                <w:szCs w:val="22"/>
              </w:rPr>
            </w:pPr>
            <w:r>
              <w:rPr>
                <w:szCs w:val="22"/>
              </w:rPr>
              <w:br/>
            </w:r>
          </w:p>
          <w:p>
            <w:pPr>
              <w:pStyle w:val="yTableNAm"/>
              <w:rPr>
                <w:szCs w:val="22"/>
              </w:rPr>
            </w:pPr>
            <w:r>
              <w:rPr>
                <w:szCs w:val="22"/>
              </w:rPr>
              <w:t>$516</w:t>
            </w:r>
          </w:p>
        </w:tc>
      </w:tr>
      <w:tr>
        <w:trPr>
          <w:cantSplit/>
        </w:trPr>
        <w:tc>
          <w:tcPr>
            <w:tcW w:w="567" w:type="dxa"/>
          </w:tcPr>
          <w:p>
            <w:pPr>
              <w:pStyle w:val="yTableNAm"/>
            </w:pPr>
          </w:p>
        </w:tc>
        <w:tc>
          <w:tcPr>
            <w:tcW w:w="3828" w:type="dxa"/>
          </w:tcPr>
          <w:p>
            <w:pPr>
              <w:pStyle w:val="yTableNAm"/>
              <w:ind w:left="459" w:hanging="459"/>
              <w:rPr>
                <w:szCs w:val="22"/>
              </w:rPr>
            </w:pPr>
            <w:r>
              <w:rPr>
                <w:szCs w:val="22"/>
              </w:rPr>
              <w:t>(b)</w:t>
            </w:r>
            <w:r>
              <w:rPr>
                <w:szCs w:val="22"/>
              </w:rPr>
              <w:tab/>
              <w:t>if the application involves a nominee participating in a teacher exchange programme approved by the Board for the purpose of this item</w:t>
            </w:r>
          </w:p>
          <w:p>
            <w:pPr>
              <w:pStyle w:val="yTableNAm"/>
              <w:tabs>
                <w:tab w:val="clear" w:pos="567"/>
                <w:tab w:val="left" w:pos="459"/>
              </w:tabs>
            </w:pPr>
            <w:r>
              <w:rPr>
                <w:szCs w:val="22"/>
              </w:rPr>
              <w:t>(c)</w:t>
            </w:r>
            <w:r>
              <w:rPr>
                <w:szCs w:val="22"/>
              </w:rPr>
              <w:tab/>
              <w:t>otherwise</w:t>
            </w:r>
          </w:p>
        </w:tc>
        <w:tc>
          <w:tcPr>
            <w:tcW w:w="1417" w:type="dxa"/>
          </w:tcPr>
          <w:p>
            <w:pPr>
              <w:pStyle w:val="yTableNAm"/>
            </w:pPr>
          </w:p>
        </w:tc>
        <w:tc>
          <w:tcPr>
            <w:tcW w:w="1276" w:type="dxa"/>
          </w:tcPr>
          <w:p>
            <w:pPr>
              <w:pStyle w:val="yTableNAm"/>
            </w:pPr>
            <w:r>
              <w:rPr>
                <w:szCs w:val="22"/>
              </w:rPr>
              <w:t>no fee</w:t>
            </w:r>
            <w:r>
              <w:br/>
            </w:r>
            <w:r>
              <w:br/>
            </w:r>
            <w:r>
              <w:br/>
            </w:r>
            <w:r>
              <w:br/>
            </w:r>
          </w:p>
          <w:p>
            <w:pPr>
              <w:pStyle w:val="yTableNAm"/>
              <w:rPr>
                <w:szCs w:val="22"/>
              </w:rPr>
            </w:pPr>
            <w:r>
              <w:rPr>
                <w:szCs w:val="22"/>
              </w:rPr>
              <w:t>$214</w:t>
            </w:r>
          </w:p>
        </w:tc>
      </w:tr>
      <w:tr>
        <w:trPr>
          <w:cantSplit/>
        </w:trPr>
        <w:tc>
          <w:tcPr>
            <w:tcW w:w="567" w:type="dxa"/>
          </w:tcPr>
          <w:p>
            <w:pPr>
              <w:pStyle w:val="yTableNAm"/>
            </w:pPr>
            <w:r>
              <w:t>4.</w:t>
            </w:r>
          </w:p>
        </w:tc>
        <w:tc>
          <w:tcPr>
            <w:tcW w:w="3828" w:type="dxa"/>
          </w:tcPr>
          <w:p>
            <w:pPr>
              <w:pStyle w:val="yTableNAm"/>
              <w:tabs>
                <w:tab w:val="clear" w:pos="567"/>
              </w:tabs>
              <w:rPr>
                <w:szCs w:val="22"/>
              </w:rPr>
            </w:pPr>
            <w:r>
              <w:rPr>
                <w:szCs w:val="22"/>
              </w:rPr>
              <w:t>Fee payable by a person who applies for non</w:t>
            </w:r>
            <w:r>
              <w:rPr>
                <w:szCs w:val="22"/>
              </w:rPr>
              <w:noBreakHyphen/>
              <w:t xml:space="preserve">practising registration — </w:t>
            </w:r>
          </w:p>
          <w:p>
            <w:pPr>
              <w:pStyle w:val="yTableNAm"/>
              <w:tabs>
                <w:tab w:val="clear" w:pos="567"/>
                <w:tab w:val="left" w:pos="459"/>
              </w:tabs>
              <w:ind w:left="459" w:hanging="459"/>
              <w:rPr>
                <w:szCs w:val="22"/>
              </w:rPr>
            </w:pPr>
            <w:r>
              <w:rPr>
                <w:szCs w:val="22"/>
              </w:rPr>
              <w:t>(a)</w:t>
            </w:r>
            <w:r>
              <w:rPr>
                <w:szCs w:val="22"/>
              </w:rPr>
              <w:tab/>
              <w:t>eligible under section 18(a)</w:t>
            </w:r>
          </w:p>
          <w:p>
            <w:pPr>
              <w:pStyle w:val="yTableNAm"/>
              <w:tabs>
                <w:tab w:val="clear" w:pos="567"/>
                <w:tab w:val="left" w:pos="459"/>
              </w:tabs>
              <w:ind w:left="459" w:hanging="459"/>
            </w:pPr>
            <w:r>
              <w:rPr>
                <w:szCs w:val="22"/>
              </w:rPr>
              <w:t>(b)</w:t>
            </w:r>
            <w:r>
              <w:rPr>
                <w:szCs w:val="22"/>
              </w:rPr>
              <w:tab/>
              <w:t>eligible under section 18(b) —</w:t>
            </w:r>
          </w:p>
        </w:tc>
        <w:tc>
          <w:tcPr>
            <w:tcW w:w="1417" w:type="dxa"/>
          </w:tcPr>
          <w:p>
            <w:pPr>
              <w:pStyle w:val="yTableNAm"/>
            </w:pPr>
            <w:r>
              <w:t>s. 10(2)(e)</w:t>
            </w:r>
          </w:p>
        </w:tc>
        <w:tc>
          <w:tcPr>
            <w:tcW w:w="1276" w:type="dxa"/>
          </w:tcPr>
          <w:p>
            <w:pPr>
              <w:pStyle w:val="yTableNAm"/>
              <w:rPr>
                <w:szCs w:val="22"/>
              </w:rPr>
            </w:pPr>
            <w:r>
              <w:rPr>
                <w:szCs w:val="22"/>
              </w:rPr>
              <w:br/>
            </w:r>
          </w:p>
          <w:p>
            <w:pPr>
              <w:pStyle w:val="yTableNAm"/>
            </w:pPr>
            <w:r>
              <w:t>no fee</w:t>
            </w:r>
          </w:p>
        </w:tc>
      </w:tr>
      <w:tr>
        <w:trPr>
          <w:cantSplit/>
        </w:trPr>
        <w:tc>
          <w:tcPr>
            <w:tcW w:w="567" w:type="dxa"/>
          </w:tcPr>
          <w:p>
            <w:pPr>
              <w:pStyle w:val="yTableNAm"/>
            </w:pPr>
          </w:p>
        </w:tc>
        <w:tc>
          <w:tcPr>
            <w:tcW w:w="3828" w:type="dxa"/>
          </w:tcPr>
          <w:p>
            <w:pPr>
              <w:pStyle w:val="yTableNAm"/>
              <w:tabs>
                <w:tab w:val="clear" w:pos="567"/>
                <w:tab w:val="left" w:pos="459"/>
              </w:tabs>
              <w:ind w:left="885" w:hanging="885"/>
            </w:pPr>
            <w:r>
              <w:rPr>
                <w:szCs w:val="22"/>
              </w:rPr>
              <w:tab/>
              <w:t>(i)</w:t>
            </w:r>
            <w:r>
              <w:rPr>
                <w:szCs w:val="22"/>
              </w:rPr>
              <w:tab/>
              <w:t>if the applicant has a teaching qualification from an accredited initial teacher education programme</w:t>
            </w:r>
          </w:p>
        </w:tc>
        <w:tc>
          <w:tcPr>
            <w:tcW w:w="1417" w:type="dxa"/>
          </w:tcPr>
          <w:p>
            <w:pPr>
              <w:pStyle w:val="yTableNAm"/>
            </w:pPr>
          </w:p>
        </w:tc>
        <w:tc>
          <w:tcPr>
            <w:tcW w:w="1276" w:type="dxa"/>
          </w:tcPr>
          <w:p>
            <w:pPr>
              <w:pStyle w:val="yTableNAm"/>
              <w:rPr>
                <w:szCs w:val="22"/>
              </w:rPr>
            </w:pPr>
            <w:r>
              <w:rPr>
                <w:szCs w:val="22"/>
              </w:rPr>
              <w:t>$161</w:t>
            </w:r>
          </w:p>
        </w:tc>
      </w:tr>
      <w:tr>
        <w:trPr>
          <w:cantSplit/>
        </w:trPr>
        <w:tc>
          <w:tcPr>
            <w:tcW w:w="567" w:type="dxa"/>
          </w:tcPr>
          <w:p>
            <w:pPr>
              <w:pStyle w:val="yTableNAm"/>
            </w:pPr>
          </w:p>
        </w:tc>
        <w:tc>
          <w:tcPr>
            <w:tcW w:w="3828" w:type="dxa"/>
          </w:tcPr>
          <w:p>
            <w:pPr>
              <w:pStyle w:val="yTableNAm"/>
              <w:tabs>
                <w:tab w:val="clear" w:pos="567"/>
                <w:tab w:val="left" w:pos="459"/>
              </w:tabs>
              <w:ind w:left="885" w:hanging="885"/>
              <w:rPr>
                <w:szCs w:val="22"/>
              </w:rPr>
            </w:pPr>
            <w:r>
              <w:rPr>
                <w:szCs w:val="22"/>
              </w:rPr>
              <w:tab/>
              <w:t>(ii)</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$161</w:t>
            </w:r>
          </w:p>
        </w:tc>
      </w:tr>
      <w:tr>
        <w:trPr>
          <w:cantSplit/>
        </w:trPr>
        <w:tc>
          <w:tcPr>
            <w:tcW w:w="567" w:type="dxa"/>
          </w:tcPr>
          <w:p>
            <w:pPr>
              <w:pStyle w:val="yTableNAm"/>
            </w:pPr>
          </w:p>
        </w:tc>
        <w:tc>
          <w:tcPr>
            <w:tcW w:w="3828" w:type="dxa"/>
          </w:tcPr>
          <w:p>
            <w:pPr>
              <w:pStyle w:val="yTableNAm"/>
              <w:tabs>
                <w:tab w:val="clear" w:pos="567"/>
                <w:tab w:val="left" w:pos="459"/>
              </w:tabs>
              <w:ind w:left="885" w:hanging="885"/>
            </w:pPr>
            <w:r>
              <w:rPr>
                <w:szCs w:val="22"/>
              </w:rPr>
              <w:tab/>
              <w:t>(iii)</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$462</w:t>
            </w:r>
          </w:p>
        </w:tc>
      </w:tr>
      <w:tr>
        <w:trPr>
          <w:cantSplit/>
        </w:trPr>
        <w:tc>
          <w:tcPr>
            <w:tcW w:w="567" w:type="dxa"/>
          </w:tcPr>
          <w:p>
            <w:pPr>
              <w:pStyle w:val="yTableNAm"/>
            </w:pPr>
            <w:r>
              <w:t>5.</w:t>
            </w:r>
          </w:p>
        </w:tc>
        <w:tc>
          <w:tcPr>
            <w:tcW w:w="3828" w:type="dxa"/>
          </w:tcPr>
          <w:p>
            <w:pPr>
              <w:pStyle w:val="yTableNAm"/>
              <w:tabs>
                <w:tab w:val="clear" w:pos="567"/>
              </w:tabs>
              <w:rPr>
                <w:szCs w:val="22"/>
              </w:rPr>
            </w:pPr>
            <w:r>
              <w:rPr>
                <w:szCs w:val="22"/>
              </w:rPr>
              <w:t>Fee payable by a person who applies for the renewal of registration</w:t>
            </w:r>
          </w:p>
        </w:tc>
        <w:tc>
          <w:tcPr>
            <w:tcW w:w="1417" w:type="dxa"/>
          </w:tcPr>
          <w:p>
            <w:pPr>
              <w:pStyle w:val="yTableNAm"/>
            </w:pPr>
            <w:r>
              <w:t>s. 11(2)(d)</w:t>
            </w:r>
          </w:p>
        </w:tc>
        <w:tc>
          <w:tcPr>
            <w:tcW w:w="1276" w:type="dxa"/>
          </w:tcPr>
          <w:p>
            <w:pPr>
              <w:pStyle w:val="yTableNAm"/>
              <w:rPr>
                <w:szCs w:val="22"/>
              </w:rPr>
            </w:pPr>
            <w:r>
              <w:rPr>
                <w:szCs w:val="22"/>
              </w:rPr>
              <w:t>$50</w:t>
            </w:r>
          </w:p>
        </w:tc>
      </w:tr>
      <w:tr>
        <w:trPr>
          <w:cantSplit/>
        </w:trPr>
        <w:tc>
          <w:tcPr>
            <w:tcW w:w="567" w:type="dxa"/>
          </w:tcPr>
          <w:p>
            <w:pPr>
              <w:pStyle w:val="yTableNAm"/>
            </w:pPr>
            <w:r>
              <w:t>6.</w:t>
            </w:r>
          </w:p>
        </w:tc>
        <w:tc>
          <w:tcPr>
            <w:tcW w:w="3828" w:type="dxa"/>
          </w:tcPr>
          <w:p>
            <w:pPr>
              <w:pStyle w:val="yTableNAm"/>
              <w:tabs>
                <w:tab w:val="clear" w:pos="567"/>
              </w:tabs>
              <w:ind w:left="459" w:hanging="459"/>
            </w:pPr>
            <w:r>
              <w:t xml:space="preserve">Annual fee — </w:t>
            </w:r>
          </w:p>
          <w:p>
            <w:pPr>
              <w:pStyle w:val="yTableNAm"/>
              <w:tabs>
                <w:tab w:val="clear" w:pos="567"/>
              </w:tabs>
              <w:ind w:left="459" w:hanging="459"/>
            </w:pPr>
            <w:r>
              <w:t>(a)</w:t>
            </w:r>
            <w:r>
              <w:tab/>
              <w:t>for the first year after registration is granted if it is granted in January, February, March, October, November or December</w:t>
            </w:r>
          </w:p>
          <w:p>
            <w:pPr>
              <w:pStyle w:val="yTableNAm"/>
              <w:tabs>
                <w:tab w:val="clear" w:pos="567"/>
              </w:tabs>
              <w:ind w:left="459" w:hanging="459"/>
            </w:pPr>
            <w:r>
              <w:t>(b)</w:t>
            </w:r>
            <w:r>
              <w:tab/>
              <w:t>otherwise</w:t>
            </w:r>
          </w:p>
        </w:tc>
        <w:tc>
          <w:tcPr>
            <w:tcW w:w="1417" w:type="dxa"/>
          </w:tcPr>
          <w:p>
            <w:pPr>
              <w:pStyle w:val="yTableNAm"/>
            </w:pPr>
            <w:r>
              <w:t>s. 35</w:t>
            </w:r>
          </w:p>
        </w:tc>
        <w:tc>
          <w:tcPr>
            <w:tcW w:w="1276" w:type="dxa"/>
          </w:tcPr>
          <w:p>
            <w:pPr>
              <w:pStyle w:val="yTableNAm"/>
              <w:rPr>
                <w:szCs w:val="22"/>
              </w:rPr>
            </w:pPr>
          </w:p>
          <w:p>
            <w:pPr>
              <w:pStyle w:val="yTableNAm"/>
              <w:rPr>
                <w:szCs w:val="22"/>
              </w:rPr>
            </w:pPr>
            <w:r>
              <w:rPr>
                <w:szCs w:val="22"/>
              </w:rPr>
              <w:t>$43</w:t>
            </w:r>
            <w:r>
              <w:rPr>
                <w:szCs w:val="22"/>
              </w:rPr>
              <w:br/>
            </w:r>
            <w:r>
              <w:rPr>
                <w:szCs w:val="22"/>
              </w:rPr>
              <w:br/>
            </w:r>
            <w:r>
              <w:rPr>
                <w:szCs w:val="22"/>
              </w:rPr>
              <w:br/>
            </w:r>
          </w:p>
          <w:p>
            <w:pPr>
              <w:pStyle w:val="yTableNAm"/>
              <w:rPr>
                <w:szCs w:val="22"/>
              </w:rPr>
            </w:pPr>
            <w:r>
              <w:rPr>
                <w:szCs w:val="22"/>
              </w:rPr>
              <w:t>$86</w:t>
            </w:r>
          </w:p>
        </w:tc>
      </w:tr>
      <w:tr>
        <w:trPr>
          <w:cantSplit/>
        </w:trPr>
        <w:tc>
          <w:tcPr>
            <w:tcW w:w="567" w:type="dxa"/>
          </w:tcPr>
          <w:p>
            <w:pPr>
              <w:pStyle w:val="yTableNAm"/>
            </w:pPr>
            <w:r>
              <w:t>7.</w:t>
            </w:r>
          </w:p>
        </w:tc>
        <w:tc>
          <w:tcPr>
            <w:tcW w:w="3828" w:type="dxa"/>
          </w:tcPr>
          <w:p>
            <w:pPr>
              <w:pStyle w:val="yTableNAm"/>
              <w:tabs>
                <w:tab w:val="clear" w:pos="567"/>
              </w:tabs>
            </w:pPr>
            <w:r>
              <w:t>Fee payable by a person for a criminal record check, obtained by Board with consent of the person under section 44</w:t>
            </w:r>
          </w:p>
        </w:tc>
        <w:tc>
          <w:tcPr>
            <w:tcW w:w="1417" w:type="dxa"/>
          </w:tcPr>
          <w:p>
            <w:pPr>
              <w:pStyle w:val="yTableNAm"/>
            </w:pPr>
            <w:r>
              <w:t>s. 128(2)(i)</w:t>
            </w:r>
          </w:p>
        </w:tc>
        <w:tc>
          <w:tcPr>
            <w:tcW w:w="1276" w:type="dxa"/>
          </w:tcPr>
          <w:p>
            <w:pPr>
              <w:pStyle w:val="yTableNAm"/>
              <w:rPr>
                <w:szCs w:val="22"/>
              </w:rPr>
            </w:pPr>
            <w:r>
              <w:rPr>
                <w:szCs w:val="22"/>
              </w:rPr>
              <w:t>$53</w:t>
            </w:r>
          </w:p>
        </w:tc>
      </w:tr>
      <w:tr>
        <w:trPr>
          <w:cantSplit/>
        </w:trPr>
        <w:tc>
          <w:tcPr>
            <w:tcW w:w="567" w:type="dxa"/>
          </w:tcPr>
          <w:p>
            <w:pPr>
              <w:pStyle w:val="yTableNAm"/>
            </w:pPr>
            <w:r>
              <w:t>8.</w:t>
            </w:r>
          </w:p>
        </w:tc>
        <w:tc>
          <w:tcPr>
            <w:tcW w:w="3828" w:type="dxa"/>
          </w:tcPr>
          <w:p>
            <w:pPr>
              <w:pStyle w:val="yTableNAm"/>
              <w:tabs>
                <w:tab w:val="clear" w:pos="567"/>
              </w:tabs>
            </w:pPr>
            <w:r>
              <w:t>Fee payable by a person who applies for a certified copy of the register or an entry in the register for the copy</w:t>
            </w:r>
          </w:p>
        </w:tc>
        <w:tc>
          <w:tcPr>
            <w:tcW w:w="1417" w:type="dxa"/>
          </w:tcPr>
          <w:p>
            <w:pPr>
              <w:pStyle w:val="yTableNAm"/>
            </w:pPr>
            <w:r>
              <w:t>s. 37(5)</w:t>
            </w:r>
          </w:p>
        </w:tc>
        <w:tc>
          <w:tcPr>
            <w:tcW w:w="1276" w:type="dxa"/>
          </w:tcPr>
          <w:p>
            <w:pPr>
              <w:pStyle w:val="yTableNAm"/>
              <w:rPr>
                <w:szCs w:val="22"/>
              </w:rPr>
            </w:pPr>
            <w:r>
              <w:rPr>
                <w:szCs w:val="22"/>
              </w:rPr>
              <w:t>$53 per entry up to a maximum fee of $154</w:t>
            </w:r>
          </w:p>
        </w:tc>
      </w:tr>
      <w:tr>
        <w:trPr>
          <w:cantSplit/>
        </w:trPr>
        <w:tc>
          <w:tcPr>
            <w:tcW w:w="567" w:type="dxa"/>
          </w:tcPr>
          <w:p>
            <w:pPr>
              <w:pStyle w:val="yTableNAm"/>
            </w:pPr>
            <w:r>
              <w:t>9.</w:t>
            </w:r>
          </w:p>
        </w:tc>
        <w:tc>
          <w:tcPr>
            <w:tcW w:w="3828" w:type="dxa"/>
          </w:tcPr>
          <w:p>
            <w:pPr>
              <w:pStyle w:val="yTableNAm"/>
              <w:tabs>
                <w:tab w:val="clear" w:pos="567"/>
              </w:tabs>
            </w:pPr>
            <w:r>
              <w:t>Late payment processing fee</w:t>
            </w:r>
          </w:p>
        </w:tc>
        <w:tc>
          <w:tcPr>
            <w:tcW w:w="1417" w:type="dxa"/>
          </w:tcPr>
          <w:p>
            <w:pPr>
              <w:pStyle w:val="yTableNAm"/>
            </w:pPr>
            <w:r>
              <w:t>r. 28(5)</w:t>
            </w:r>
          </w:p>
        </w:tc>
        <w:tc>
          <w:tcPr>
            <w:tcW w:w="1276" w:type="dxa"/>
          </w:tcPr>
          <w:p>
            <w:pPr>
              <w:pStyle w:val="yTableNAm"/>
              <w:rPr>
                <w:szCs w:val="22"/>
              </w:rPr>
            </w:pPr>
            <w:r>
              <w:rPr>
                <w:szCs w:val="22"/>
              </w:rPr>
              <w:t>$53</w:t>
            </w:r>
          </w:p>
        </w:tc>
      </w:tr>
      <w:tr>
        <w:trPr>
          <w:cantSplit/>
        </w:trPr>
        <w:tc>
          <w:tcPr>
            <w:tcW w:w="567" w:type="dxa"/>
          </w:tcPr>
          <w:p>
            <w:pPr>
              <w:pStyle w:val="yTableNAm"/>
            </w:pPr>
            <w:r>
              <w:t>10.</w:t>
            </w:r>
          </w:p>
        </w:tc>
        <w:tc>
          <w:tcPr>
            <w:tcW w:w="3828" w:type="dxa"/>
          </w:tcPr>
          <w:p>
            <w:pPr>
              <w:pStyle w:val="yTableNAm"/>
              <w:tabs>
                <w:tab w:val="clear" w:pos="567"/>
              </w:tabs>
            </w:pPr>
            <w:r>
              <w:t>Fee payable for a replacement registration card</w:t>
            </w:r>
          </w:p>
        </w:tc>
        <w:tc>
          <w:tcPr>
            <w:tcW w:w="1417" w:type="dxa"/>
          </w:tcPr>
          <w:p>
            <w:pPr>
              <w:pStyle w:val="yTableNAm"/>
            </w:pPr>
            <w:r>
              <w:t>r. 20(4)</w:t>
            </w:r>
          </w:p>
        </w:tc>
        <w:tc>
          <w:tcPr>
            <w:tcW w:w="1276" w:type="dxa"/>
          </w:tcPr>
          <w:p>
            <w:pPr>
              <w:pStyle w:val="yTableNAm"/>
              <w:rPr>
                <w:szCs w:val="22"/>
              </w:rPr>
            </w:pPr>
            <w:r>
              <w:rPr>
                <w:szCs w:val="22"/>
              </w:rPr>
              <w:t>$53</w:t>
            </w:r>
          </w:p>
        </w:tc>
      </w:tr>
      <w:tr>
        <w:trPr>
          <w:cantSplit/>
        </w:trPr>
        <w:tc>
          <w:tcPr>
            <w:tcW w:w="567" w:type="dxa"/>
          </w:tcPr>
          <w:p>
            <w:pPr>
              <w:pStyle w:val="yTableNAm"/>
            </w:pPr>
            <w:r>
              <w:t>11.</w:t>
            </w:r>
          </w:p>
        </w:tc>
        <w:tc>
          <w:tcPr>
            <w:tcW w:w="3828" w:type="dxa"/>
          </w:tcPr>
          <w:p>
            <w:pPr>
              <w:pStyle w:val="yTableNAm"/>
              <w:tabs>
                <w:tab w:val="clear" w:pos="567"/>
              </w:tabs>
            </w:pPr>
            <w:r>
              <w:t>Fee payable by a person seeking advice about additional qualifications required for registration</w:t>
            </w:r>
          </w:p>
        </w:tc>
        <w:tc>
          <w:tcPr>
            <w:tcW w:w="1417" w:type="dxa"/>
          </w:tcPr>
          <w:p>
            <w:pPr>
              <w:pStyle w:val="yTableNAm"/>
            </w:pPr>
            <w:r>
              <w:t>r. 19(2)(a)(i) or (ii)</w:t>
            </w:r>
          </w:p>
        </w:tc>
        <w:tc>
          <w:tcPr>
            <w:tcW w:w="1276" w:type="dxa"/>
          </w:tcPr>
          <w:p>
            <w:pPr>
              <w:pStyle w:val="yTableNAm"/>
              <w:rPr>
                <w:szCs w:val="22"/>
              </w:rPr>
            </w:pPr>
            <w:r>
              <w:rPr>
                <w:szCs w:val="22"/>
              </w:rPr>
              <w:t>$301</w:t>
            </w:r>
          </w:p>
        </w:tc>
      </w:tr>
      <w:tr>
        <w:trPr>
          <w:cantSplit/>
        </w:trPr>
        <w:tc>
          <w:tcPr>
            <w:tcW w:w="567" w:type="dxa"/>
            <w:tcBorders>
              <w:bottom w:val="single" w:sz="4" w:space="0" w:color="auto"/>
            </w:tcBorders>
          </w:tcPr>
          <w:p>
            <w:pPr>
              <w:pStyle w:val="yTableNAm"/>
            </w:pPr>
            <w:r>
              <w:t>12.</w:t>
            </w:r>
          </w:p>
        </w:tc>
        <w:tc>
          <w:tcPr>
            <w:tcW w:w="3828" w:type="dxa"/>
            <w:tcBorders>
              <w:bottom w:val="single" w:sz="4" w:space="0" w:color="auto"/>
            </w:tcBorders>
          </w:tcPr>
          <w:p>
            <w:pPr>
              <w:pStyle w:val="yTableNAm"/>
              <w:tabs>
                <w:tab w:val="clear" w:pos="567"/>
              </w:tabs>
            </w:pPr>
            <w:r>
              <w:t>Fee payable by a person seeking advice about being a fit and proper person to be registered</w:t>
            </w:r>
          </w:p>
        </w:tc>
        <w:tc>
          <w:tcPr>
            <w:tcW w:w="1417" w:type="dxa"/>
            <w:tcBorders>
              <w:bottom w:val="single" w:sz="4" w:space="0" w:color="auto"/>
            </w:tcBorders>
          </w:tcPr>
          <w:p>
            <w:pPr>
              <w:pStyle w:val="yTableNAm"/>
            </w:pPr>
            <w:r>
              <w:t>r. 19(2)(b)</w:t>
            </w:r>
          </w:p>
        </w:tc>
        <w:tc>
          <w:tcPr>
            <w:tcW w:w="1276" w:type="dxa"/>
            <w:tcBorders>
              <w:bottom w:val="single" w:sz="4" w:space="0" w:color="auto"/>
            </w:tcBorders>
          </w:tcPr>
          <w:p>
            <w:pPr>
              <w:pStyle w:val="yTableNAm"/>
              <w:rPr>
                <w:szCs w:val="22"/>
              </w:rPr>
            </w:pPr>
            <w:r>
              <w:rPr>
                <w:szCs w:val="22"/>
              </w:rPr>
              <w:t>$53</w:t>
            </w:r>
          </w:p>
        </w:tc>
      </w:tr>
    </w:tbl>
    <w:p>
      <w:pPr>
        <w:pStyle w:val="yFootnotesection"/>
      </w:pPr>
      <w:r>
        <w:tab/>
        <w:t>[Schedule 1 amended in Gazette 13 Aug 2013 p. 3735-6; 1 Jul 2014 p. 2339-40; 12 Jun 2015 p. 2024</w:t>
      </w:r>
      <w:r>
        <w:noBreakHyphen/>
        <w:t>5.]</w:t>
      </w:r>
    </w:p>
    <w:p>
      <w:pPr>
        <w:sectPr>
          <w:headerReference w:type="even" r:id="rId26"/>
          <w:headerReference w:type="default" r:id="rId27"/>
          <w:pgSz w:w="11907" w:h="16840" w:code="9"/>
          <w:pgMar w:top="2381" w:right="2410" w:bottom="3544" w:left="2410" w:header="720" w:footer="3380" w:gutter="0"/>
          <w:cols w:space="720"/>
          <w:docGrid w:linePitch="78"/>
        </w:sectPr>
      </w:pPr>
    </w:p>
    <w:p>
      <w:pPr>
        <w:pStyle w:val="yScheduleHeading"/>
        <w:pageBreakBefore w:val="0"/>
        <w:outlineLvl w:val="0"/>
      </w:pPr>
      <w:bookmarkStart w:id="68" w:name="_Toc425858583"/>
      <w:bookmarkStart w:id="69" w:name="_Toc425858633"/>
      <w:bookmarkStart w:id="70" w:name="_Toc427230871"/>
      <w:r>
        <w:rPr>
          <w:rStyle w:val="CharSchNo"/>
        </w:rPr>
        <w:t>Schedule 2</w:t>
      </w:r>
      <w:r>
        <w:rPr>
          <w:rStyle w:val="CharSDivNo"/>
        </w:rPr>
        <w:t> </w:t>
      </w:r>
      <w:r>
        <w:t>—</w:t>
      </w:r>
      <w:r>
        <w:rPr>
          <w:rStyle w:val="CharSDivText"/>
        </w:rPr>
        <w:t> </w:t>
      </w:r>
      <w:r>
        <w:rPr>
          <w:rStyle w:val="CharSchText"/>
        </w:rPr>
        <w:t>Form for notice of intention to apply for limited registration</w:t>
      </w:r>
      <w:bookmarkEnd w:id="68"/>
      <w:bookmarkEnd w:id="69"/>
      <w:bookmarkEnd w:id="70"/>
    </w:p>
    <w:p>
      <w:pPr>
        <w:pStyle w:val="yShoulderClause"/>
        <w:spacing w:after="60"/>
      </w:pPr>
      <w:r>
        <w:t>[r. 14]</w:t>
      </w:r>
    </w:p>
    <w:p>
      <w:pPr>
        <w:pStyle w:val="yMiscellaneousHeading"/>
        <w:spacing w:after="120"/>
        <w:ind w:left="142"/>
        <w:rPr>
          <w:b/>
        </w:rPr>
      </w:pPr>
      <w:r>
        <w:rPr>
          <w:b/>
        </w:rPr>
        <w:t>Form 1 — Notice of intention to apply for limited registration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
        <w:gridCol w:w="1560"/>
        <w:gridCol w:w="141"/>
        <w:gridCol w:w="2552"/>
      </w:tblGrid>
      <w:tr>
        <w:trPr>
          <w:trHeight w:val="520"/>
          <w:jc w:val="center"/>
        </w:trPr>
        <w:tc>
          <w:tcPr>
            <w:tcW w:w="7196" w:type="dxa"/>
            <w:gridSpan w:val="5"/>
            <w:tcBorders>
              <w:bottom w:val="single" w:sz="4" w:space="0" w:color="auto"/>
            </w:tcBorders>
          </w:tcPr>
          <w:p>
            <w:pPr>
              <w:pStyle w:val="yTableNAm"/>
              <w:ind w:left="567" w:right="743"/>
              <w:jc w:val="center"/>
            </w:pPr>
            <w:r>
              <w:t>To be submitted by or on behalf of one or more employers in respect of a teaching position offered in one or more educational venues on or before the first day of employment of a single nominee for limited registration.</w:t>
            </w: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Pr>
          <w:p>
            <w:pPr>
              <w:pStyle w:val="yTableNAm"/>
              <w:rPr>
                <w:b/>
                <w:szCs w:val="22"/>
              </w:rPr>
            </w:pPr>
            <w:r>
              <w:rPr>
                <w:b/>
                <w:szCs w:val="22"/>
              </w:rPr>
              <w:t>Nominee’s Details</w:t>
            </w:r>
          </w:p>
        </w:tc>
      </w:tr>
      <w:tr>
        <w:trPr>
          <w:jc w:val="center"/>
        </w:trPr>
        <w:tc>
          <w:tcPr>
            <w:tcW w:w="7196" w:type="dxa"/>
            <w:gridSpan w:val="5"/>
          </w:tcPr>
          <w:p>
            <w:pPr>
              <w:pStyle w:val="yTableNAm"/>
              <w:rPr>
                <w:szCs w:val="22"/>
              </w:rPr>
            </w:pPr>
            <w:r>
              <w:rPr>
                <w:szCs w:val="22"/>
              </w:rPr>
              <w:t xml:space="preserve">Title (please tick) </w:t>
            </w:r>
            <w:r>
              <w:rPr>
                <w:rFonts w:cs="Arial"/>
                <w:szCs w:val="22"/>
              </w:rPr>
              <w:t xml:space="preserve"> </w:t>
            </w:r>
            <w:r>
              <w:rPr>
                <w:rFonts w:cs="Arial"/>
                <w:szCs w:val="22"/>
              </w:rPr>
              <w:sym w:font="Wingdings" w:char="F06F"/>
            </w:r>
            <w:r>
              <w:rPr>
                <w:rFonts w:cs="Arial"/>
                <w:szCs w:val="22"/>
              </w:rPr>
              <w:t xml:space="preserve"> Dr    </w:t>
            </w:r>
            <w:r>
              <w:rPr>
                <w:rFonts w:cs="Arial"/>
                <w:szCs w:val="22"/>
              </w:rPr>
              <w:sym w:font="Wingdings" w:char="F06F"/>
            </w:r>
            <w:r>
              <w:rPr>
                <w:rFonts w:cs="Arial"/>
                <w:szCs w:val="22"/>
              </w:rPr>
              <w:t xml:space="preserve"> Mr    </w:t>
            </w:r>
            <w:r>
              <w:rPr>
                <w:rFonts w:cs="Arial"/>
                <w:szCs w:val="22"/>
              </w:rPr>
              <w:sym w:font="Wingdings" w:char="F06F"/>
            </w:r>
            <w:r>
              <w:rPr>
                <w:rFonts w:cs="Arial"/>
                <w:szCs w:val="22"/>
              </w:rPr>
              <w:t xml:space="preserve">  Ms    </w:t>
            </w:r>
            <w:r>
              <w:rPr>
                <w:rFonts w:cs="Arial"/>
                <w:szCs w:val="22"/>
              </w:rPr>
              <w:sym w:font="Wingdings" w:char="F06F"/>
            </w:r>
            <w:r>
              <w:rPr>
                <w:rFonts w:cs="Arial"/>
                <w:szCs w:val="22"/>
              </w:rPr>
              <w:t xml:space="preserve"> Mrs    </w:t>
            </w:r>
            <w:r>
              <w:rPr>
                <w:rFonts w:cs="Arial"/>
                <w:szCs w:val="22"/>
              </w:rPr>
              <w:sym w:font="Wingdings" w:char="F06F"/>
            </w:r>
            <w:r>
              <w:rPr>
                <w:rFonts w:cs="Arial"/>
                <w:szCs w:val="22"/>
              </w:rPr>
              <w:t xml:space="preserve"> Miss    </w:t>
            </w:r>
            <w:r>
              <w:rPr>
                <w:rFonts w:cs="Arial"/>
                <w:szCs w:val="22"/>
              </w:rPr>
              <w:sym w:font="Wingdings" w:char="F06F"/>
            </w:r>
            <w:r>
              <w:rPr>
                <w:rFonts w:cs="Arial"/>
                <w:szCs w:val="22"/>
              </w:rPr>
              <w:t xml:space="preserve"> Other </w:t>
            </w:r>
          </w:p>
        </w:tc>
      </w:tr>
      <w:tr>
        <w:trPr>
          <w:jc w:val="center"/>
        </w:trPr>
        <w:tc>
          <w:tcPr>
            <w:tcW w:w="2235" w:type="dxa"/>
          </w:tcPr>
          <w:p>
            <w:pPr>
              <w:pStyle w:val="yTableNAm"/>
              <w:rPr>
                <w:szCs w:val="22"/>
              </w:rPr>
            </w:pPr>
            <w:r>
              <w:rPr>
                <w:szCs w:val="22"/>
              </w:rPr>
              <w:t>Family name</w:t>
            </w:r>
          </w:p>
        </w:tc>
        <w:tc>
          <w:tcPr>
            <w:tcW w:w="4961" w:type="dxa"/>
            <w:gridSpan w:val="4"/>
          </w:tcPr>
          <w:p>
            <w:pPr>
              <w:pStyle w:val="yTableNAm"/>
              <w:rPr>
                <w:szCs w:val="22"/>
              </w:rPr>
            </w:pPr>
          </w:p>
        </w:tc>
      </w:tr>
      <w:tr>
        <w:trPr>
          <w:jc w:val="center"/>
        </w:trPr>
        <w:tc>
          <w:tcPr>
            <w:tcW w:w="2235" w:type="dxa"/>
          </w:tcPr>
          <w:p>
            <w:pPr>
              <w:pStyle w:val="yTableNAm"/>
              <w:rPr>
                <w:szCs w:val="22"/>
              </w:rPr>
            </w:pPr>
            <w:r>
              <w:rPr>
                <w:szCs w:val="22"/>
              </w:rPr>
              <w:t>Given name</w:t>
            </w:r>
          </w:p>
        </w:tc>
        <w:tc>
          <w:tcPr>
            <w:tcW w:w="2268" w:type="dxa"/>
            <w:gridSpan w:val="2"/>
          </w:tcPr>
          <w:p>
            <w:pPr>
              <w:pStyle w:val="yTableNAm"/>
              <w:rPr>
                <w:szCs w:val="22"/>
              </w:rPr>
            </w:pPr>
          </w:p>
        </w:tc>
        <w:tc>
          <w:tcPr>
            <w:tcW w:w="2693" w:type="dxa"/>
            <w:gridSpan w:val="2"/>
          </w:tcPr>
          <w:p>
            <w:pPr>
              <w:pStyle w:val="yTableNAm"/>
              <w:rPr>
                <w:szCs w:val="22"/>
              </w:rPr>
            </w:pPr>
            <w:r>
              <w:rPr>
                <w:szCs w:val="22"/>
              </w:rPr>
              <w:t>Other name(s)</w:t>
            </w:r>
          </w:p>
        </w:tc>
      </w:tr>
      <w:tr>
        <w:trPr>
          <w:jc w:val="center"/>
        </w:trPr>
        <w:tc>
          <w:tcPr>
            <w:tcW w:w="2235" w:type="dxa"/>
          </w:tcPr>
          <w:p>
            <w:pPr>
              <w:pStyle w:val="yTableNAm"/>
              <w:rPr>
                <w:szCs w:val="22"/>
              </w:rPr>
            </w:pPr>
            <w:r>
              <w:rPr>
                <w:szCs w:val="22"/>
              </w:rPr>
              <w:t>Date of birth</w:t>
            </w:r>
          </w:p>
        </w:tc>
        <w:tc>
          <w:tcPr>
            <w:tcW w:w="4961" w:type="dxa"/>
            <w:gridSpan w:val="4"/>
          </w:tcPr>
          <w:p>
            <w:pPr>
              <w:pStyle w:val="yTableNAm"/>
              <w:rPr>
                <w:szCs w:val="22"/>
              </w:rPr>
            </w:pP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Borders>
              <w:bottom w:val="single" w:sz="4" w:space="0" w:color="auto"/>
            </w:tcBorders>
          </w:tcPr>
          <w:p>
            <w:pPr>
              <w:pStyle w:val="yTableNAm"/>
              <w:rPr>
                <w:b/>
                <w:szCs w:val="22"/>
              </w:rPr>
            </w:pPr>
            <w:r>
              <w:rPr>
                <w:b/>
                <w:szCs w:val="22"/>
              </w:rPr>
              <w:t>PRIMARY APPLICANT</w:t>
            </w:r>
          </w:p>
        </w:tc>
      </w:tr>
      <w:tr>
        <w:trPr>
          <w:jc w:val="center"/>
        </w:trPr>
        <w:tc>
          <w:tcPr>
            <w:tcW w:w="7196" w:type="dxa"/>
            <w:gridSpan w:val="5"/>
            <w:tcBorders>
              <w:bottom w:val="single" w:sz="4" w:space="0" w:color="auto"/>
            </w:tcBorders>
          </w:tcPr>
          <w:p>
            <w:pPr>
              <w:pStyle w:val="yTableNAm"/>
            </w:pPr>
            <w:r>
              <w:rPr>
                <w:b/>
                <w:szCs w:val="22"/>
              </w:rPr>
              <w:t>Employer Details</w:t>
            </w:r>
          </w:p>
        </w:tc>
      </w:tr>
      <w:tr>
        <w:trPr>
          <w:jc w:val="center"/>
        </w:trPr>
        <w:tc>
          <w:tcPr>
            <w:tcW w:w="2235" w:type="dxa"/>
          </w:tcPr>
          <w:p>
            <w:pPr>
              <w:pStyle w:val="yTableNAm"/>
            </w:pPr>
            <w:r>
              <w:t>Name of employer</w:t>
            </w:r>
          </w:p>
          <w:p>
            <w:pPr>
              <w:pStyle w:val="yTableNAm"/>
              <w:rPr>
                <w:sz w:val="18"/>
                <w:szCs w:val="18"/>
              </w:rPr>
            </w:pPr>
            <w:r>
              <w:rPr>
                <w:sz w:val="18"/>
                <w:szCs w:val="18"/>
              </w:rPr>
              <w:t>e.g. Department of Education; governing body of named non</w:t>
            </w:r>
            <w:r>
              <w:rPr>
                <w:sz w:val="18"/>
                <w:szCs w:val="18"/>
              </w:rPr>
              <w:noBreakHyphen/>
              <w:t>government school</w:t>
            </w:r>
          </w:p>
        </w:tc>
        <w:tc>
          <w:tcPr>
            <w:tcW w:w="4961" w:type="dxa"/>
            <w:gridSpan w:val="4"/>
          </w:tcPr>
          <w:p>
            <w:pPr>
              <w:pStyle w:val="yTableNAm"/>
            </w:pPr>
          </w:p>
        </w:tc>
      </w:tr>
      <w:tr>
        <w:trPr>
          <w:trHeight w:val="255"/>
          <w:jc w:val="center"/>
        </w:trPr>
        <w:tc>
          <w:tcPr>
            <w:tcW w:w="2235" w:type="dxa"/>
            <w:vMerge w:val="restart"/>
          </w:tcPr>
          <w:p>
            <w:pPr>
              <w:pStyle w:val="yTableNAm"/>
            </w:pPr>
            <w:r>
              <w:t>Employer’s postal address</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Details</w:t>
            </w:r>
            <w:r>
              <w:rPr>
                <w:szCs w:val="22"/>
              </w:rPr>
              <w:t xml:space="preserve"> </w:t>
            </w:r>
            <w:r>
              <w:rPr>
                <w:sz w:val="20"/>
              </w:rPr>
              <w:t>(any other delegates to sign over the page)</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p>
            <w:pPr>
              <w:pStyle w:val="yTableNAm"/>
              <w:rPr>
                <w:sz w:val="18"/>
                <w:szCs w:val="18"/>
              </w:rPr>
            </w:pPr>
            <w:r>
              <w:rPr>
                <w:sz w:val="18"/>
                <w:szCs w:val="18"/>
              </w:rPr>
              <w:t>e.g. principal; nominated supervisor</w:t>
            </w:r>
          </w:p>
        </w:tc>
        <w:tc>
          <w:tcPr>
            <w:tcW w:w="4253" w:type="dxa"/>
            <w:gridSpan w:val="3"/>
          </w:tcPr>
          <w:p>
            <w:pPr>
              <w:pStyle w:val="yTableNAm"/>
              <w:rPr>
                <w:szCs w:val="22"/>
              </w:rPr>
            </w:pPr>
          </w:p>
        </w:tc>
      </w:tr>
      <w:tr>
        <w:trPr>
          <w:jc w:val="center"/>
        </w:trPr>
        <w:tc>
          <w:tcPr>
            <w:tcW w:w="2943" w:type="dxa"/>
            <w:gridSpan w:val="2"/>
          </w:tcPr>
          <w:p>
            <w:pPr>
              <w:pStyle w:val="yTableNAm"/>
              <w:keepNext/>
              <w:rPr>
                <w:szCs w:val="22"/>
              </w:rPr>
            </w:pPr>
            <w:r>
              <w:rPr>
                <w:szCs w:val="22"/>
              </w:rPr>
              <w:t>Email address</w:t>
            </w:r>
          </w:p>
        </w:tc>
        <w:tc>
          <w:tcPr>
            <w:tcW w:w="4253" w:type="dxa"/>
            <w:gridSpan w:val="3"/>
          </w:tcPr>
          <w:p>
            <w:pPr>
              <w:pStyle w:val="yTableNAm"/>
              <w:keepNext/>
              <w:rPr>
                <w:szCs w:val="22"/>
              </w:rPr>
            </w:pPr>
          </w:p>
        </w:tc>
      </w:tr>
      <w:tr>
        <w:trPr>
          <w:jc w:val="center"/>
        </w:trPr>
        <w:tc>
          <w:tcPr>
            <w:tcW w:w="2943" w:type="dxa"/>
            <w:gridSpan w:val="2"/>
          </w:tcPr>
          <w:p>
            <w:pPr>
              <w:pStyle w:val="yTableNAm"/>
              <w:keepNext/>
              <w:rPr>
                <w:szCs w:val="22"/>
              </w:rPr>
            </w:pPr>
            <w:r>
              <w:rPr>
                <w:szCs w:val="22"/>
              </w:rPr>
              <w:t>Telephone</w:t>
            </w:r>
          </w:p>
        </w:tc>
        <w:tc>
          <w:tcPr>
            <w:tcW w:w="1701" w:type="dxa"/>
            <w:gridSpan w:val="2"/>
          </w:tcPr>
          <w:p>
            <w:pPr>
              <w:pStyle w:val="yTableNAm"/>
              <w:keepNext/>
              <w:rPr>
                <w:szCs w:val="22"/>
              </w:rPr>
            </w:pPr>
            <w:r>
              <w:rPr>
                <w:szCs w:val="22"/>
              </w:rPr>
              <w:t>Work</w:t>
            </w:r>
          </w:p>
        </w:tc>
        <w:tc>
          <w:tcPr>
            <w:tcW w:w="2552" w:type="dxa"/>
          </w:tcPr>
          <w:p>
            <w:pPr>
              <w:pStyle w:val="yTableNAm"/>
              <w:keepNext/>
              <w:rPr>
                <w:szCs w:val="22"/>
              </w:rPr>
            </w:pPr>
            <w:smartTag w:uri="urn:schemas-microsoft-com:office:smarttags" w:element="place">
              <w:smartTag w:uri="urn:schemas-microsoft-com:office:smarttags" w:element="City">
                <w:r>
                  <w:rPr>
                    <w:szCs w:val="22"/>
                  </w:rPr>
                  <w:t>Mobile</w:t>
                </w:r>
              </w:smartTag>
            </w:smartTag>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pPr>
            <w:r>
              <w:rPr>
                <w:b/>
                <w:szCs w:val="22"/>
              </w:rPr>
              <w:t>Educational Venue</w:t>
            </w:r>
            <w:r>
              <w:t xml:space="preserve"> </w:t>
            </w:r>
          </w:p>
        </w:tc>
      </w:tr>
      <w:tr>
        <w:trPr>
          <w:jc w:val="center"/>
        </w:trPr>
        <w:tc>
          <w:tcPr>
            <w:tcW w:w="7196" w:type="dxa"/>
            <w:gridSpan w:val="5"/>
          </w:tcPr>
          <w:p>
            <w:pPr>
              <w:pStyle w:val="yTableNAm"/>
              <w:rPr>
                <w:szCs w:val="22"/>
              </w:rPr>
            </w:pPr>
            <w:r>
              <w:rPr>
                <w:szCs w:val="22"/>
              </w:rPr>
              <w:t>Please provide details of the school or centre where the nominee is to be employed</w:t>
            </w:r>
          </w:p>
        </w:tc>
      </w:tr>
      <w:tr>
        <w:trPr>
          <w:jc w:val="center"/>
        </w:trPr>
        <w:tc>
          <w:tcPr>
            <w:tcW w:w="2235" w:type="dxa"/>
          </w:tcPr>
          <w:p>
            <w:pPr>
              <w:pStyle w:val="yTableNAm"/>
              <w:rPr>
                <w:szCs w:val="22"/>
              </w:rPr>
            </w:pPr>
            <w:r>
              <w:rPr>
                <w:szCs w:val="22"/>
              </w:rPr>
              <w:t>Name of venue</w:t>
            </w:r>
          </w:p>
          <w:p>
            <w:pPr>
              <w:pStyle w:val="yTableNAm"/>
              <w:rPr>
                <w:sz w:val="18"/>
                <w:szCs w:val="18"/>
              </w:rPr>
            </w:pPr>
            <w:r>
              <w:rPr>
                <w:sz w:val="18"/>
                <w:szCs w:val="18"/>
              </w:rPr>
              <w:t>e.g. school/centre</w:t>
            </w:r>
          </w:p>
        </w:tc>
        <w:tc>
          <w:tcPr>
            <w:tcW w:w="4961" w:type="dxa"/>
            <w:gridSpan w:val="4"/>
          </w:tcPr>
          <w:p>
            <w:pPr>
              <w:pStyle w:val="yTableNAm"/>
            </w:pPr>
          </w:p>
        </w:tc>
      </w:tr>
      <w:tr>
        <w:trPr>
          <w:trHeight w:val="255"/>
          <w:jc w:val="center"/>
        </w:trPr>
        <w:tc>
          <w:tcPr>
            <w:tcW w:w="2235" w:type="dxa"/>
            <w:vMerge w:val="restart"/>
          </w:tcPr>
          <w:p>
            <w:pPr>
              <w:pStyle w:val="yTableNAm"/>
              <w:rPr>
                <w:szCs w:val="22"/>
              </w:rPr>
            </w:pPr>
            <w:r>
              <w:rPr>
                <w:szCs w:val="22"/>
              </w:rPr>
              <w:t>Postal address of venue</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55"/>
              </w:tabs>
              <w:rPr>
                <w:szCs w:val="22"/>
              </w:rPr>
            </w:pPr>
            <w:r>
              <w:rPr>
                <w:szCs w:val="22"/>
              </w:rPr>
              <w:tab/>
              <w:t>Postcode</w:t>
            </w:r>
          </w:p>
        </w:tc>
      </w:tr>
      <w:tr>
        <w:trPr>
          <w:trHeight w:val="255"/>
          <w:jc w:val="center"/>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rPr>
          <w:trHeight w:val="255"/>
          <w:jc w:val="center"/>
        </w:trPr>
        <w:tc>
          <w:tcPr>
            <w:tcW w:w="7196" w:type="dxa"/>
            <w:gridSpan w:val="5"/>
            <w:tcBorders>
              <w:left w:val="nil"/>
              <w:bottom w:val="single" w:sz="4" w:space="0" w:color="auto"/>
              <w:right w:val="nil"/>
            </w:tcBorders>
          </w:tcPr>
          <w:p>
            <w:pPr>
              <w:pStyle w:val="yTableNAm"/>
              <w:rPr>
                <w:szCs w:val="22"/>
              </w:rPr>
            </w:pPr>
          </w:p>
        </w:tc>
      </w:tr>
      <w:tr>
        <w:trPr>
          <w:trHeight w:val="255"/>
          <w:jc w:val="center"/>
        </w:trPr>
        <w:tc>
          <w:tcPr>
            <w:tcW w:w="7196" w:type="dxa"/>
            <w:gridSpan w:val="5"/>
            <w:tcBorders>
              <w:left w:val="single" w:sz="4" w:space="0" w:color="auto"/>
              <w:right w:val="single" w:sz="4" w:space="0" w:color="auto"/>
            </w:tcBorders>
          </w:tcPr>
          <w:p>
            <w:pPr>
              <w:pStyle w:val="yTableNAm"/>
              <w:rPr>
                <w:szCs w:val="22"/>
              </w:rPr>
            </w:pPr>
            <w:r>
              <w:rPr>
                <w:b/>
                <w:szCs w:val="22"/>
              </w:rPr>
              <w:t>ADDITIONAL APPLICANTS</w:t>
            </w:r>
            <w:r>
              <w:rPr>
                <w:szCs w:val="22"/>
              </w:rPr>
              <w:t xml:space="preserve"> (if any)</w:t>
            </w:r>
          </w:p>
        </w:tc>
      </w:tr>
      <w:tr>
        <w:trPr>
          <w:jc w:val="center"/>
        </w:trPr>
        <w:tc>
          <w:tcPr>
            <w:tcW w:w="7196" w:type="dxa"/>
            <w:gridSpan w:val="5"/>
          </w:tcPr>
          <w:p>
            <w:pPr>
              <w:pStyle w:val="yTableNAm"/>
              <w:rPr>
                <w:szCs w:val="22"/>
              </w:rPr>
            </w:pPr>
            <w:r>
              <w:rPr>
                <w:b/>
                <w:szCs w:val="22"/>
              </w:rPr>
              <w:t xml:space="preserve">Employer 2 Details </w:t>
            </w:r>
            <w:r>
              <w:rPr>
                <w:sz w:val="20"/>
              </w:rPr>
              <w:t>(only required if a second employer jointly applies)</w:t>
            </w:r>
          </w:p>
        </w:tc>
      </w:tr>
      <w:tr>
        <w:trPr>
          <w:jc w:val="center"/>
        </w:trP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jc w:val="center"/>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jc w:val="center"/>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at Venue 2 Details</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smartTag w:uri="urn:schemas-microsoft-com:office:smarttags" w:element="place">
              <w:smartTag w:uri="urn:schemas-microsoft-com:office:smarttags" w:element="City">
                <w:r>
                  <w:rPr>
                    <w:szCs w:val="22"/>
                  </w:rPr>
                  <w:t>Mobile</w:t>
                </w:r>
              </w:smartTag>
            </w:smartTag>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keepNext/>
              <w:spacing w:before="90"/>
              <w:rPr>
                <w:szCs w:val="22"/>
              </w:rPr>
            </w:pPr>
            <w:r>
              <w:rPr>
                <w:b/>
                <w:szCs w:val="22"/>
              </w:rPr>
              <w:t>Educational Venue</w:t>
            </w:r>
            <w:r>
              <w:rPr>
                <w:szCs w:val="22"/>
              </w:rPr>
              <w:t xml:space="preserve"> </w:t>
            </w:r>
            <w:r>
              <w:rPr>
                <w:b/>
                <w:szCs w:val="22"/>
              </w:rPr>
              <w:t>2</w:t>
            </w:r>
            <w:r>
              <w:rPr>
                <w:szCs w:val="22"/>
              </w:rPr>
              <w:t xml:space="preserve"> </w:t>
            </w:r>
          </w:p>
        </w:tc>
      </w:tr>
      <w:tr>
        <w:trPr>
          <w:jc w:val="center"/>
        </w:trPr>
        <w:tc>
          <w:tcPr>
            <w:tcW w:w="7196" w:type="dxa"/>
            <w:gridSpan w:val="5"/>
          </w:tcPr>
          <w:p>
            <w:pPr>
              <w:pStyle w:val="yTableNAm"/>
              <w:spacing w:before="90"/>
              <w:rPr>
                <w:szCs w:val="22"/>
              </w:rPr>
            </w:pPr>
            <w:r>
              <w:rPr>
                <w:szCs w:val="22"/>
              </w:rPr>
              <w:t>Please provide details of the second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2</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Borders>
              <w:bottom w:val="single" w:sz="4" w:space="0" w:color="auto"/>
            </w:tcBorders>
          </w:tcPr>
          <w:p>
            <w:pPr>
              <w:pStyle w:val="yTableNAm"/>
              <w:spacing w:before="90"/>
              <w:rPr>
                <w:szCs w:val="22"/>
              </w:rPr>
            </w:pPr>
            <w:r>
              <w:rPr>
                <w:szCs w:val="22"/>
              </w:rPr>
              <w:t>Date of commencement of employment</w:t>
            </w:r>
          </w:p>
        </w:tc>
        <w:tc>
          <w:tcPr>
            <w:tcW w:w="4961" w:type="dxa"/>
            <w:gridSpan w:val="4"/>
            <w:tcBorders>
              <w:bottom w:val="single" w:sz="4" w:space="0" w:color="auto"/>
            </w:tcBorders>
          </w:tcPr>
          <w:p>
            <w:pPr>
              <w:pStyle w:val="yTableNAm"/>
              <w:spacing w:before="90"/>
              <w:rPr>
                <w:szCs w:val="22"/>
              </w:rPr>
            </w:pPr>
          </w:p>
        </w:tc>
      </w:tr>
      <w:tr>
        <w:trPr>
          <w:jc w:val="center"/>
        </w:trPr>
        <w:tc>
          <w:tcPr>
            <w:tcW w:w="7196" w:type="dxa"/>
            <w:gridSpan w:val="5"/>
            <w:tcBorders>
              <w:left w:val="nil"/>
              <w:right w:val="nil"/>
            </w:tcBorders>
          </w:tcPr>
          <w:p>
            <w:pPr>
              <w:pStyle w:val="yTableNAm"/>
              <w:spacing w:before="90"/>
              <w:rPr>
                <w:b/>
                <w:szCs w:val="22"/>
              </w:rPr>
            </w:pPr>
          </w:p>
        </w:tc>
      </w:tr>
      <w:tr>
        <w:trPr>
          <w:jc w:val="center"/>
        </w:trPr>
        <w:tc>
          <w:tcPr>
            <w:tcW w:w="7196" w:type="dxa"/>
            <w:gridSpan w:val="5"/>
          </w:tcPr>
          <w:p>
            <w:pPr>
              <w:pStyle w:val="yTableNAm"/>
              <w:spacing w:before="90"/>
              <w:rPr>
                <w:szCs w:val="22"/>
              </w:rPr>
            </w:pPr>
            <w:r>
              <w:rPr>
                <w:b/>
                <w:szCs w:val="22"/>
              </w:rPr>
              <w:t>Employer 3 Details</w:t>
            </w:r>
            <w:r>
              <w:rPr>
                <w:szCs w:val="22"/>
              </w:rPr>
              <w:t xml:space="preserve">  </w:t>
            </w:r>
            <w:r>
              <w:rPr>
                <w:sz w:val="20"/>
              </w:rPr>
              <w:t>(only required if a third employer jointly applies)</w:t>
            </w:r>
          </w:p>
        </w:tc>
      </w:tr>
      <w:tr>
        <w:trPr>
          <w:jc w:val="center"/>
        </w:trPr>
        <w:tc>
          <w:tcPr>
            <w:tcW w:w="2235" w:type="dxa"/>
          </w:tcPr>
          <w:p>
            <w:pPr>
              <w:pStyle w:val="yTableNAm"/>
              <w:spacing w:before="90"/>
              <w:rPr>
                <w:szCs w:val="22"/>
              </w:rPr>
            </w:pPr>
            <w:r>
              <w:rPr>
                <w:szCs w:val="22"/>
              </w:rPr>
              <w:t>Name of employer</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Employer’s postal address</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jc w:val="center"/>
        </w:trPr>
        <w:tc>
          <w:tcPr>
            <w:tcW w:w="7196" w:type="dxa"/>
            <w:gridSpan w:val="5"/>
          </w:tcPr>
          <w:p>
            <w:pPr>
              <w:pStyle w:val="yTableNAm"/>
              <w:spacing w:before="90"/>
              <w:rPr>
                <w:szCs w:val="22"/>
              </w:rPr>
            </w:pPr>
            <w:r>
              <w:rPr>
                <w:b/>
                <w:szCs w:val="22"/>
              </w:rPr>
              <w:t>Employer’s Delegate at Venue 3 Details</w:t>
            </w:r>
            <w:r>
              <w:rPr>
                <w:szCs w:val="22"/>
              </w:rPr>
              <w:t xml:space="preserve"> </w:t>
            </w:r>
          </w:p>
        </w:tc>
      </w:tr>
      <w:tr>
        <w:trPr>
          <w:jc w:val="center"/>
        </w:trPr>
        <w:tc>
          <w:tcPr>
            <w:tcW w:w="2943" w:type="dxa"/>
            <w:gridSpan w:val="2"/>
          </w:tcPr>
          <w:p>
            <w:pPr>
              <w:pStyle w:val="yTableNAm"/>
              <w:spacing w:before="90"/>
              <w:rPr>
                <w:szCs w:val="22"/>
              </w:rPr>
            </w:pPr>
            <w:r>
              <w:rPr>
                <w:szCs w:val="22"/>
              </w:rPr>
              <w:t>Name of employer’s delegate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 xml:space="preserve">Position at venue </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Email address</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Telephone</w:t>
            </w:r>
          </w:p>
        </w:tc>
        <w:tc>
          <w:tcPr>
            <w:tcW w:w="1701" w:type="dxa"/>
            <w:gridSpan w:val="2"/>
          </w:tcPr>
          <w:p>
            <w:pPr>
              <w:pStyle w:val="yTableNAm"/>
              <w:spacing w:before="90"/>
              <w:rPr>
                <w:szCs w:val="22"/>
              </w:rPr>
            </w:pPr>
            <w:r>
              <w:rPr>
                <w:szCs w:val="22"/>
              </w:rPr>
              <w:t>Work</w:t>
            </w:r>
          </w:p>
        </w:tc>
        <w:tc>
          <w:tcPr>
            <w:tcW w:w="2552" w:type="dxa"/>
          </w:tcPr>
          <w:p>
            <w:pPr>
              <w:pStyle w:val="yTableNAm"/>
              <w:spacing w:before="90"/>
              <w:rPr>
                <w:szCs w:val="22"/>
              </w:rPr>
            </w:pPr>
            <w:smartTag w:uri="urn:schemas-microsoft-com:office:smarttags" w:element="place">
              <w:smartTag w:uri="urn:schemas-microsoft-com:office:smarttags" w:element="City">
                <w:r>
                  <w:rPr>
                    <w:szCs w:val="22"/>
                  </w:rPr>
                  <w:t>Mobile</w:t>
                </w:r>
              </w:smartTag>
            </w:smartTag>
          </w:p>
        </w:tc>
      </w:tr>
      <w:tr>
        <w:trPr>
          <w:jc w:val="center"/>
        </w:trPr>
        <w:tc>
          <w:tcPr>
            <w:tcW w:w="2943" w:type="dxa"/>
            <w:gridSpan w:val="2"/>
          </w:tcPr>
          <w:p>
            <w:pPr>
              <w:pStyle w:val="yTableNAm"/>
              <w:spacing w:before="90"/>
              <w:rPr>
                <w:szCs w:val="22"/>
              </w:rPr>
            </w:pPr>
            <w:r>
              <w:rPr>
                <w:szCs w:val="22"/>
              </w:rPr>
              <w:t>Delegate’s signature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Date</w:t>
            </w:r>
          </w:p>
        </w:tc>
        <w:tc>
          <w:tcPr>
            <w:tcW w:w="4253" w:type="dxa"/>
            <w:gridSpan w:val="3"/>
          </w:tcPr>
          <w:p>
            <w:pPr>
              <w:pStyle w:val="yTableNAm"/>
              <w:spacing w:before="90"/>
              <w:rPr>
                <w:szCs w:val="22"/>
              </w:rPr>
            </w:pPr>
          </w:p>
        </w:tc>
      </w:tr>
      <w:tr>
        <w:trPr>
          <w:jc w:val="center"/>
        </w:trPr>
        <w:tc>
          <w:tcPr>
            <w:tcW w:w="7196" w:type="dxa"/>
            <w:gridSpan w:val="5"/>
          </w:tcPr>
          <w:p>
            <w:pPr>
              <w:pStyle w:val="yTableNAm"/>
              <w:spacing w:before="90"/>
              <w:rPr>
                <w:szCs w:val="22"/>
              </w:rPr>
            </w:pPr>
            <w:r>
              <w:rPr>
                <w:b/>
                <w:szCs w:val="22"/>
              </w:rPr>
              <w:t>Educational Venue</w:t>
            </w:r>
            <w:r>
              <w:rPr>
                <w:szCs w:val="22"/>
              </w:rPr>
              <w:t xml:space="preserve"> </w:t>
            </w:r>
            <w:r>
              <w:rPr>
                <w:b/>
                <w:szCs w:val="22"/>
              </w:rPr>
              <w:t>3</w:t>
            </w:r>
            <w:r>
              <w:rPr>
                <w:b/>
                <w:sz w:val="20"/>
              </w:rPr>
              <w:t xml:space="preserve"> </w:t>
            </w:r>
          </w:p>
        </w:tc>
      </w:tr>
      <w:tr>
        <w:trPr>
          <w:jc w:val="center"/>
        </w:trPr>
        <w:tc>
          <w:tcPr>
            <w:tcW w:w="7196" w:type="dxa"/>
            <w:gridSpan w:val="5"/>
          </w:tcPr>
          <w:p>
            <w:pPr>
              <w:pStyle w:val="yTableNAm"/>
              <w:spacing w:before="90"/>
              <w:rPr>
                <w:szCs w:val="22"/>
              </w:rPr>
            </w:pPr>
            <w:r>
              <w:rPr>
                <w:szCs w:val="22"/>
              </w:rPr>
              <w:t>Please provide details of the third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3</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Pr>
          <w:p>
            <w:pPr>
              <w:pStyle w:val="yTableNAm"/>
              <w:keepNext/>
              <w:spacing w:before="90"/>
              <w:rPr>
                <w:szCs w:val="22"/>
              </w:rPr>
            </w:pPr>
            <w:r>
              <w:rPr>
                <w:szCs w:val="22"/>
              </w:rPr>
              <w:t>Date of commencement of employment</w:t>
            </w:r>
          </w:p>
        </w:tc>
        <w:tc>
          <w:tcPr>
            <w:tcW w:w="4961" w:type="dxa"/>
            <w:gridSpan w:val="4"/>
          </w:tcPr>
          <w:p>
            <w:pPr>
              <w:pStyle w:val="yTableNAm"/>
              <w:keepNext/>
              <w:tabs>
                <w:tab w:val="clear" w:pos="567"/>
              </w:tabs>
              <w:spacing w:before="90"/>
              <w:rPr>
                <w:szCs w:val="22"/>
              </w:rPr>
            </w:pPr>
          </w:p>
        </w:tc>
      </w:tr>
    </w:tbl>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81" w:right="2410" w:bottom="3544" w:left="2410" w:header="720" w:footer="3379" w:gutter="0"/>
          <w:cols w:space="720"/>
          <w:noEndnote/>
          <w:docGrid w:linePitch="78"/>
        </w:sectPr>
      </w:pPr>
    </w:p>
    <w:p>
      <w:pPr>
        <w:pStyle w:val="nHeading2"/>
      </w:pPr>
      <w:bookmarkStart w:id="71" w:name="_Toc425858584"/>
      <w:bookmarkStart w:id="72" w:name="_Toc425858634"/>
      <w:bookmarkStart w:id="73" w:name="_Toc427230872"/>
      <w:r>
        <w:t>Notes</w:t>
      </w:r>
      <w:bookmarkEnd w:id="71"/>
      <w:bookmarkEnd w:id="72"/>
      <w:bookmarkEnd w:id="73"/>
    </w:p>
    <w:p>
      <w:pPr>
        <w:pStyle w:val="nSubsection"/>
      </w:pPr>
      <w:r>
        <w:rPr>
          <w:vertAlign w:val="superscript"/>
        </w:rPr>
        <w:t>1</w:t>
      </w:r>
      <w:r>
        <w:tab/>
        <w:t xml:space="preserve">This reprint is a compilation as at 7 August 2015 of the </w:t>
      </w:r>
      <w:r>
        <w:rPr>
          <w:i/>
          <w:noProof/>
        </w:rPr>
        <w:t>Teacher Registration (General) Regulations 2012</w:t>
      </w:r>
      <w:r>
        <w:t xml:space="preserve"> and includes the amendments made by the other written laws referred to in the following table.  The table also contains information about any reprint.</w:t>
      </w:r>
    </w:p>
    <w:p>
      <w:pPr>
        <w:pStyle w:val="nHeading3"/>
      </w:pPr>
      <w:bookmarkStart w:id="74" w:name="_Toc427230873"/>
      <w:r>
        <w:t>Compilation table</w:t>
      </w:r>
      <w:bookmarkEnd w:id="7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Teacher Registration (General) Regulations 2012</w:t>
            </w:r>
          </w:p>
        </w:tc>
        <w:tc>
          <w:tcPr>
            <w:tcW w:w="1276" w:type="dxa"/>
            <w:tcBorders>
              <w:top w:val="single" w:sz="8" w:space="0" w:color="auto"/>
              <w:bottom w:val="nil"/>
            </w:tcBorders>
          </w:tcPr>
          <w:p>
            <w:pPr>
              <w:pStyle w:val="nTable"/>
              <w:spacing w:after="40"/>
            </w:pPr>
            <w:r>
              <w:t>16 Nov 2012 p. 5571-609</w:t>
            </w:r>
          </w:p>
        </w:tc>
        <w:tc>
          <w:tcPr>
            <w:tcW w:w="2694" w:type="dxa"/>
            <w:tcBorders>
              <w:top w:val="single" w:sz="8" w:space="0" w:color="auto"/>
              <w:bottom w:val="nil"/>
            </w:tcBorders>
          </w:tcPr>
          <w:p>
            <w:pPr>
              <w:pStyle w:val="nTable"/>
              <w:spacing w:after="40"/>
              <w:rPr>
                <w:i/>
              </w:rPr>
            </w:pPr>
            <w:r>
              <w:rPr>
                <w:snapToGrid w:val="0"/>
              </w:rPr>
              <w:t xml:space="preserve">r. 1 and 2: </w:t>
            </w:r>
            <w:r>
              <w:t xml:space="preserve">16 Nov 2012 </w:t>
            </w:r>
            <w:r>
              <w:rPr>
                <w:snapToGrid w:val="0"/>
              </w:rPr>
              <w:t>(see r. 2(a));</w:t>
            </w:r>
            <w:r>
              <w:rPr>
                <w:snapToGrid w:val="0"/>
              </w:rPr>
              <w:br/>
              <w:t xml:space="preserve">Regulations other than r. 1 and 2: </w:t>
            </w:r>
            <w:r>
              <w:t xml:space="preserve">7 Dec 2012 </w:t>
            </w:r>
            <w:r>
              <w:rPr>
                <w:snapToGrid w:val="0"/>
              </w:rPr>
              <w:t xml:space="preserve">(see r. 2(b) and </w:t>
            </w:r>
            <w:r>
              <w:rPr>
                <w:i/>
                <w:snapToGrid w:val="0"/>
              </w:rPr>
              <w:t xml:space="preserve">Gazette </w:t>
            </w:r>
            <w:r>
              <w:rPr>
                <w:snapToGrid w:val="0"/>
              </w:rPr>
              <w:t>16 Nov 2012 p. 5637)</w:t>
            </w:r>
          </w:p>
        </w:tc>
      </w:tr>
      <w:tr>
        <w:tc>
          <w:tcPr>
            <w:tcW w:w="3118" w:type="dxa"/>
            <w:tcBorders>
              <w:top w:val="nil"/>
              <w:bottom w:val="nil"/>
            </w:tcBorders>
          </w:tcPr>
          <w:p>
            <w:pPr>
              <w:pStyle w:val="nTable"/>
              <w:spacing w:after="40"/>
              <w:rPr>
                <w:i/>
              </w:rPr>
            </w:pPr>
            <w:r>
              <w:rPr>
                <w:i/>
              </w:rPr>
              <w:t>Teacher Registration (General) Amendment Regulations 2013</w:t>
            </w:r>
          </w:p>
        </w:tc>
        <w:tc>
          <w:tcPr>
            <w:tcW w:w="1276" w:type="dxa"/>
            <w:tcBorders>
              <w:top w:val="nil"/>
              <w:bottom w:val="nil"/>
            </w:tcBorders>
          </w:tcPr>
          <w:p>
            <w:pPr>
              <w:pStyle w:val="nTable"/>
              <w:spacing w:after="40"/>
            </w:pPr>
            <w:r>
              <w:t>7 May 2013 p. 1903-4</w:t>
            </w:r>
          </w:p>
        </w:tc>
        <w:tc>
          <w:tcPr>
            <w:tcW w:w="2694" w:type="dxa"/>
            <w:tcBorders>
              <w:top w:val="nil"/>
              <w:bottom w:val="nil"/>
            </w:tcBorders>
          </w:tcPr>
          <w:p>
            <w:pPr>
              <w:pStyle w:val="nTable"/>
              <w:spacing w:after="40"/>
              <w:rPr>
                <w:snapToGrid w:val="0"/>
                <w:spacing w:val="-2"/>
              </w:rPr>
            </w:pPr>
            <w:r>
              <w:t xml:space="preserve">7 May 2013 </w:t>
            </w:r>
            <w:r>
              <w:rPr>
                <w:snapToGrid w:val="0"/>
              </w:rPr>
              <w:t>(see note under r. 1)</w:t>
            </w:r>
          </w:p>
        </w:tc>
      </w:tr>
      <w:tr>
        <w:tc>
          <w:tcPr>
            <w:tcW w:w="3118" w:type="dxa"/>
            <w:tcBorders>
              <w:top w:val="nil"/>
              <w:bottom w:val="nil"/>
            </w:tcBorders>
          </w:tcPr>
          <w:p>
            <w:pPr>
              <w:pStyle w:val="nTable"/>
              <w:spacing w:after="40"/>
              <w:rPr>
                <w:i/>
              </w:rPr>
            </w:pPr>
            <w:r>
              <w:rPr>
                <w:i/>
              </w:rPr>
              <w:t>Teacher Registration (General) Amendment Regulations (No. 2) 2013</w:t>
            </w:r>
          </w:p>
        </w:tc>
        <w:tc>
          <w:tcPr>
            <w:tcW w:w="1276" w:type="dxa"/>
            <w:tcBorders>
              <w:top w:val="nil"/>
              <w:bottom w:val="nil"/>
            </w:tcBorders>
          </w:tcPr>
          <w:p>
            <w:pPr>
              <w:pStyle w:val="nTable"/>
              <w:spacing w:after="40"/>
            </w:pPr>
            <w:r>
              <w:t>13 Aug 2013 p. 3733-6</w:t>
            </w:r>
          </w:p>
        </w:tc>
        <w:tc>
          <w:tcPr>
            <w:tcW w:w="2694" w:type="dxa"/>
            <w:tcBorders>
              <w:top w:val="nil"/>
              <w:bottom w:val="nil"/>
            </w:tcBorders>
          </w:tcPr>
          <w:p>
            <w:pPr>
              <w:pStyle w:val="nTable"/>
              <w:spacing w:after="40"/>
            </w:pPr>
            <w:r>
              <w:t>r. 1 and 2: 13 Aug 2013 (see r. 2(a));</w:t>
            </w:r>
            <w:r>
              <w:br/>
              <w:t>Regulations other than r. 1 and 2: 14 Aug 2013 (see r. 2(b))</w:t>
            </w:r>
          </w:p>
        </w:tc>
      </w:tr>
      <w:tr>
        <w:tc>
          <w:tcPr>
            <w:tcW w:w="3118" w:type="dxa"/>
            <w:tcBorders>
              <w:top w:val="nil"/>
              <w:bottom w:val="nil"/>
            </w:tcBorders>
          </w:tcPr>
          <w:p>
            <w:pPr>
              <w:pStyle w:val="nTable"/>
              <w:spacing w:after="40"/>
              <w:rPr>
                <w:i/>
              </w:rPr>
            </w:pPr>
            <w:r>
              <w:rPr>
                <w:i/>
              </w:rPr>
              <w:t>Teacher Registration (General) Amendment Regulations 2014</w:t>
            </w:r>
          </w:p>
        </w:tc>
        <w:tc>
          <w:tcPr>
            <w:tcW w:w="1276" w:type="dxa"/>
            <w:tcBorders>
              <w:top w:val="nil"/>
              <w:bottom w:val="nil"/>
            </w:tcBorders>
          </w:tcPr>
          <w:p>
            <w:pPr>
              <w:pStyle w:val="nTable"/>
              <w:spacing w:after="40"/>
            </w:pPr>
            <w:r>
              <w:t>28 Jan 2014 p. 177-9</w:t>
            </w:r>
          </w:p>
        </w:tc>
        <w:tc>
          <w:tcPr>
            <w:tcW w:w="2694" w:type="dxa"/>
            <w:tcBorders>
              <w:top w:val="nil"/>
              <w:bottom w:val="nil"/>
            </w:tcBorders>
          </w:tcPr>
          <w:p>
            <w:pPr>
              <w:pStyle w:val="nTable"/>
              <w:spacing w:after="40"/>
            </w:pPr>
            <w:r>
              <w:t>r. 1 and 2: 28 Jan 2014 (see r. 2(a));</w:t>
            </w:r>
            <w:r>
              <w:br/>
              <w:t>Regulations other than r. 1 and 2: 10 Feb 2014 (see r. 2(b))</w:t>
            </w:r>
          </w:p>
        </w:tc>
      </w:tr>
      <w:tr>
        <w:tc>
          <w:tcPr>
            <w:tcW w:w="3118" w:type="dxa"/>
            <w:tcBorders>
              <w:top w:val="nil"/>
              <w:bottom w:val="nil"/>
            </w:tcBorders>
          </w:tcPr>
          <w:p>
            <w:pPr>
              <w:pStyle w:val="nTable"/>
              <w:spacing w:after="40"/>
              <w:rPr>
                <w:i/>
              </w:rPr>
            </w:pPr>
            <w:r>
              <w:rPr>
                <w:i/>
                <w:snapToGrid w:val="0"/>
              </w:rPr>
              <w:t>Teacher Registration (General) Amendment Regulations (No. 3) 2014</w:t>
            </w:r>
            <w:r>
              <w:rPr>
                <w:snapToGrid w:val="0"/>
                <w:vertAlign w:val="superscript"/>
              </w:rPr>
              <w:t xml:space="preserve"> </w:t>
            </w:r>
          </w:p>
        </w:tc>
        <w:tc>
          <w:tcPr>
            <w:tcW w:w="1276" w:type="dxa"/>
            <w:tcBorders>
              <w:top w:val="nil"/>
              <w:bottom w:val="nil"/>
            </w:tcBorders>
          </w:tcPr>
          <w:p>
            <w:pPr>
              <w:pStyle w:val="nTable"/>
              <w:spacing w:after="40"/>
            </w:pPr>
            <w:r>
              <w:t>1 Jul 2014 p. 2339</w:t>
            </w:r>
            <w:r>
              <w:noBreakHyphen/>
              <w:t>40</w:t>
            </w:r>
          </w:p>
        </w:tc>
        <w:tc>
          <w:tcPr>
            <w:tcW w:w="2694" w:type="dxa"/>
            <w:tcBorders>
              <w:top w:val="nil"/>
              <w:bottom w:val="nil"/>
            </w:tcBorders>
          </w:tcPr>
          <w:p>
            <w:pPr>
              <w:pStyle w:val="nTable"/>
              <w:spacing w:after="40"/>
            </w:pPr>
            <w:r>
              <w:t>r. 1 and 2: 1 Jul 2014 (see r. 2(a));</w:t>
            </w:r>
            <w:r>
              <w:br/>
              <w:t>Regulations other than r. 1 and 2: 21 Jul 2014 (see r. 2(b))</w:t>
            </w:r>
          </w:p>
        </w:tc>
      </w:tr>
      <w:tr>
        <w:tc>
          <w:tcPr>
            <w:tcW w:w="3118" w:type="dxa"/>
            <w:tcBorders>
              <w:top w:val="nil"/>
              <w:bottom w:val="nil"/>
            </w:tcBorders>
            <w:shd w:val="clear" w:color="auto" w:fill="auto"/>
          </w:tcPr>
          <w:p>
            <w:pPr>
              <w:pStyle w:val="nTable"/>
              <w:spacing w:after="40"/>
              <w:rPr>
                <w:i/>
                <w:snapToGrid w:val="0"/>
              </w:rPr>
            </w:pPr>
            <w:r>
              <w:rPr>
                <w:i/>
                <w:snapToGrid w:val="0"/>
              </w:rPr>
              <w:t>Teacher Registration (General) Amendment Regulations 2015</w:t>
            </w:r>
          </w:p>
        </w:tc>
        <w:tc>
          <w:tcPr>
            <w:tcW w:w="1276" w:type="dxa"/>
            <w:tcBorders>
              <w:top w:val="nil"/>
              <w:bottom w:val="nil"/>
            </w:tcBorders>
            <w:shd w:val="clear" w:color="auto" w:fill="auto"/>
          </w:tcPr>
          <w:p>
            <w:pPr>
              <w:pStyle w:val="nTable"/>
              <w:spacing w:after="40"/>
            </w:pPr>
            <w:r>
              <w:t>13 Mar 2015 p. 849</w:t>
            </w:r>
          </w:p>
        </w:tc>
        <w:tc>
          <w:tcPr>
            <w:tcW w:w="2694" w:type="dxa"/>
            <w:tcBorders>
              <w:top w:val="nil"/>
              <w:bottom w:val="nil"/>
            </w:tcBorders>
            <w:shd w:val="clear" w:color="auto" w:fill="auto"/>
          </w:tcPr>
          <w:p>
            <w:pPr>
              <w:pStyle w:val="nTable"/>
              <w:spacing w:after="40"/>
            </w:pPr>
            <w:r>
              <w:rPr>
                <w:snapToGrid w:val="0"/>
              </w:rPr>
              <w:t>r. 1 and 2: 13 Mar 2015 (see r. 2(a));</w:t>
            </w:r>
            <w:r>
              <w:rPr>
                <w:snapToGrid w:val="0"/>
              </w:rPr>
              <w:br/>
              <w:t>Regulations other than r. 1 and 2: 14 Mar 2015 (see r. 2(b))</w:t>
            </w:r>
          </w:p>
        </w:tc>
      </w:tr>
      <w:tr>
        <w:tc>
          <w:tcPr>
            <w:tcW w:w="3118" w:type="dxa"/>
            <w:tcBorders>
              <w:top w:val="nil"/>
              <w:bottom w:val="nil"/>
            </w:tcBorders>
            <w:shd w:val="clear" w:color="auto" w:fill="auto"/>
          </w:tcPr>
          <w:p>
            <w:pPr>
              <w:pStyle w:val="nTable"/>
              <w:spacing w:after="40"/>
              <w:rPr>
                <w:i/>
                <w:snapToGrid w:val="0"/>
              </w:rPr>
            </w:pPr>
            <w:r>
              <w:rPr>
                <w:i/>
              </w:rPr>
              <w:t>Teacher Registration (General) Amendment Regulations (No. 2) 2015</w:t>
            </w:r>
          </w:p>
        </w:tc>
        <w:tc>
          <w:tcPr>
            <w:tcW w:w="1276" w:type="dxa"/>
            <w:tcBorders>
              <w:top w:val="nil"/>
              <w:bottom w:val="nil"/>
            </w:tcBorders>
            <w:shd w:val="clear" w:color="auto" w:fill="auto"/>
          </w:tcPr>
          <w:p>
            <w:pPr>
              <w:pStyle w:val="nTable"/>
              <w:spacing w:after="40"/>
            </w:pPr>
            <w:r>
              <w:t>12 Jun 2015 p. 2024</w:t>
            </w:r>
            <w:r>
              <w:noBreakHyphen/>
              <w:t>5</w:t>
            </w:r>
          </w:p>
        </w:tc>
        <w:tc>
          <w:tcPr>
            <w:tcW w:w="2694" w:type="dxa"/>
            <w:tcBorders>
              <w:top w:val="nil"/>
              <w:bottom w:val="nil"/>
            </w:tcBorders>
            <w:shd w:val="clear" w:color="auto" w:fill="auto"/>
          </w:tcPr>
          <w:p>
            <w:pPr>
              <w:pStyle w:val="nTable"/>
              <w:spacing w:after="40"/>
              <w:rPr>
                <w:snapToGrid w:val="0"/>
              </w:rPr>
            </w:pPr>
            <w:r>
              <w:rPr>
                <w:snapToGrid w:val="0"/>
              </w:rPr>
              <w:t xml:space="preserve">r. 1 and 2: </w:t>
            </w:r>
            <w:r>
              <w:t>12 Jun 2015</w:t>
            </w:r>
            <w:r>
              <w:rPr>
                <w:snapToGrid w:val="0"/>
              </w:rPr>
              <w:t xml:space="preserve"> (see r. 2(a));</w:t>
            </w:r>
            <w:r>
              <w:rPr>
                <w:snapToGrid w:val="0"/>
              </w:rPr>
              <w:br/>
              <w:t>Regulations other than r. 1 and 2: 1 Jul 2015 (see r. 2(b))</w:t>
            </w:r>
          </w:p>
        </w:tc>
      </w:tr>
      <w:tr>
        <w:tc>
          <w:tcPr>
            <w:tcW w:w="7088" w:type="dxa"/>
            <w:gridSpan w:val="3"/>
            <w:tcBorders>
              <w:top w:val="nil"/>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Teacher Registration (General) Regulations 2012</w:t>
            </w:r>
            <w:r>
              <w:rPr>
                <w:b/>
                <w:snapToGrid w:val="0"/>
              </w:rPr>
              <w:t xml:space="preserve"> as at 7 Aug 2015</w:t>
            </w:r>
            <w:r>
              <w:rPr>
                <w:snapToGrid w:val="0"/>
              </w:rPr>
              <w:t xml:space="preserve"> (includes amendments listed above)</w:t>
            </w:r>
          </w:p>
        </w:tc>
      </w:tr>
    </w:tbl>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77" w:name="_Toc425858586"/>
      <w:bookmarkStart w:id="78" w:name="_Toc425858636"/>
      <w:bookmarkStart w:id="79" w:name="_Toc427230874"/>
      <w:r>
        <w:rPr>
          <w:sz w:val="28"/>
        </w:rPr>
        <w:t>Defined terms</w:t>
      </w:r>
      <w:bookmarkEnd w:id="77"/>
      <w:bookmarkEnd w:id="78"/>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person</w:t>
      </w:r>
      <w:r>
        <w:tab/>
        <w:t>11(7)</w:t>
      </w:r>
    </w:p>
    <w:p>
      <w:pPr>
        <w:pStyle w:val="DefinedTerms"/>
      </w:pPr>
      <w:r>
        <w:t>ACARA</w:t>
      </w:r>
      <w:r>
        <w:tab/>
        <w:t>3</w:t>
      </w:r>
    </w:p>
    <w:p>
      <w:pPr>
        <w:pStyle w:val="DefinedTerms"/>
      </w:pPr>
      <w:r>
        <w:t>account</w:t>
      </w:r>
      <w:r>
        <w:tab/>
        <w:t>23(1)</w:t>
      </w:r>
    </w:p>
    <w:p>
      <w:pPr>
        <w:pStyle w:val="DefinedTerms"/>
      </w:pPr>
      <w:r>
        <w:t>Australian university</w:t>
      </w:r>
      <w:r>
        <w:tab/>
        <w:t>12(1)</w:t>
      </w:r>
    </w:p>
    <w:p>
      <w:pPr>
        <w:pStyle w:val="DefinedTerms"/>
      </w:pPr>
      <w:r>
        <w:t>centre</w:t>
      </w:r>
      <w:r>
        <w:noBreakHyphen/>
        <w:t>based service</w:t>
      </w:r>
      <w:r>
        <w:tab/>
        <w:t>21B(1)</w:t>
      </w:r>
    </w:p>
    <w:p>
      <w:pPr>
        <w:pStyle w:val="DefinedTerms"/>
      </w:pPr>
      <w:r>
        <w:t>child care service</w:t>
      </w:r>
      <w:r>
        <w:tab/>
        <w:t>21B(1)</w:t>
      </w:r>
    </w:p>
    <w:p>
      <w:pPr>
        <w:pStyle w:val="DefinedTerms"/>
      </w:pPr>
      <w:r>
        <w:t>College</w:t>
      </w:r>
      <w:r>
        <w:tab/>
        <w:t>29</w:t>
      </w:r>
    </w:p>
    <w:p>
      <w:pPr>
        <w:pStyle w:val="DefinedTerms"/>
      </w:pPr>
      <w:r>
        <w:t>commencement day</w:t>
      </w:r>
      <w:r>
        <w:tab/>
        <w:t>29</w:t>
      </w:r>
    </w:p>
    <w:p>
      <w:pPr>
        <w:pStyle w:val="DefinedTerms"/>
      </w:pPr>
      <w:r>
        <w:t>criminal record check</w:t>
      </w:r>
      <w:r>
        <w:tab/>
        <w:t>24(1)</w:t>
      </w:r>
    </w:p>
    <w:p>
      <w:pPr>
        <w:pStyle w:val="DefinedTerms"/>
      </w:pPr>
      <w:r>
        <w:t>CrimTrac agency</w:t>
      </w:r>
      <w:r>
        <w:tab/>
        <w:t>3</w:t>
      </w:r>
    </w:p>
    <w:p>
      <w:pPr>
        <w:pStyle w:val="DefinedTerms"/>
      </w:pPr>
      <w:r>
        <w:t>expiry day</w:t>
      </w:r>
      <w:r>
        <w:tab/>
        <w:t>15(2)(a)</w:t>
      </w:r>
    </w:p>
    <w:p>
      <w:pPr>
        <w:pStyle w:val="DefinedTerms"/>
      </w:pPr>
      <w:r>
        <w:t>first year</w:t>
      </w:r>
      <w:r>
        <w:tab/>
        <w:t>30(2)</w:t>
      </w:r>
    </w:p>
    <w:p>
      <w:pPr>
        <w:pStyle w:val="DefinedTerms"/>
      </w:pPr>
      <w:r>
        <w:t>meeting</w:t>
      </w:r>
      <w:r>
        <w:tab/>
        <w:t>23(1)</w:t>
      </w:r>
    </w:p>
    <w:p>
      <w:pPr>
        <w:pStyle w:val="DefinedTerms"/>
      </w:pPr>
      <w:r>
        <w:t>mutual recognition principle</w:t>
      </w:r>
      <w:r>
        <w:tab/>
        <w:t>3</w:t>
      </w:r>
    </w:p>
    <w:p>
      <w:pPr>
        <w:pStyle w:val="DefinedTerms"/>
      </w:pPr>
      <w:r>
        <w:t xml:space="preserve">nominated supervisor </w:t>
      </w:r>
      <w:r>
        <w:tab/>
        <w:t>21B(1)</w:t>
      </w:r>
    </w:p>
    <w:p>
      <w:pPr>
        <w:pStyle w:val="DefinedTerms"/>
      </w:pPr>
      <w:r>
        <w:t>overseas university</w:t>
      </w:r>
      <w:r>
        <w:tab/>
        <w:t>12(1)</w:t>
      </w:r>
    </w:p>
    <w:p>
      <w:pPr>
        <w:pStyle w:val="DefinedTerms"/>
      </w:pPr>
      <w:r>
        <w:t>prescribed person</w:t>
      </w:r>
      <w:r>
        <w:tab/>
        <w:t>21B(1)</w:t>
      </w:r>
    </w:p>
    <w:p>
      <w:pPr>
        <w:pStyle w:val="DefinedTerms"/>
      </w:pPr>
      <w:r>
        <w:t>professional learning activities</w:t>
      </w:r>
      <w:r>
        <w:tab/>
        <w:t>3</w:t>
      </w:r>
    </w:p>
    <w:p>
      <w:pPr>
        <w:pStyle w:val="DefinedTerms"/>
      </w:pPr>
      <w:r>
        <w:t>register information (professional)</w:t>
      </w:r>
      <w:r>
        <w:tab/>
        <w:t>21B(1)</w:t>
      </w:r>
    </w:p>
    <w:p>
      <w:pPr>
        <w:pStyle w:val="DefinedTerms"/>
      </w:pPr>
      <w:r>
        <w:t>registration card</w:t>
      </w:r>
      <w:r>
        <w:tab/>
        <w:t>3</w:t>
      </w:r>
    </w:p>
    <w:p>
      <w:pPr>
        <w:pStyle w:val="DefinedTerms"/>
      </w:pPr>
      <w:r>
        <w:t>relevant information</w:t>
      </w:r>
      <w:r>
        <w:tab/>
        <w:t>19(1)</w:t>
      </w:r>
    </w:p>
    <w:p>
      <w:pPr>
        <w:pStyle w:val="DefinedTerms"/>
      </w:pPr>
      <w:r>
        <w:t>relief teacher</w:t>
      </w:r>
      <w:r>
        <w:tab/>
        <w:t>23(1)</w:t>
      </w:r>
    </w:p>
    <w:p>
      <w:pPr>
        <w:pStyle w:val="DefinedTerms"/>
      </w:pPr>
      <w:r>
        <w:t>school</w:t>
      </w:r>
      <w:r>
        <w:tab/>
        <w:t>3</w:t>
      </w:r>
    </w:p>
    <w:p>
      <w:pPr>
        <w:pStyle w:val="DefinedTerms"/>
      </w:pPr>
      <w:r>
        <w:t xml:space="preserve">supervising officer </w:t>
      </w:r>
      <w:r>
        <w:tab/>
        <w:t>21B(1)</w:t>
      </w:r>
    </w:p>
    <w:p>
      <w:pPr>
        <w:pStyle w:val="DefinedTerms"/>
      </w:pPr>
      <w:r>
        <w:t>Torres Strait Islander</w:t>
      </w:r>
      <w:r>
        <w:tab/>
        <w:t>11(7)</w:t>
      </w:r>
    </w:p>
    <w:p>
      <w:pPr>
        <w:pStyle w:val="DefinedTerms"/>
      </w:pPr>
      <w:r>
        <w:t>Trans</w:t>
      </w:r>
      <w:r>
        <w:noBreakHyphen/>
        <w:t>Tasman mutual recognition principle</w:t>
      </w:r>
      <w:r>
        <w:tab/>
        <w:t>3</w:t>
      </w:r>
    </w:p>
    <w:p>
      <w:pPr>
        <w:pStyle w:val="DefinedTerms"/>
      </w:pPr>
      <w:r>
        <w:t>WACOT Act</w:t>
      </w:r>
      <w:r>
        <w:tab/>
        <w:t>29</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5" w:name="Compilation"/>
    <w:bookmarkStart w:id="76" w:name="Schedule"/>
    <w:bookmarkEnd w:id="75"/>
    <w:bookmarkEnd w:id="7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 w:name="DefinedTerms"/>
    <w:bookmarkEnd w:id="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 w:name="Coversheet"/>
    <w:bookmarkEnd w:id="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1027"/>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 w:name="WAFER_20140130143927" w:val="RemoveTocBookmarks,RemoveUnusedBookmarks,RemoveLanguageTags,UsedStyles,ResetPageSize,UpdateArrangement"/>
    <w:docVar w:name="WAFER_20140130143927_GUID" w:val="8a2226ef-0d33-420c-b2f0-a5bd13846f1b"/>
    <w:docVar w:name="WAFER_20140130154901" w:val="RemoveTocBookmarks,RunningHeaders"/>
    <w:docVar w:name="WAFER_20140130154901_GUID" w:val="b22da1df-640c-4b81-ac0b-3b4c2e06083c"/>
    <w:docVar w:name="WAFER_20140206115137" w:val="RemoveTocBookmarks,RemoveUnusedBookmarks,RemoveLanguageTags,UsedStyles,ResetPageSize,UpdateArrangement"/>
    <w:docVar w:name="WAFER_20140206115137_GUID" w:val="9a693df1-3b79-4bdf-a3d3-b1b49d16c138"/>
    <w:docVar w:name="WAFER_20140206115151" w:val="RemoveTocBookmarks,RunningHeaders"/>
    <w:docVar w:name="WAFER_20140206115151_GUID" w:val="e20d698c-1d82-44b1-b17e-4fceb0583e62"/>
    <w:docVar w:name="WAFER_20140207101602" w:val="RemoveTocBookmarks,RunningHeaders"/>
    <w:docVar w:name="WAFER_20140207101602_GUID" w:val="ba092734-c6f1-4c9a-bb4e-118dee01bd51"/>
    <w:docVar w:name="WAFER_20150312113204" w:val="ResetPageSize,UpdateArrangement,UpdateNTable"/>
    <w:docVar w:name="WAFER_20150312113204_GUID" w:val="5bd2f28a-2da6-4c88-9cc3-2558e7d9e059"/>
    <w:docVar w:name="WAFER_20150728145238" w:val="RemoveTocBookmarks,RemoveLanguageTags,RemoveTrackChanges,RunningHeaders"/>
    <w:docVar w:name="WAFER_20150728145238_GUID" w:val="1d5b9a21-90ef-4ba6-bce4-72e6e48645da"/>
    <w:docVar w:name="WAFER_20150728145309" w:val="RemoveTocBookmarks,RemoveLanguageTags,RemoveTrackChanges,RunningHeaders"/>
    <w:docVar w:name="WAFER_20150728145309_GUID" w:val="8eb87bba-0b9d-4e7e-9b08-17da56dd9342"/>
    <w:docVar w:name="WAFER_20151111121027" w:val="UpdateStyles,UsedStyles"/>
    <w:docVar w:name="WAFER_20151111121027_GUID" w:val="3b59a881-219b-47b1-bc02-dd08d0ff5e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721E8-74BC-47B8-B796-D1E6D4E6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7784</Words>
  <Characters>40014</Characters>
  <Application>Microsoft Office Word</Application>
  <DocSecurity>0</DocSecurity>
  <Lines>1379</Lines>
  <Paragraphs>746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2012 - 01-a0-01</dc:title>
  <dc:subject/>
  <dc:creator/>
  <cp:keywords/>
  <dc:description/>
  <cp:lastModifiedBy>svcMRProcess</cp:lastModifiedBy>
  <cp:revision>4</cp:revision>
  <cp:lastPrinted>2015-08-18T01:24:00Z</cp:lastPrinted>
  <dcterms:created xsi:type="dcterms:W3CDTF">2018-09-19T02:08:00Z</dcterms:created>
  <dcterms:modified xsi:type="dcterms:W3CDTF">2018-09-19T02:08:00Z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5571-609</vt:lpwstr>
  </property>
  <property fmtid="{D5CDD505-2E9C-101B-9397-08002B2CF9AE}" pid="3" name="CommencementDate">
    <vt:lpwstr>20150807</vt:lpwstr>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1</vt:lpwstr>
  </property>
  <property fmtid="{D5CDD505-2E9C-101B-9397-08002B2CF9AE}" pid="7" name="AsAtDate">
    <vt:lpwstr>07 Aug 2015</vt:lpwstr>
  </property>
  <property fmtid="{D5CDD505-2E9C-101B-9397-08002B2CF9AE}" pid="8" name="Suffix">
    <vt:lpwstr>01-a0-01</vt:lpwstr>
  </property>
</Properties>
</file>