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_Toc522656697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_Toc522656698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_Toc522656699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 of certain Acts</w:t>
      </w:r>
      <w:r>
        <w:tab/>
      </w:r>
      <w:r>
        <w:fldChar w:fldCharType="begin"/>
      </w:r>
      <w:r>
        <w:instrText xml:space="preserve"> PAGEREF _Toc522656700 \h </w:instrText>
      </w:r>
      <w:r>
        <w:fldChar w:fldCharType="separate"/>
      </w:r>
      <w:r>
        <w:t>3</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_Toc522656701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Children’s Court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and constitution</w:t>
      </w:r>
    </w:p>
    <w:p>
      <w:pPr>
        <w:pStyle w:val="TOC8"/>
        <w:rPr>
          <w:rFonts w:asciiTheme="minorHAnsi" w:eastAsiaTheme="minorEastAsia" w:hAnsiTheme="minorHAnsi" w:cstheme="minorBidi"/>
          <w:szCs w:val="22"/>
        </w:rPr>
      </w:pPr>
      <w:r>
        <w:t>5</w:t>
      </w:r>
      <w:r>
        <w:rPr>
          <w:snapToGrid w:val="0"/>
        </w:rPr>
        <w:t>.</w:t>
      </w:r>
      <w:r>
        <w:rPr>
          <w:snapToGrid w:val="0"/>
        </w:rPr>
        <w:tab/>
        <w:t>Establishment of Court</w:t>
      </w:r>
      <w:r>
        <w:tab/>
      </w:r>
      <w:r>
        <w:fldChar w:fldCharType="begin"/>
      </w:r>
      <w:r>
        <w:instrText xml:space="preserve"> PAGEREF _Toc522656704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Constitution of Court</w:t>
      </w:r>
      <w:r>
        <w:tab/>
      </w:r>
      <w:r>
        <w:fldChar w:fldCharType="begin"/>
      </w:r>
      <w:r>
        <w:instrText xml:space="preserve"> PAGEREF _Toc522656705 \h </w:instrText>
      </w:r>
      <w:r>
        <w:fldChar w:fldCharType="separate"/>
      </w:r>
      <w:r>
        <w:t>5</w:t>
      </w:r>
      <w:r>
        <w:fldChar w:fldCharType="end"/>
      </w:r>
    </w:p>
    <w:p>
      <w:pPr>
        <w:pStyle w:val="TOC8"/>
        <w:rPr>
          <w:rFonts w:asciiTheme="minorHAnsi" w:eastAsiaTheme="minorEastAsia" w:hAnsiTheme="minorHAnsi" w:cstheme="minorBidi"/>
          <w:szCs w:val="22"/>
        </w:rPr>
      </w:pPr>
      <w:r>
        <w:t>6A.</w:t>
      </w:r>
      <w:r>
        <w:tab/>
        <w:t>Protection of judicial officers</w:t>
      </w:r>
      <w:r>
        <w:tab/>
      </w:r>
      <w:r>
        <w:fldChar w:fldCharType="begin"/>
      </w:r>
      <w:r>
        <w:instrText xml:space="preserve"> PAGEREF _Toc522656706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Appointment of judges and magistrates</w:t>
      </w:r>
    </w:p>
    <w:p>
      <w:pPr>
        <w:pStyle w:val="TOC8"/>
        <w:rPr>
          <w:rFonts w:asciiTheme="minorHAnsi" w:eastAsiaTheme="minorEastAsia" w:hAnsiTheme="minorHAnsi" w:cstheme="minorBidi"/>
          <w:szCs w:val="22"/>
        </w:rPr>
      </w:pPr>
      <w:r>
        <w:t>7</w:t>
      </w:r>
      <w:r>
        <w:rPr>
          <w:snapToGrid w:val="0"/>
        </w:rPr>
        <w:t>.</w:t>
      </w:r>
      <w:r>
        <w:rPr>
          <w:snapToGrid w:val="0"/>
        </w:rPr>
        <w:tab/>
        <w:t>Appointment, terms, conditions etc. of judges</w:t>
      </w:r>
      <w:r>
        <w:tab/>
      </w:r>
      <w:r>
        <w:fldChar w:fldCharType="begin"/>
      </w:r>
      <w:r>
        <w:instrText xml:space="preserve"> PAGEREF _Toc522656708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Tenure of office</w:t>
      </w:r>
      <w:r>
        <w:tab/>
      </w:r>
      <w:r>
        <w:fldChar w:fldCharType="begin"/>
      </w:r>
      <w:r>
        <w:instrText xml:space="preserve"> PAGEREF _Toc522656709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Absence etc. of President</w:t>
      </w:r>
      <w:r>
        <w:tab/>
      </w:r>
      <w:r>
        <w:fldChar w:fldCharType="begin"/>
      </w:r>
      <w:r>
        <w:instrText xml:space="preserve"> PAGEREF _Toc522656710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judge</w:t>
      </w:r>
      <w:r>
        <w:tab/>
      </w:r>
      <w:r>
        <w:fldChar w:fldCharType="begin"/>
      </w:r>
      <w:r>
        <w:instrText xml:space="preserve"> PAGEREF _Toc522656711 \h </w:instrText>
      </w:r>
      <w:r>
        <w:fldChar w:fldCharType="separate"/>
      </w:r>
      <w:r>
        <w:t>8</w:t>
      </w:r>
      <w:r>
        <w:fldChar w:fldCharType="end"/>
      </w:r>
    </w:p>
    <w:p>
      <w:pPr>
        <w:pStyle w:val="TOC8"/>
        <w:rPr>
          <w:rFonts w:asciiTheme="minorHAnsi" w:eastAsiaTheme="minorEastAsia" w:hAnsiTheme="minorHAnsi" w:cstheme="minorBidi"/>
          <w:szCs w:val="22"/>
        </w:rPr>
      </w:pPr>
      <w:r>
        <w:t>10.</w:t>
      </w:r>
      <w:r>
        <w:tab/>
        <w:t>Magistrates, appointment of</w:t>
      </w:r>
      <w:r>
        <w:tab/>
      </w:r>
      <w:r>
        <w:fldChar w:fldCharType="begin"/>
      </w:r>
      <w:r>
        <w:instrText xml:space="preserve"> PAGEREF _Toc522656712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Oath or affirmation of office</w:t>
      </w:r>
      <w:r>
        <w:tab/>
      </w:r>
      <w:r>
        <w:fldChar w:fldCharType="begin"/>
      </w:r>
      <w:r>
        <w:instrText xml:space="preserve"> PAGEREF _Toc522656713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Sittings of the Court</w:t>
      </w:r>
    </w:p>
    <w:p>
      <w:pPr>
        <w:pStyle w:val="TOC8"/>
        <w:rPr>
          <w:rFonts w:asciiTheme="minorHAnsi" w:eastAsiaTheme="minorEastAsia" w:hAnsiTheme="minorHAnsi" w:cstheme="minorBidi"/>
          <w:szCs w:val="22"/>
        </w:rPr>
      </w:pPr>
      <w:r>
        <w:t>13.</w:t>
      </w:r>
      <w:r>
        <w:tab/>
        <w:t>Where and when Court operates</w:t>
      </w:r>
      <w:r>
        <w:tab/>
      </w:r>
      <w:r>
        <w:fldChar w:fldCharType="begin"/>
      </w:r>
      <w:r>
        <w:instrText xml:space="preserve"> PAGEREF _Toc522656715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 to sit in chambers</w:t>
      </w:r>
      <w:r>
        <w:tab/>
      </w:r>
      <w:r>
        <w:fldChar w:fldCharType="begin"/>
      </w:r>
      <w:r>
        <w:instrText xml:space="preserve"> PAGEREF _Toc522656716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Police officers to attend Court</w:t>
      </w:r>
      <w:r>
        <w:tab/>
      </w:r>
      <w:r>
        <w:fldChar w:fldCharType="begin"/>
      </w:r>
      <w:r>
        <w:instrText xml:space="preserve"> PAGEREF _Toc522656717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Officers of the Court</w:t>
      </w:r>
    </w:p>
    <w:p>
      <w:pPr>
        <w:pStyle w:val="TOC8"/>
        <w:rPr>
          <w:rFonts w:asciiTheme="minorHAnsi" w:eastAsiaTheme="minorEastAsia" w:hAnsiTheme="minorHAnsi" w:cstheme="minorBidi"/>
          <w:szCs w:val="22"/>
        </w:rPr>
      </w:pPr>
      <w:r>
        <w:t>16.</w:t>
      </w:r>
      <w:r>
        <w:tab/>
        <w:t>Appointment of registrars etc.</w:t>
      </w:r>
      <w:r>
        <w:tab/>
      </w:r>
      <w:r>
        <w:fldChar w:fldCharType="begin"/>
      </w:r>
      <w:r>
        <w:instrText xml:space="preserve"> PAGEREF _Toc522656719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 xml:space="preserve">Duties of </w:t>
      </w:r>
      <w:r>
        <w:t>registrar</w:t>
      </w:r>
      <w:r>
        <w:tab/>
      </w:r>
      <w:r>
        <w:fldChar w:fldCharType="begin"/>
      </w:r>
      <w:r>
        <w:instrText xml:space="preserve"> PAGEREF _Toc522656720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Power of </w:t>
      </w:r>
      <w:r>
        <w:t>registrars</w:t>
      </w:r>
      <w:r>
        <w:rPr>
          <w:snapToGrid w:val="0"/>
        </w:rPr>
        <w:t xml:space="preserve"> to administer oaths etc.</w:t>
      </w:r>
      <w:r>
        <w:tab/>
      </w:r>
      <w:r>
        <w:fldChar w:fldCharType="begin"/>
      </w:r>
      <w:r>
        <w:instrText xml:space="preserve"> PAGEREF _Toc522656721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of the Court</w:t>
      </w:r>
    </w:p>
    <w:p>
      <w:pPr>
        <w:pStyle w:val="TOC8"/>
        <w:rPr>
          <w:rFonts w:asciiTheme="minorHAnsi" w:eastAsiaTheme="minorEastAsia" w:hAnsiTheme="minorHAnsi" w:cstheme="minorBidi"/>
          <w:szCs w:val="22"/>
        </w:rPr>
      </w:pPr>
      <w:r>
        <w:t>19</w:t>
      </w:r>
      <w:r>
        <w:rPr>
          <w:snapToGrid w:val="0"/>
        </w:rPr>
        <w:t>.</w:t>
      </w:r>
      <w:r>
        <w:rPr>
          <w:snapToGrid w:val="0"/>
        </w:rPr>
        <w:tab/>
        <w:t>Criminal jurisdiction as regards children</w:t>
      </w:r>
      <w:r>
        <w:tab/>
      </w:r>
      <w:r>
        <w:fldChar w:fldCharType="begin"/>
      </w:r>
      <w:r>
        <w:instrText xml:space="preserve"> PAGEREF _Toc522656723 \h </w:instrText>
      </w:r>
      <w:r>
        <w:fldChar w:fldCharType="separate"/>
      </w:r>
      <w:r>
        <w:t>15</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Application of sections 19B to 19E</w:t>
      </w:r>
      <w:r>
        <w:tab/>
      </w:r>
      <w:r>
        <w:fldChar w:fldCharType="begin"/>
      </w:r>
      <w:r>
        <w:instrText xml:space="preserve"> PAGEREF _Toc522656724 \h </w:instrText>
      </w:r>
      <w:r>
        <w:fldChar w:fldCharType="separate"/>
      </w:r>
      <w:r>
        <w:t>16</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Jurisdiction and procedure for charges of indictable offences</w:t>
      </w:r>
      <w:r>
        <w:tab/>
      </w:r>
      <w:r>
        <w:fldChar w:fldCharType="begin"/>
      </w:r>
      <w:r>
        <w:instrText xml:space="preserve"> PAGEREF _Toc522656725 \h </w:instrText>
      </w:r>
      <w:r>
        <w:fldChar w:fldCharType="separate"/>
      </w:r>
      <w:r>
        <w:t>16</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Court may transfer charge to Magistrates Court where child and adult charged with same offence</w:t>
      </w:r>
      <w:r>
        <w:tab/>
      </w:r>
      <w:r>
        <w:fldChar w:fldCharType="begin"/>
      </w:r>
      <w:r>
        <w:instrText xml:space="preserve"> PAGEREF _Toc522656726 \h </w:instrText>
      </w:r>
      <w:r>
        <w:fldChar w:fldCharType="separate"/>
      </w:r>
      <w:r>
        <w:t>18</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Court may transfer charge to Magistrates Court where accused has turned 18</w:t>
      </w:r>
      <w:r>
        <w:tab/>
      </w:r>
      <w:r>
        <w:fldChar w:fldCharType="begin"/>
      </w:r>
      <w:r>
        <w:instrText xml:space="preserve"> PAGEREF _Toc522656727 \h </w:instrText>
      </w:r>
      <w:r>
        <w:fldChar w:fldCharType="separate"/>
      </w:r>
      <w:r>
        <w:t>19</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Procedure for charges of Commonwealth indictable offences</w:t>
      </w:r>
      <w:r>
        <w:tab/>
      </w:r>
      <w:r>
        <w:fldChar w:fldCharType="begin"/>
      </w:r>
      <w:r>
        <w:instrText xml:space="preserve"> PAGEREF _Toc522656728 \h </w:instrText>
      </w:r>
      <w:r>
        <w:fldChar w:fldCharType="separate"/>
      </w:r>
      <w:r>
        <w:t>20</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Rules</w:t>
      </w:r>
      <w:r>
        <w:tab/>
      </w:r>
      <w:r>
        <w:fldChar w:fldCharType="begin"/>
      </w:r>
      <w:r>
        <w:instrText xml:space="preserve"> PAGEREF _Toc522656729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Non</w:t>
      </w:r>
      <w:r>
        <w:rPr>
          <w:snapToGrid w:val="0"/>
        </w:rPr>
        <w:noBreakHyphen/>
        <w:t>criminal jurisdiction as regards children</w:t>
      </w:r>
      <w:r>
        <w:tab/>
      </w:r>
      <w:r>
        <w:fldChar w:fldCharType="begin"/>
      </w:r>
      <w:r>
        <w:instrText xml:space="preserve"> PAGEREF _Toc522656730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Limitations on exercise of certain jurisdiction</w:t>
      </w:r>
      <w:r>
        <w:tab/>
      </w:r>
      <w:r>
        <w:fldChar w:fldCharType="begin"/>
      </w:r>
      <w:r>
        <w:instrText xml:space="preserve"> PAGEREF _Toc522656731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President may extend powers of magistrate</w:t>
      </w:r>
      <w:r>
        <w:tab/>
      </w:r>
      <w:r>
        <w:fldChar w:fldCharType="begin"/>
      </w:r>
      <w:r>
        <w:instrText xml:space="preserve"> PAGEREF _Toc522656732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Court may require attendance of parent or guardian</w:t>
      </w:r>
      <w:r>
        <w:tab/>
      </w:r>
      <w:r>
        <w:fldChar w:fldCharType="begin"/>
      </w:r>
      <w:r>
        <w:instrText xml:space="preserve"> PAGEREF _Toc522656733 \h </w:instrText>
      </w:r>
      <w:r>
        <w:fldChar w:fldCharType="separate"/>
      </w:r>
      <w:r>
        <w:t>23</w:t>
      </w:r>
      <w:r>
        <w:fldChar w:fldCharType="end"/>
      </w:r>
    </w:p>
    <w:p>
      <w:pPr>
        <w:pStyle w:val="TOC8"/>
        <w:rPr>
          <w:rFonts w:asciiTheme="minorHAnsi" w:eastAsiaTheme="minorEastAsia" w:hAnsiTheme="minorHAnsi" w:cstheme="minorBidi"/>
          <w:szCs w:val="22"/>
        </w:rPr>
      </w:pPr>
      <w:r>
        <w:t>24.</w:t>
      </w:r>
      <w:r>
        <w:tab/>
        <w:t>Criminal jurisdiction as regards adults</w:t>
      </w:r>
      <w:r>
        <w:tab/>
      </w:r>
      <w:r>
        <w:fldChar w:fldCharType="begin"/>
      </w:r>
      <w:r>
        <w:instrText xml:space="preserve"> PAGEREF _Toc522656734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Certain orders may be set aside</w:t>
      </w:r>
      <w:r>
        <w:tab/>
      </w:r>
      <w:r>
        <w:fldChar w:fldCharType="begin"/>
      </w:r>
      <w:r>
        <w:instrText xml:space="preserve"> PAGEREF _Toc522656735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Court may re</w:t>
      </w:r>
      <w:r>
        <w:rPr>
          <w:snapToGrid w:val="0"/>
        </w:rPr>
        <w:noBreakHyphen/>
        <w:t>hear proceedings</w:t>
      </w:r>
      <w:r>
        <w:tab/>
      </w:r>
      <w:r>
        <w:fldChar w:fldCharType="begin"/>
      </w:r>
      <w:r>
        <w:instrText xml:space="preserve"> PAGEREF _Toc522656736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Witnesses and contempt</w:t>
      </w:r>
      <w:r>
        <w:tab/>
      </w:r>
      <w:r>
        <w:fldChar w:fldCharType="begin"/>
      </w:r>
      <w:r>
        <w:instrText xml:space="preserve"> PAGEREF _Toc522656737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 xml:space="preserve">Transfer of complaint to court of </w:t>
      </w:r>
      <w:r>
        <w:t>competent jurisdiction</w:t>
      </w:r>
      <w:r>
        <w:tab/>
      </w:r>
      <w:r>
        <w:fldChar w:fldCharType="begin"/>
      </w:r>
      <w:r>
        <w:instrText xml:space="preserve"> PAGEREF _Toc522656738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Procedure of the Court</w:t>
      </w:r>
    </w:p>
    <w:p>
      <w:pPr>
        <w:pStyle w:val="TOC8"/>
        <w:rPr>
          <w:rFonts w:asciiTheme="minorHAnsi" w:eastAsiaTheme="minorEastAsia" w:hAnsiTheme="minorHAnsi" w:cstheme="minorBidi"/>
          <w:szCs w:val="22"/>
        </w:rPr>
      </w:pPr>
      <w:r>
        <w:t>31</w:t>
      </w:r>
      <w:r>
        <w:rPr>
          <w:snapToGrid w:val="0"/>
        </w:rPr>
        <w:t>.</w:t>
      </w:r>
      <w:r>
        <w:rPr>
          <w:snapToGrid w:val="0"/>
        </w:rPr>
        <w:tab/>
        <w:t>Exclusion of persons from hearing</w:t>
      </w:r>
      <w:r>
        <w:tab/>
      </w:r>
      <w:r>
        <w:fldChar w:fldCharType="begin"/>
      </w:r>
      <w:r>
        <w:instrText xml:space="preserve"> PAGEREF _Toc522656740 \h </w:instrText>
      </w:r>
      <w:r>
        <w:fldChar w:fldCharType="separate"/>
      </w:r>
      <w:r>
        <w:t>29</w:t>
      </w:r>
      <w:r>
        <w:fldChar w:fldCharType="end"/>
      </w:r>
    </w:p>
    <w:p>
      <w:pPr>
        <w:pStyle w:val="TOC8"/>
        <w:rPr>
          <w:rFonts w:asciiTheme="minorHAnsi" w:eastAsiaTheme="minorEastAsia" w:hAnsiTheme="minorHAnsi" w:cstheme="minorBidi"/>
          <w:szCs w:val="22"/>
        </w:rPr>
      </w:pPr>
      <w:r>
        <w:t>33.</w:t>
      </w:r>
      <w:r>
        <w:tab/>
        <w:t>CEOs or officers may take part in proceedings</w:t>
      </w:r>
      <w:r>
        <w:tab/>
      </w:r>
      <w:r>
        <w:fldChar w:fldCharType="begin"/>
      </w:r>
      <w:r>
        <w:instrText xml:space="preserve"> PAGEREF _Toc522656741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Court must explain proceedings</w:t>
      </w:r>
      <w:r>
        <w:tab/>
      </w:r>
      <w:r>
        <w:fldChar w:fldCharType="begin"/>
      </w:r>
      <w:r>
        <w:instrText xml:space="preserve"> PAGEREF _Toc522656742 \h </w:instrText>
      </w:r>
      <w:r>
        <w:fldChar w:fldCharType="separate"/>
      </w:r>
      <w:r>
        <w:t>30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Restrictions on reports of proceedings</w:t>
      </w:r>
      <w:r>
        <w:tab/>
      </w:r>
      <w:r>
        <w:fldChar w:fldCharType="begin"/>
      </w:r>
      <w:r>
        <w:instrText xml:space="preserve"> PAGEREF _Toc522656743 \h </w:instrText>
      </w:r>
      <w:r>
        <w:fldChar w:fldCharType="separate"/>
      </w:r>
      <w:r>
        <w:t>30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Disclosure of convictions, orders etc. restricted</w:t>
      </w:r>
      <w:r>
        <w:tab/>
      </w:r>
      <w:r>
        <w:fldChar w:fldCharType="begin"/>
      </w:r>
      <w:r>
        <w:instrText xml:space="preserve"> PAGEREF _Toc522656744 \h </w:instrText>
      </w:r>
      <w:r>
        <w:fldChar w:fldCharType="separate"/>
      </w:r>
      <w:r>
        <w:t>32</w:t>
      </w:r>
      <w:r>
        <w:fldChar w:fldCharType="end"/>
      </w:r>
    </w:p>
    <w:p>
      <w:pPr>
        <w:pStyle w:val="TOC8"/>
        <w:rPr>
          <w:rFonts w:asciiTheme="minorHAnsi" w:eastAsiaTheme="minorEastAsia" w:hAnsiTheme="minorHAnsi" w:cstheme="minorBidi"/>
          <w:szCs w:val="22"/>
        </w:rPr>
      </w:pPr>
      <w:r>
        <w:t>36AA.</w:t>
      </w:r>
      <w:r>
        <w:tab/>
        <w:t>Disclosure for certain research purposes</w:t>
      </w:r>
      <w:r>
        <w:tab/>
      </w:r>
      <w:r>
        <w:fldChar w:fldCharType="begin"/>
      </w:r>
      <w:r>
        <w:instrText xml:space="preserve"> PAGEREF _Toc522656745 \h </w:instrText>
      </w:r>
      <w:r>
        <w:fldChar w:fldCharType="separate"/>
      </w:r>
      <w:r>
        <w:t>32</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Supreme Court may allow publication etc.</w:t>
      </w:r>
      <w:r>
        <w:tab/>
      </w:r>
      <w:r>
        <w:fldChar w:fldCharType="begin"/>
      </w:r>
      <w:r>
        <w:instrText xml:space="preserve"> PAGEREF _Toc522656746 \h </w:instrText>
      </w:r>
      <w:r>
        <w:fldChar w:fldCharType="separate"/>
      </w:r>
      <w:r>
        <w:t>34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Practice and procedure</w:t>
      </w:r>
      <w:r>
        <w:tab/>
      </w:r>
      <w:r>
        <w:fldChar w:fldCharType="begin"/>
      </w:r>
      <w:r>
        <w:instrText xml:space="preserve"> PAGEREF _Toc522656747 \h </w:instrText>
      </w:r>
      <w:r>
        <w:fldChar w:fldCharType="separate"/>
      </w:r>
      <w:r>
        <w:t>35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Rules of court</w:t>
      </w:r>
      <w:r>
        <w:tab/>
      </w:r>
      <w:r>
        <w:fldChar w:fldCharType="begin"/>
      </w:r>
      <w:r>
        <w:instrText xml:space="preserve"> PAGEREF _Toc522656748 \h </w:instrText>
      </w:r>
      <w:r>
        <w:fldChar w:fldCharType="separate"/>
      </w:r>
      <w:r>
        <w:t>35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Mode of enforcing orders by Court</w:t>
      </w:r>
      <w:r>
        <w:tab/>
      </w:r>
      <w:r>
        <w:fldChar w:fldCharType="begin"/>
      </w:r>
      <w:r>
        <w:instrText xml:space="preserve"> PAGEREF _Toc522656749 \h </w:instrText>
      </w:r>
      <w:r>
        <w:fldChar w:fldCharType="separate"/>
      </w:r>
      <w:r>
        <w:t>36</w:t>
      </w:r>
      <w:r>
        <w:fldChar w:fldCharType="end"/>
      </w:r>
    </w:p>
    <w:p>
      <w:pPr>
        <w:pStyle w:val="TOC8"/>
        <w:rPr>
          <w:rFonts w:asciiTheme="minorHAnsi" w:eastAsiaTheme="minorEastAsia" w:hAnsiTheme="minorHAnsi" w:cstheme="minorBidi"/>
          <w:szCs w:val="22"/>
        </w:rPr>
      </w:pPr>
      <w:r>
        <w:t>39A.</w:t>
      </w:r>
      <w:r>
        <w:tab/>
        <w:t>Judgments, enforcement of</w:t>
      </w:r>
      <w:r>
        <w:tab/>
      </w:r>
      <w:r>
        <w:fldChar w:fldCharType="begin"/>
      </w:r>
      <w:r>
        <w:instrText xml:space="preserve"> PAGEREF _Toc522656750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Review and appeal</w:t>
      </w:r>
    </w:p>
    <w:p>
      <w:pPr>
        <w:pStyle w:val="TOC8"/>
        <w:rPr>
          <w:rFonts w:asciiTheme="minorHAnsi" w:eastAsiaTheme="minorEastAsia" w:hAnsiTheme="minorHAnsi" w:cstheme="minorBidi"/>
          <w:szCs w:val="22"/>
        </w:rPr>
      </w:pPr>
      <w:r>
        <w:t>40</w:t>
      </w:r>
      <w:r>
        <w:rPr>
          <w:snapToGrid w:val="0"/>
        </w:rPr>
        <w:t>.</w:t>
      </w:r>
      <w:r>
        <w:rPr>
          <w:snapToGrid w:val="0"/>
        </w:rPr>
        <w:tab/>
        <w:t>Review by President of certain sentences</w:t>
      </w:r>
      <w:r>
        <w:tab/>
      </w:r>
      <w:r>
        <w:fldChar w:fldCharType="begin"/>
      </w:r>
      <w:r>
        <w:instrText xml:space="preserve"> PAGEREF _Toc522656752 \h </w:instrText>
      </w:r>
      <w:r>
        <w:fldChar w:fldCharType="separate"/>
      </w:r>
      <w:r>
        <w:t>37</w:t>
      </w:r>
      <w:r>
        <w:fldChar w:fldCharType="end"/>
      </w:r>
    </w:p>
    <w:p>
      <w:pPr>
        <w:pStyle w:val="TOC8"/>
        <w:rPr>
          <w:rFonts w:asciiTheme="minorHAnsi" w:eastAsiaTheme="minorEastAsia" w:hAnsiTheme="minorHAnsi" w:cstheme="minorBidi"/>
          <w:szCs w:val="22"/>
        </w:rPr>
      </w:pPr>
      <w:r>
        <w:t>41.</w:t>
      </w:r>
      <w:r>
        <w:tab/>
        <w:t>Appeals against decisions of magistrates etc.</w:t>
      </w:r>
      <w:r>
        <w:tab/>
      </w:r>
      <w:r>
        <w:fldChar w:fldCharType="begin"/>
      </w:r>
      <w:r>
        <w:instrText xml:space="preserve"> PAGEREF _Toc522656753 \h </w:instrText>
      </w:r>
      <w:r>
        <w:fldChar w:fldCharType="separate"/>
      </w:r>
      <w:r>
        <w:t>38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Appeal against certain other orders</w:t>
      </w:r>
      <w:r>
        <w:tab/>
      </w:r>
      <w:r>
        <w:fldChar w:fldCharType="begin"/>
      </w:r>
      <w:r>
        <w:instrText xml:space="preserve"> PAGEREF _Toc522656754 \h </w:instrText>
      </w:r>
      <w:r>
        <w:fldChar w:fldCharType="separate"/>
      </w:r>
      <w:r>
        <w:t>38</w:t>
      </w:r>
      <w:r>
        <w:fldChar w:fldCharType="end"/>
      </w:r>
    </w:p>
    <w:p>
      <w:pPr>
        <w:pStyle w:val="TOC8"/>
        <w:rPr>
          <w:rFonts w:asciiTheme="minorHAnsi" w:eastAsiaTheme="minorEastAsia" w:hAnsiTheme="minorHAnsi" w:cstheme="minorBidi"/>
          <w:szCs w:val="22"/>
        </w:rPr>
      </w:pPr>
      <w:r>
        <w:t>42A.</w:t>
      </w:r>
      <w:r>
        <w:tab/>
        <w:t>Appeals from judges’ decisions in criminal matters</w:t>
      </w:r>
      <w:r>
        <w:tab/>
      </w:r>
      <w:r>
        <w:fldChar w:fldCharType="begin"/>
      </w:r>
      <w:r>
        <w:instrText xml:space="preserve"> PAGEREF _Toc522656755 \h </w:instrText>
      </w:r>
      <w:r>
        <w:fldChar w:fldCharType="separate"/>
      </w:r>
      <w:r>
        <w:t>39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 xml:space="preserve">Appeals to </w:t>
      </w:r>
      <w:r>
        <w:t>Court of Appeal</w:t>
      </w:r>
      <w:r>
        <w:tab/>
      </w:r>
      <w:r>
        <w:fldChar w:fldCharType="begin"/>
      </w:r>
      <w:r>
        <w:instrText xml:space="preserve"> PAGEREF _Toc522656756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51</w:t>
      </w:r>
      <w:r>
        <w:rPr>
          <w:snapToGrid w:val="0"/>
        </w:rPr>
        <w:t>.</w:t>
      </w:r>
      <w:r>
        <w:rPr>
          <w:snapToGrid w:val="0"/>
        </w:rPr>
        <w:tab/>
        <w:t>Forms of proceedings</w:t>
      </w:r>
      <w:r>
        <w:tab/>
      </w:r>
      <w:r>
        <w:fldChar w:fldCharType="begin"/>
      </w:r>
      <w:r>
        <w:instrText xml:space="preserve"> PAGEREF _Toc522656758 \h </w:instrText>
      </w:r>
      <w:r>
        <w:fldChar w:fldCharType="separate"/>
      </w:r>
      <w:r>
        <w:t>42</w:t>
      </w:r>
      <w:r>
        <w:fldChar w:fldCharType="end"/>
      </w:r>
    </w:p>
    <w:p>
      <w:pPr>
        <w:pStyle w:val="TOC8"/>
        <w:rPr>
          <w:rFonts w:asciiTheme="minorHAnsi" w:eastAsiaTheme="minorEastAsia" w:hAnsiTheme="minorHAnsi" w:cstheme="minorBidi"/>
          <w:szCs w:val="22"/>
        </w:rPr>
      </w:pPr>
      <w:r>
        <w:t>51A.</w:t>
      </w:r>
      <w:r>
        <w:tab/>
        <w:t>Court’s records, access to</w:t>
      </w:r>
      <w:r>
        <w:tab/>
      </w:r>
      <w:r>
        <w:fldChar w:fldCharType="begin"/>
      </w:r>
      <w:r>
        <w:instrText xml:space="preserve"> PAGEREF _Toc522656759 \h </w:instrText>
      </w:r>
      <w:r>
        <w:fldChar w:fldCharType="separate"/>
      </w:r>
      <w:r>
        <w:t>42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Regulations</w:t>
      </w:r>
      <w:r>
        <w:tab/>
      </w:r>
      <w:r>
        <w:fldChar w:fldCharType="begin"/>
      </w:r>
      <w:r>
        <w:instrText xml:space="preserve"> PAGEREF _Toc522656760 \h </w:instrText>
      </w:r>
      <w:r>
        <w:fldChar w:fldCharType="separate"/>
      </w:r>
      <w:r>
        <w:t>44</w:t>
      </w:r>
      <w:r>
        <w:fldChar w:fldCharType="end"/>
      </w:r>
    </w:p>
    <w:p>
      <w:pPr>
        <w:pStyle w:val="TOC8"/>
        <w:rPr>
          <w:rFonts w:asciiTheme="minorHAnsi" w:eastAsiaTheme="minorEastAsia" w:hAnsiTheme="minorHAnsi" w:cstheme="minorBidi"/>
          <w:szCs w:val="22"/>
        </w:rPr>
      </w:pPr>
      <w:r>
        <w:t>53.</w:t>
      </w:r>
      <w:r>
        <w:tab/>
        <w:t>Fees, regulations may prescribe</w:t>
      </w:r>
      <w:r>
        <w:tab/>
      </w:r>
      <w:r>
        <w:fldChar w:fldCharType="begin"/>
      </w:r>
      <w:r>
        <w:instrText xml:space="preserve"> PAGEREF _Toc522656761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Schedule 1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_Toc522656764 \h </w:instrText>
      </w:r>
      <w:r>
        <w:fldChar w:fldCharType="separate"/>
      </w:r>
      <w:r>
        <w:t>47</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_Toc522656765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rPr>
          <w:bCs/>
        </w:rPr>
        <w:t>Part 2 — Amendments and repeals relating to responsible parenting agreements</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960" w:after="1080"/>
      </w:pPr>
      <w:r>
        <w:t>Children’s Court of Western Australia Act 1988</w:t>
      </w:r>
    </w:p>
    <w:p>
      <w:pPr>
        <w:pStyle w:val="LongTitle"/>
        <w:spacing w:before="240"/>
        <w:rPr>
          <w:snapToGrid w:val="0"/>
        </w:rPr>
      </w:pPr>
      <w:r>
        <w:rPr>
          <w:snapToGrid w:val="0"/>
        </w:rPr>
        <w:t xml:space="preserve">An Act to establish the Children’s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w:t>
      </w:r>
    </w:p>
    <w:p>
      <w:pPr>
        <w:pStyle w:val="Heading2"/>
      </w:pPr>
      <w:bookmarkStart w:id="3" w:name="_Toc522656696"/>
      <w:r>
        <w:rPr>
          <w:rStyle w:val="CharPartNo"/>
        </w:rPr>
        <w:t>Part 1</w:t>
      </w:r>
      <w:r>
        <w:rPr>
          <w:rStyle w:val="CharDivNo"/>
        </w:rPr>
        <w:t> </w:t>
      </w:r>
      <w:r>
        <w:t>—</w:t>
      </w:r>
      <w:r>
        <w:rPr>
          <w:rStyle w:val="CharDivText"/>
        </w:rPr>
        <w:t> </w:t>
      </w:r>
      <w:r>
        <w:rPr>
          <w:rStyle w:val="CharPartText"/>
        </w:rPr>
        <w:t>Preliminary</w:t>
      </w:r>
      <w:bookmarkEnd w:id="3"/>
    </w:p>
    <w:p>
      <w:pPr>
        <w:pStyle w:val="Heading5"/>
        <w:spacing w:before="180"/>
        <w:rPr>
          <w:snapToGrid w:val="0"/>
        </w:rPr>
      </w:pPr>
      <w:bookmarkStart w:id="4" w:name="_Toc522656697"/>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spacing w:before="180"/>
        <w:rPr>
          <w:snapToGrid w:val="0"/>
        </w:rPr>
      </w:pPr>
      <w:bookmarkStart w:id="5" w:name="_Toc522656698"/>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6" w:name="_Toc522656699"/>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 No. 21 of 2008 s. 643(2)</w:t>
      </w:r>
      <w:r>
        <w:noBreakHyphen/>
        <w:t>(4); No. 59 of 2010 s. 42.]</w:t>
      </w:r>
    </w:p>
    <w:p>
      <w:pPr>
        <w:pStyle w:val="Heading5"/>
      </w:pPr>
      <w:bookmarkStart w:id="7" w:name="_Toc522656700"/>
      <w:r>
        <w:rPr>
          <w:rStyle w:val="CharSectno"/>
        </w:rPr>
        <w:t>4</w:t>
      </w:r>
      <w:r>
        <w:t>.</w:t>
      </w:r>
      <w:r>
        <w:tab/>
        <w:t>Application of certain Acts</w:t>
      </w:r>
      <w:bookmarkEnd w:id="7"/>
    </w:p>
    <w:p>
      <w:pPr>
        <w:pStyle w:val="Subsection"/>
      </w:pPr>
      <w:r>
        <w:tab/>
        <w:t>(1)</w:t>
      </w:r>
      <w:r>
        <w:tab/>
        <w:t xml:space="preserve">The following provisions of the </w:t>
      </w:r>
      <w:smartTag w:uri="urn:schemas-microsoft-com:office:smarttags" w:element="PlaceName">
        <w:smartTag w:uri="urn:schemas-microsoft-com:office:smarttags" w:element="Street">
          <w:r>
            <w:rPr>
              <w:i/>
            </w:rPr>
            <w:t>Magistrates Court</w:t>
          </w:r>
        </w:smartTag>
      </w:smartTag>
      <w:r>
        <w:rPr>
          <w:i/>
        </w:rPr>
        <w:t xml:space="preserve"> Act 2004 </w:t>
      </w:r>
      <w:r>
        <w:t xml:space="preserve">apply to and in relation to the Court and its officers in the same way as they apply to and in relation to the </w:t>
      </w:r>
      <w:smartTag w:uri="urn:schemas-microsoft-com:office:smarttags" w:element="PlaceName">
        <w:smartTag w:uri="urn:schemas-microsoft-com:office:smarttags" w:element="Street">
          <w:r>
            <w:t>Magistrates Court</w:t>
          </w:r>
        </w:smartTag>
      </w:smartTag>
      <w:r>
        <w:t xml:space="preserve">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5"/>
      </w:pPr>
      <w:bookmarkStart w:id="8" w:name="_Toc522656701"/>
      <w:r>
        <w:rPr>
          <w:rStyle w:val="CharSectno"/>
        </w:rPr>
        <w:t>5A</w:t>
      </w:r>
      <w:r>
        <w:t>.</w:t>
      </w:r>
      <w:r>
        <w:tab/>
      </w:r>
      <w:r>
        <w:rPr>
          <w:i/>
        </w:rPr>
        <w:t>Courts and Tribunals (Electronic Processes Facilitation) Act 2013</w:t>
      </w:r>
      <w:r>
        <w:t xml:space="preserve"> Part 2 applies</w:t>
      </w:r>
      <w:bookmarkEnd w:id="8"/>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by No. 20 of 2013 s. 33.]</w:t>
      </w:r>
    </w:p>
    <w:p>
      <w:pPr>
        <w:pStyle w:val="Heading2"/>
      </w:pPr>
      <w:bookmarkStart w:id="9" w:name="_Toc522656702"/>
      <w:r>
        <w:rPr>
          <w:rStyle w:val="CharPartNo"/>
        </w:rPr>
        <w:t>Part 2</w:t>
      </w:r>
      <w:r>
        <w:t> — </w:t>
      </w:r>
      <w:r>
        <w:rPr>
          <w:rStyle w:val="CharPartText"/>
        </w:rPr>
        <w:t>Children’s Court of Western Australia</w:t>
      </w:r>
      <w:bookmarkEnd w:id="9"/>
    </w:p>
    <w:p>
      <w:pPr>
        <w:pStyle w:val="Heading3"/>
        <w:rPr>
          <w:snapToGrid w:val="0"/>
        </w:rPr>
      </w:pPr>
      <w:bookmarkStart w:id="10" w:name="_Toc522656703"/>
      <w:r>
        <w:rPr>
          <w:rStyle w:val="CharDivNo"/>
        </w:rPr>
        <w:t>Division 1</w:t>
      </w:r>
      <w:r>
        <w:rPr>
          <w:snapToGrid w:val="0"/>
        </w:rPr>
        <w:t> — </w:t>
      </w:r>
      <w:r>
        <w:rPr>
          <w:rStyle w:val="CharDivText"/>
        </w:rPr>
        <w:t>Establishment and constitution</w:t>
      </w:r>
      <w:bookmarkEnd w:id="10"/>
    </w:p>
    <w:p>
      <w:pPr>
        <w:pStyle w:val="Heading5"/>
        <w:rPr>
          <w:snapToGrid w:val="0"/>
        </w:rPr>
      </w:pPr>
      <w:bookmarkStart w:id="11" w:name="_Toc522656704"/>
      <w:r>
        <w:rPr>
          <w:rStyle w:val="CharSectno"/>
        </w:rPr>
        <w:t>5</w:t>
      </w:r>
      <w:r>
        <w:rPr>
          <w:snapToGrid w:val="0"/>
        </w:rPr>
        <w:t>.</w:t>
      </w:r>
      <w:r>
        <w:rPr>
          <w:snapToGrid w:val="0"/>
        </w:rPr>
        <w:tab/>
        <w:t>Establishment of Court</w:t>
      </w:r>
      <w:bookmarkEnd w:id="11"/>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2" w:name="_Toc522656705"/>
      <w:r>
        <w:rPr>
          <w:rStyle w:val="CharSectno"/>
        </w:rPr>
        <w:t>6</w:t>
      </w:r>
      <w:r>
        <w:rPr>
          <w:snapToGrid w:val="0"/>
        </w:rPr>
        <w:t>.</w:t>
      </w:r>
      <w:r>
        <w:rPr>
          <w:snapToGrid w:val="0"/>
        </w:rPr>
        <w:tab/>
        <w:t>Constitution of Court</w:t>
      </w:r>
      <w:bookmarkEnd w:id="12"/>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 or</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ind w:left="890" w:hanging="890"/>
      </w:pPr>
      <w:r>
        <w:tab/>
        <w:t>[Section 6 amended by No. 59 of 2004 s. 73.]</w:t>
      </w:r>
    </w:p>
    <w:p>
      <w:pPr>
        <w:pStyle w:val="Heading5"/>
      </w:pPr>
      <w:bookmarkStart w:id="13" w:name="_Toc522656706"/>
      <w:r>
        <w:rPr>
          <w:rStyle w:val="CharSectno"/>
        </w:rPr>
        <w:t>6A</w:t>
      </w:r>
      <w:r>
        <w:t>.</w:t>
      </w:r>
      <w:r>
        <w:tab/>
        <w:t>Protection of judicial officers</w:t>
      </w:r>
      <w:bookmarkEnd w:id="13"/>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ind w:left="890" w:hanging="890"/>
      </w:pPr>
      <w:r>
        <w:tab/>
        <w:t>[Section 6A inserted by No. 59 of 2004 s. 62.]</w:t>
      </w:r>
    </w:p>
    <w:p>
      <w:pPr>
        <w:pStyle w:val="Heading3"/>
        <w:keepNext w:val="0"/>
        <w:pageBreakBefore/>
        <w:widowControl w:val="0"/>
        <w:spacing w:before="120"/>
      </w:pPr>
      <w:bookmarkStart w:id="14" w:name="_Toc522656707"/>
      <w:r>
        <w:rPr>
          <w:rStyle w:val="CharDivNo"/>
        </w:rPr>
        <w:t>Division 2</w:t>
      </w:r>
      <w:r>
        <w:rPr>
          <w:snapToGrid w:val="0"/>
        </w:rPr>
        <w:t> — </w:t>
      </w:r>
      <w:r>
        <w:rPr>
          <w:rStyle w:val="CharDivText"/>
        </w:rPr>
        <w:t>Appointment of judges and magistrates</w:t>
      </w:r>
      <w:bookmarkEnd w:id="14"/>
    </w:p>
    <w:p>
      <w:pPr>
        <w:pStyle w:val="Footnotesection"/>
        <w:ind w:left="890" w:hanging="890"/>
      </w:pPr>
      <w:r>
        <w:tab/>
        <w:t>[Heading amended by No. 59 of 2004 s. 73.]</w:t>
      </w:r>
    </w:p>
    <w:p>
      <w:pPr>
        <w:pStyle w:val="Heading5"/>
        <w:spacing w:before="240"/>
        <w:rPr>
          <w:snapToGrid w:val="0"/>
        </w:rPr>
      </w:pPr>
      <w:bookmarkStart w:id="15" w:name="_Toc522656708"/>
      <w:r>
        <w:rPr>
          <w:rStyle w:val="CharSectno"/>
        </w:rPr>
        <w:t>7</w:t>
      </w:r>
      <w:r>
        <w:rPr>
          <w:snapToGrid w:val="0"/>
        </w:rPr>
        <w:t>.</w:t>
      </w:r>
      <w:r>
        <w:rPr>
          <w:snapToGrid w:val="0"/>
        </w:rPr>
        <w:tab/>
        <w:t>Appointment, terms, conditions etc. of judges</w:t>
      </w:r>
      <w:bookmarkEnd w:id="15"/>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ind w:left="890" w:hanging="890"/>
      </w:pPr>
      <w:r>
        <w:tab/>
        <w:t xml:space="preserve">[Section 7 amended by No. 31 of 1993 s. 28; No. 65 of 2003 s. 107(4); </w:t>
      </w:r>
      <w:r>
        <w:rPr>
          <w:spacing w:val="-6"/>
        </w:rPr>
        <w:t>No. 34 of 2004 s. </w:t>
      </w:r>
      <w:r>
        <w:t>251; No. 59 of 2004 s. 73; No. 21 of 2008 s. 643(5).]</w:t>
      </w:r>
    </w:p>
    <w:p>
      <w:pPr>
        <w:pStyle w:val="Heading5"/>
        <w:rPr>
          <w:snapToGrid w:val="0"/>
        </w:rPr>
      </w:pPr>
      <w:bookmarkStart w:id="16" w:name="_Toc522656709"/>
      <w:r>
        <w:rPr>
          <w:rStyle w:val="CharSectno"/>
        </w:rPr>
        <w:t>8</w:t>
      </w:r>
      <w:r>
        <w:rPr>
          <w:snapToGrid w:val="0"/>
        </w:rPr>
        <w:t>.</w:t>
      </w:r>
      <w:r>
        <w:rPr>
          <w:snapToGrid w:val="0"/>
        </w:rPr>
        <w:tab/>
        <w:t>Tenure of office</w:t>
      </w:r>
      <w:bookmarkEnd w:id="16"/>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17" w:name="_Toc522656710"/>
      <w:r>
        <w:rPr>
          <w:rStyle w:val="CharSectno"/>
        </w:rPr>
        <w:t>8A</w:t>
      </w:r>
      <w:r>
        <w:rPr>
          <w:snapToGrid w:val="0"/>
        </w:rPr>
        <w:t>.</w:t>
      </w:r>
      <w:r>
        <w:rPr>
          <w:snapToGrid w:val="0"/>
        </w:rPr>
        <w:tab/>
        <w:t>Absence etc. of President</w:t>
      </w:r>
      <w:bookmarkEnd w:id="1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 or</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ind w:left="890" w:hanging="890"/>
      </w:pPr>
      <w:r>
        <w:tab/>
        <w:t>[Section 8A inserted by No. 15 of 1991 s. 7.]</w:t>
      </w:r>
    </w:p>
    <w:p>
      <w:pPr>
        <w:pStyle w:val="Heading5"/>
        <w:rPr>
          <w:snapToGrid w:val="0"/>
        </w:rPr>
      </w:pPr>
      <w:bookmarkStart w:id="18" w:name="_Toc522656711"/>
      <w:r>
        <w:rPr>
          <w:rStyle w:val="CharSectno"/>
        </w:rPr>
        <w:t>9</w:t>
      </w:r>
      <w:r>
        <w:rPr>
          <w:snapToGrid w:val="0"/>
        </w:rPr>
        <w:t>.</w:t>
      </w:r>
      <w:r>
        <w:rPr>
          <w:snapToGrid w:val="0"/>
        </w:rPr>
        <w:tab/>
        <w:t>Acting judge</w:t>
      </w:r>
      <w:bookmarkEnd w:id="1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 or</w:t>
      </w:r>
    </w:p>
    <w:p>
      <w:pPr>
        <w:pStyle w:val="Indenta"/>
        <w:rPr>
          <w:snapToGrid w:val="0"/>
        </w:rPr>
      </w:pPr>
      <w:r>
        <w:rPr>
          <w:snapToGrid w:val="0"/>
        </w:rPr>
        <w:tab/>
        <w:t>(b)</w:t>
      </w:r>
      <w:r>
        <w:rPr>
          <w:snapToGrid w:val="0"/>
        </w:rPr>
        <w:tab/>
        <w:t>a judge declines to deal with any matter; or</w:t>
      </w:r>
    </w:p>
    <w:p>
      <w:pPr>
        <w:pStyle w:val="Indenta"/>
        <w:rPr>
          <w:snapToGrid w:val="0"/>
        </w:rPr>
      </w:pPr>
      <w:r>
        <w:rPr>
          <w:snapToGrid w:val="0"/>
        </w:rPr>
        <w:tab/>
        <w:t>(c)</w:t>
      </w:r>
      <w:r>
        <w:rPr>
          <w:snapToGrid w:val="0"/>
        </w:rPr>
        <w:tab/>
        <w:t>an office of judge is vacant; or</w:t>
      </w:r>
    </w:p>
    <w:p>
      <w:pPr>
        <w:pStyle w:val="Indenta"/>
        <w:keepNext/>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spacing w:before="180"/>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spacing w:before="180"/>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spacing w:before="180"/>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spacing w:before="180"/>
        <w:rPr>
          <w:snapToGrid w:val="0"/>
        </w:rPr>
      </w:pPr>
      <w:r>
        <w:rPr>
          <w:snapToGrid w:val="0"/>
        </w:rPr>
        <w:tab/>
        <w:t>(4)</w:t>
      </w:r>
      <w:r>
        <w:rPr>
          <w:snapToGrid w:val="0"/>
        </w:rPr>
        <w:tab/>
        <w:t>An acting judge is entitled to such remuneration, allowances, and leave of absence as is determined by the Governor.</w:t>
      </w:r>
    </w:p>
    <w:p>
      <w:pPr>
        <w:pStyle w:val="Subsection"/>
        <w:spacing w:before="180"/>
        <w:rPr>
          <w:snapToGrid w:val="0"/>
        </w:rPr>
      </w:pPr>
      <w:r>
        <w:rPr>
          <w:snapToGrid w:val="0"/>
        </w:rPr>
        <w:tab/>
        <w:t>(5)</w:t>
      </w:r>
      <w:r>
        <w:rPr>
          <w:snapToGrid w:val="0"/>
        </w:rPr>
        <w:tab/>
        <w:t>An acting judge may be designated by the Governor as President of the Court.</w:t>
      </w:r>
    </w:p>
    <w:p>
      <w:pPr>
        <w:pStyle w:val="Heading5"/>
        <w:spacing w:before="240"/>
      </w:pPr>
      <w:bookmarkStart w:id="19" w:name="_Toc522656712"/>
      <w:r>
        <w:rPr>
          <w:rStyle w:val="CharSectno"/>
        </w:rPr>
        <w:t>10</w:t>
      </w:r>
      <w:r>
        <w:t>.</w:t>
      </w:r>
      <w:r>
        <w:tab/>
        <w:t>Magistrates, appointment of</w:t>
      </w:r>
      <w:bookmarkEnd w:id="19"/>
    </w:p>
    <w:p>
      <w:pPr>
        <w:pStyle w:val="Subsection"/>
        <w:spacing w:before="180"/>
      </w:pPr>
      <w:r>
        <w:tab/>
        <w:t>(1)</w:t>
      </w:r>
      <w:r>
        <w:tab/>
        <w:t xml:space="preserve">The Governor may appoint a person who is qualified to be appointed as a magistrate of the </w:t>
      </w:r>
      <w:smartTag w:uri="urn:schemas-microsoft-com:office:smarttags" w:element="PlaceName">
        <w:smartTag w:uri="urn:schemas-microsoft-com:office:smarttags" w:element="Street">
          <w:r>
            <w:t>Magistrates Court</w:t>
          </w:r>
        </w:smartTag>
      </w:smartTag>
      <w:r>
        <w:t xml:space="preserve"> as a magistrate of the Children’s Court.</w:t>
      </w:r>
    </w:p>
    <w:p>
      <w:pPr>
        <w:pStyle w:val="Subsection"/>
        <w:spacing w:before="180"/>
      </w:pPr>
      <w:r>
        <w:tab/>
        <w:t>(2)</w:t>
      </w:r>
      <w:r>
        <w:tab/>
        <w:t>The appointment of a magistrate of the Children’s Court is to be by a commission under the Public Seal of the State.</w:t>
      </w:r>
    </w:p>
    <w:p>
      <w:pPr>
        <w:pStyle w:val="Subsection"/>
        <w:spacing w:before="180"/>
      </w:pPr>
      <w:r>
        <w:tab/>
        <w:t>(3)</w:t>
      </w:r>
      <w:r>
        <w:tab/>
        <w:t>The Governor may appoint as many magistrates as are needed to deal with the workload of the Court.</w:t>
      </w:r>
    </w:p>
    <w:p>
      <w:pPr>
        <w:pStyle w:val="Subsection"/>
        <w:keepNext/>
        <w:spacing w:before="180"/>
      </w:pPr>
      <w:r>
        <w:tab/>
        <w:t>(4)</w:t>
      </w:r>
      <w:r>
        <w:tab/>
        <w:t xml:space="preserve">A magistrate of the </w:t>
      </w:r>
      <w:smartTag w:uri="urn:schemas-microsoft-com:office:smarttags" w:element="PlaceName">
        <w:smartTag w:uri="urn:schemas-microsoft-com:office:smarttags" w:element="Street">
          <w:r>
            <w:t>Magistrates Court</w:t>
          </w:r>
        </w:smartTag>
      </w:smartTag>
      <w:r>
        <w:t xml:space="preserve"> may be appointed to be contemporaneously a magistrate of the Children’s Court.</w:t>
      </w:r>
    </w:p>
    <w:p>
      <w:pPr>
        <w:pStyle w:val="Subsection"/>
        <w:spacing w:before="180"/>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 and</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ind w:left="890" w:hanging="890"/>
      </w:pPr>
      <w:r>
        <w:tab/>
        <w:t>[Section 10 inserted by No. 59 of 2004 s. 63; amended by No. 7 of 2008 s. 149.]</w:t>
      </w:r>
    </w:p>
    <w:p>
      <w:pPr>
        <w:pStyle w:val="Footnotesection"/>
        <w:ind w:left="890" w:hanging="890"/>
      </w:pPr>
      <w:r>
        <w:tab/>
        <w:t>[Section 10. Modifications to be applied in order to give effect to Cross-border Justice Act 2008: section altered 1 Dec 2009. See endnote 1M.]</w:t>
      </w:r>
    </w:p>
    <w:p>
      <w:pPr>
        <w:pStyle w:val="Ednotesection"/>
        <w:spacing w:before="240"/>
      </w:pPr>
      <w:r>
        <w:t>[</w:t>
      </w:r>
      <w:r>
        <w:rPr>
          <w:b/>
        </w:rPr>
        <w:t>11.</w:t>
      </w:r>
      <w:r>
        <w:tab/>
        <w:t>Deleted by No. 59 of 2004 s. 64.]</w:t>
      </w:r>
    </w:p>
    <w:p>
      <w:pPr>
        <w:pStyle w:val="Heading5"/>
        <w:spacing w:before="240"/>
        <w:rPr>
          <w:snapToGrid w:val="0"/>
        </w:rPr>
      </w:pPr>
      <w:bookmarkStart w:id="20" w:name="_Toc522656713"/>
      <w:r>
        <w:rPr>
          <w:rStyle w:val="CharSectno"/>
        </w:rPr>
        <w:t>12</w:t>
      </w:r>
      <w:r>
        <w:rPr>
          <w:snapToGrid w:val="0"/>
        </w:rPr>
        <w:t>.</w:t>
      </w:r>
      <w:r>
        <w:rPr>
          <w:snapToGrid w:val="0"/>
        </w:rPr>
        <w:tab/>
        <w:t>Oath or affirmation of office</w:t>
      </w:r>
      <w:bookmarkEnd w:id="20"/>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smartTag w:uri="urn:schemas-microsoft-com:office:smarttags" w:element="PlaceName">
        <w:smartTag w:uri="urn:schemas-microsoft-com:office:smarttags" w:element="Street">
          <w:r>
            <w:rPr>
              <w:i/>
            </w:rPr>
            <w:t>Magistrates Court</w:t>
          </w:r>
        </w:smartTag>
      </w:smartTag>
      <w:r>
        <w:rPr>
          <w:i/>
        </w:rPr>
        <w:t xml:space="preserve"> Act 2004</w:t>
      </w:r>
      <w:r>
        <w:t>.</w:t>
      </w:r>
    </w:p>
    <w:p>
      <w:pPr>
        <w:pStyle w:val="Subsection"/>
        <w:pageBreakBefore/>
        <w:widowControl w:val="0"/>
        <w:spacing w:before="0"/>
      </w:pPr>
      <w:r>
        <w:tab/>
        <w:t>(2)</w:t>
      </w:r>
      <w:r>
        <w:tab/>
        <w:t>An oath or affirmation referred to in subsection (1) may be taken at a place outside the State.</w:t>
      </w:r>
    </w:p>
    <w:p>
      <w:pPr>
        <w:pStyle w:val="Footnotesection"/>
        <w:keepLines w:val="0"/>
        <w:spacing w:before="80"/>
        <w:ind w:left="890" w:hanging="890"/>
      </w:pPr>
      <w:r>
        <w:tab/>
        <w:t>[Section 12 amended by No. 15 of 1991 s. 9; No. 59 of 2004 s. 65 and 73; No. 24 of 2005 s. 14; No. 7 of 2008 s. 150.]</w:t>
      </w:r>
    </w:p>
    <w:p>
      <w:pPr>
        <w:pStyle w:val="Footnotesection"/>
        <w:spacing w:before="80"/>
      </w:pPr>
      <w:r>
        <w:tab/>
        <w:t>[Section 12. Modifications to be applied in order to give effect to Cross-border Justice Act 2008: section altered 1 Dec 2009. See endnote 1M.]</w:t>
      </w:r>
    </w:p>
    <w:p>
      <w:pPr>
        <w:pStyle w:val="Heading3"/>
        <w:spacing w:before="200"/>
      </w:pPr>
      <w:bookmarkStart w:id="21" w:name="_Toc522656714"/>
      <w:r>
        <w:rPr>
          <w:rStyle w:val="CharDivNo"/>
        </w:rPr>
        <w:t>Division 3</w:t>
      </w:r>
      <w:r>
        <w:rPr>
          <w:snapToGrid w:val="0"/>
        </w:rPr>
        <w:t> — </w:t>
      </w:r>
      <w:r>
        <w:rPr>
          <w:rStyle w:val="CharDivText"/>
        </w:rPr>
        <w:t>Sittings of the Court</w:t>
      </w:r>
      <w:bookmarkEnd w:id="21"/>
    </w:p>
    <w:p>
      <w:pPr>
        <w:pStyle w:val="Heading5"/>
        <w:spacing w:before="180"/>
      </w:pPr>
      <w:bookmarkStart w:id="22" w:name="_Toc522656715"/>
      <w:r>
        <w:rPr>
          <w:rStyle w:val="CharSectno"/>
        </w:rPr>
        <w:t>13</w:t>
      </w:r>
      <w:r>
        <w:t>.</w:t>
      </w:r>
      <w:r>
        <w:tab/>
        <w:t>Where and when Court operates</w:t>
      </w:r>
      <w:bookmarkEnd w:id="22"/>
    </w:p>
    <w:p>
      <w:pPr>
        <w:pStyle w:val="Subsection"/>
        <w:spacing w:before="120"/>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spacing w:before="120"/>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spacing w:before="120"/>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Footnotesection"/>
        <w:keepLines w:val="0"/>
        <w:spacing w:before="100"/>
        <w:ind w:left="890" w:hanging="890"/>
      </w:pPr>
      <w:r>
        <w:tab/>
        <w:t>[Section 13 inserted by No. 59 of 2004 s. 66; amended by No. 7 of 2008 s. 151.]</w:t>
      </w:r>
    </w:p>
    <w:p>
      <w:pPr>
        <w:pStyle w:val="Heading5"/>
        <w:spacing w:before="180"/>
        <w:rPr>
          <w:snapToGrid w:val="0"/>
        </w:rPr>
      </w:pPr>
      <w:bookmarkStart w:id="23" w:name="_Toc522656716"/>
      <w:r>
        <w:rPr>
          <w:rStyle w:val="CharSectno"/>
        </w:rPr>
        <w:t>14</w:t>
      </w:r>
      <w:r>
        <w:rPr>
          <w:snapToGrid w:val="0"/>
        </w:rPr>
        <w:t>.</w:t>
      </w:r>
      <w:r>
        <w:rPr>
          <w:snapToGrid w:val="0"/>
        </w:rPr>
        <w:tab/>
        <w:t>Power to sit in chambers</w:t>
      </w:r>
      <w:bookmarkEnd w:id="23"/>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ind w:left="890" w:hanging="890"/>
      </w:pPr>
      <w:r>
        <w:tab/>
        <w:t>[Section 14 amended by No. 59 of 2004 s. 73.]</w:t>
      </w:r>
    </w:p>
    <w:p>
      <w:pPr>
        <w:pStyle w:val="Heading5"/>
        <w:rPr>
          <w:snapToGrid w:val="0"/>
        </w:rPr>
      </w:pPr>
      <w:bookmarkStart w:id="24" w:name="_Toc522656717"/>
      <w:r>
        <w:rPr>
          <w:rStyle w:val="CharSectno"/>
        </w:rPr>
        <w:t>15</w:t>
      </w:r>
      <w:r>
        <w:rPr>
          <w:snapToGrid w:val="0"/>
        </w:rPr>
        <w:t>.</w:t>
      </w:r>
      <w:r>
        <w:rPr>
          <w:snapToGrid w:val="0"/>
        </w:rPr>
        <w:tab/>
        <w:t>Police officers to attend Court</w:t>
      </w:r>
      <w:bookmarkEnd w:id="24"/>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ind w:left="890" w:hanging="890"/>
      </w:pPr>
      <w:r>
        <w:tab/>
        <w:t>[Section 15 amended by No. 59 of 2004 s. 73.]</w:t>
      </w:r>
    </w:p>
    <w:p>
      <w:pPr>
        <w:pStyle w:val="Heading3"/>
      </w:pPr>
      <w:bookmarkStart w:id="25" w:name="_Toc522656718"/>
      <w:r>
        <w:rPr>
          <w:rStyle w:val="CharDivNo"/>
        </w:rPr>
        <w:t>Division 4</w:t>
      </w:r>
      <w:r>
        <w:rPr>
          <w:snapToGrid w:val="0"/>
        </w:rPr>
        <w:t> — </w:t>
      </w:r>
      <w:r>
        <w:rPr>
          <w:rStyle w:val="CharDivText"/>
        </w:rPr>
        <w:t>Officers of the Court</w:t>
      </w:r>
      <w:bookmarkEnd w:id="25"/>
    </w:p>
    <w:p>
      <w:pPr>
        <w:pStyle w:val="Heading5"/>
      </w:pPr>
      <w:bookmarkStart w:id="26" w:name="_Toc522656719"/>
      <w:r>
        <w:rPr>
          <w:rStyle w:val="CharSectno"/>
        </w:rPr>
        <w:t>16</w:t>
      </w:r>
      <w:r>
        <w:t>.</w:t>
      </w:r>
      <w:r>
        <w:tab/>
        <w:t>Appointment of registrars etc.</w:t>
      </w:r>
      <w:bookmarkEnd w:id="26"/>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keepNext/>
      </w:pPr>
      <w:r>
        <w:tab/>
        <w:t>(4)</w:t>
      </w:r>
      <w:r>
        <w:tab/>
        <w:t xml:space="preserve">Section 26(7) to (8b) of the </w:t>
      </w:r>
      <w:r>
        <w:rPr>
          <w:i/>
          <w:iCs/>
        </w:rPr>
        <w:t>Magistrates Court Act 2004</w:t>
      </w:r>
      <w:r>
        <w:t xml:space="preserve"> applies as if — </w:t>
      </w:r>
    </w:p>
    <w:p>
      <w:pPr>
        <w:pStyle w:val="Indenta"/>
      </w:pPr>
      <w:r>
        <w:tab/>
        <w:t>(a)</w:t>
      </w:r>
      <w:r>
        <w:tab/>
        <w:t xml:space="preserve">each reference to the </w:t>
      </w:r>
      <w:smartTag w:uri="urn:schemas-microsoft-com:office:smarttags" w:element="PlaceName">
        <w:smartTag w:uri="urn:schemas-microsoft-com:office:smarttags" w:element="Street">
          <w:r>
            <w:t>Magistrates Court</w:t>
          </w:r>
        </w:smartTag>
      </w:smartTag>
      <w:r>
        <w:t xml:space="preserve">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by No. 59 of 2004 s. 67; amended by No. 7 of 2008 s. 152.]</w:t>
      </w:r>
    </w:p>
    <w:p>
      <w:pPr>
        <w:pStyle w:val="Heading5"/>
        <w:rPr>
          <w:snapToGrid w:val="0"/>
        </w:rPr>
      </w:pPr>
      <w:bookmarkStart w:id="27" w:name="_Toc522656720"/>
      <w:r>
        <w:rPr>
          <w:rStyle w:val="CharSectno"/>
        </w:rPr>
        <w:t>17</w:t>
      </w:r>
      <w:r>
        <w:rPr>
          <w:snapToGrid w:val="0"/>
        </w:rPr>
        <w:t>.</w:t>
      </w:r>
      <w:r>
        <w:rPr>
          <w:snapToGrid w:val="0"/>
        </w:rPr>
        <w:tab/>
        <w:t xml:space="preserve">Duties of </w:t>
      </w:r>
      <w:r>
        <w:t>registrar</w:t>
      </w:r>
      <w:bookmarkEnd w:id="27"/>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 and</w:t>
      </w:r>
    </w:p>
    <w:p>
      <w:pPr>
        <w:pStyle w:val="Indenta"/>
        <w:rPr>
          <w:snapToGrid w:val="0"/>
        </w:rPr>
      </w:pPr>
      <w:r>
        <w:rPr>
          <w:snapToGrid w:val="0"/>
        </w:rPr>
        <w:tab/>
        <w:t>(b)</w:t>
      </w:r>
      <w:r>
        <w:rPr>
          <w:snapToGrid w:val="0"/>
        </w:rPr>
        <w:tab/>
        <w:t>maintain a record of all proceedings, verdicts and judgments of the Court at that place; and</w:t>
      </w:r>
    </w:p>
    <w:p>
      <w:pPr>
        <w:pStyle w:val="Indenta"/>
        <w:rPr>
          <w:snapToGrid w:val="0"/>
        </w:rPr>
      </w:pPr>
      <w:r>
        <w:rPr>
          <w:snapToGrid w:val="0"/>
        </w:rPr>
        <w:tab/>
        <w:t>(c)</w:t>
      </w:r>
      <w:r>
        <w:rPr>
          <w:snapToGrid w:val="0"/>
        </w:rPr>
        <w:tab/>
        <w:t>make lists of all matters for hearing, trial, further hearing or rehearing by the Court at that place; and</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 and</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 and</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Sch. 1 cl. 24.]</w:t>
      </w:r>
    </w:p>
    <w:p>
      <w:pPr>
        <w:pStyle w:val="Heading5"/>
        <w:rPr>
          <w:snapToGrid w:val="0"/>
        </w:rPr>
      </w:pPr>
      <w:bookmarkStart w:id="28" w:name="_Toc522656721"/>
      <w:r>
        <w:rPr>
          <w:rStyle w:val="CharSectno"/>
        </w:rPr>
        <w:t>18</w:t>
      </w:r>
      <w:r>
        <w:rPr>
          <w:snapToGrid w:val="0"/>
        </w:rPr>
        <w:t>.</w:t>
      </w:r>
      <w:r>
        <w:rPr>
          <w:snapToGrid w:val="0"/>
        </w:rPr>
        <w:tab/>
        <w:t xml:space="preserve">Power of </w:t>
      </w:r>
      <w:r>
        <w:t>registrars</w:t>
      </w:r>
      <w:r>
        <w:rPr>
          <w:snapToGrid w:val="0"/>
        </w:rPr>
        <w:t xml:space="preserve"> to administer oaths etc.</w:t>
      </w:r>
      <w:bookmarkEnd w:id="28"/>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by No. 59 of 2004 s. 73; No. 24 of 2005 s. 15.]</w:t>
      </w:r>
    </w:p>
    <w:p>
      <w:pPr>
        <w:pStyle w:val="Heading2"/>
      </w:pPr>
      <w:bookmarkStart w:id="29" w:name="_Toc522656722"/>
      <w:r>
        <w:rPr>
          <w:rStyle w:val="CharPartNo"/>
        </w:rPr>
        <w:t>Part 3</w:t>
      </w:r>
      <w:r>
        <w:rPr>
          <w:rStyle w:val="CharDivNo"/>
        </w:rPr>
        <w:t> </w:t>
      </w:r>
      <w:r>
        <w:t>—</w:t>
      </w:r>
      <w:r>
        <w:rPr>
          <w:rStyle w:val="CharDivText"/>
        </w:rPr>
        <w:t> </w:t>
      </w:r>
      <w:r>
        <w:rPr>
          <w:rStyle w:val="CharPartText"/>
        </w:rPr>
        <w:t>Jurisdiction of the Court</w:t>
      </w:r>
      <w:bookmarkEnd w:id="29"/>
    </w:p>
    <w:p>
      <w:pPr>
        <w:pStyle w:val="Heading5"/>
        <w:spacing w:before="180"/>
        <w:rPr>
          <w:snapToGrid w:val="0"/>
        </w:rPr>
      </w:pPr>
      <w:bookmarkStart w:id="30" w:name="_Toc522656723"/>
      <w:r>
        <w:rPr>
          <w:rStyle w:val="CharSectno"/>
        </w:rPr>
        <w:t>19</w:t>
      </w:r>
      <w:r>
        <w:rPr>
          <w:snapToGrid w:val="0"/>
        </w:rPr>
        <w:t>.</w:t>
      </w:r>
      <w:r>
        <w:rPr>
          <w:snapToGrid w:val="0"/>
        </w:rPr>
        <w:tab/>
        <w:t>Criminal jurisdiction as regards children</w:t>
      </w:r>
      <w:bookmarkEnd w:id="30"/>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00"/>
      </w:pPr>
      <w:r>
        <w:tab/>
        <w:t>(a)</w:t>
      </w:r>
      <w:r>
        <w:tab/>
        <w:t xml:space="preserve">the </w:t>
      </w:r>
      <w:r>
        <w:rPr>
          <w:i/>
        </w:rPr>
        <w:t>Young Offenders Act 1994</w:t>
      </w:r>
      <w:r>
        <w:t xml:space="preserve"> Part 5 Division 2;</w:t>
      </w:r>
    </w:p>
    <w:p>
      <w:pPr>
        <w:pStyle w:val="Indenta"/>
        <w:spacing w:before="10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keepNext/>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widowControl w:val="0"/>
        <w:spacing w:before="60"/>
        <w:ind w:left="890" w:hanging="890"/>
      </w:pPr>
      <w:r>
        <w:tab/>
        <w:t>[Section 19 amended by No. 15 of 1991 s. 10; No. 104 of 1994 s. 224; No. 78 of 1995 s. 12; No. 27 of 2004 s. 14(3); No. 59 of 2004 s. 68 and 73; No. 84 of 2004 s. 80.]</w:t>
      </w:r>
    </w:p>
    <w:p>
      <w:pPr>
        <w:pStyle w:val="Heading5"/>
        <w:rPr>
          <w:snapToGrid w:val="0"/>
        </w:rPr>
      </w:pPr>
      <w:bookmarkStart w:id="31" w:name="_Toc522656724"/>
      <w:r>
        <w:rPr>
          <w:rStyle w:val="CharSectno"/>
        </w:rPr>
        <w:t>19A</w:t>
      </w:r>
      <w:r>
        <w:rPr>
          <w:snapToGrid w:val="0"/>
        </w:rPr>
        <w:t>.</w:t>
      </w:r>
      <w:r>
        <w:rPr>
          <w:snapToGrid w:val="0"/>
        </w:rPr>
        <w:tab/>
        <w:t>Application of sections 19B to 19E</w:t>
      </w:r>
      <w:bookmarkEnd w:id="31"/>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32" w:name="_Toc522656725"/>
      <w:r>
        <w:rPr>
          <w:rStyle w:val="CharSectno"/>
        </w:rPr>
        <w:t>19B</w:t>
      </w:r>
      <w:r>
        <w:rPr>
          <w:snapToGrid w:val="0"/>
        </w:rPr>
        <w:t>.</w:t>
      </w:r>
      <w:r>
        <w:rPr>
          <w:snapToGrid w:val="0"/>
        </w:rPr>
        <w:tab/>
        <w:t>Jurisdiction and procedure for charges of indictable offences</w:t>
      </w:r>
      <w:bookmarkEnd w:id="32"/>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 and</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spacing w:before="180"/>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80"/>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by No. 15 of 1991 s. 11; amended by No. 71 of 2000 s. 40; No. 65 of 2003 s. 122(2); No. 4 of 2004 s. 58; No. 59 of 2004 s. 69 and 73; No. 84 of 2004 s. 13, 18 and 80.]</w:t>
      </w:r>
    </w:p>
    <w:p>
      <w:pPr>
        <w:pStyle w:val="Heading5"/>
        <w:rPr>
          <w:snapToGrid w:val="0"/>
        </w:rPr>
      </w:pPr>
      <w:bookmarkStart w:id="33" w:name="_Toc522656726"/>
      <w:smartTag w:uri="urn:schemas-microsoft-com:office:smarttags" w:element="Street">
        <w:smartTag w:uri="urn:schemas-microsoft-com:office:smarttags" w:element="PlaceName">
          <w:r>
            <w:rPr>
              <w:rStyle w:val="CharSectno"/>
            </w:rPr>
            <w:t>19C</w:t>
          </w:r>
          <w:r>
            <w:rPr>
              <w:snapToGrid w:val="0"/>
            </w:rPr>
            <w:t>.</w:t>
          </w:r>
          <w:r>
            <w:rPr>
              <w:snapToGrid w:val="0"/>
            </w:rPr>
            <w:tab/>
            <w:t>Court</w:t>
          </w:r>
        </w:smartTag>
      </w:smartTag>
      <w:r>
        <w:rPr>
          <w:snapToGrid w:val="0"/>
        </w:rPr>
        <w:t xml:space="preserve">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child and adult charged with same offence</w:t>
      </w:r>
      <w:bookmarkEnd w:id="33"/>
    </w:p>
    <w:p>
      <w:pPr>
        <w:pStyle w:val="Subsection"/>
        <w:spacing w:before="18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ind w:left="890" w:hanging="890"/>
      </w:pPr>
      <w:r>
        <w:tab/>
        <w:t>[Section 19C inserted by No. 15 of 1991 s. 11; amended by No. 27 of 2002 s. 23; No. 4 of 2004 s. 58; No. 59 of 2004 s. 73; No. 84 of 2004 s. 18 and 80.]</w:t>
      </w:r>
    </w:p>
    <w:p>
      <w:pPr>
        <w:pStyle w:val="Heading5"/>
        <w:keepNext w:val="0"/>
        <w:keepLines w:val="0"/>
        <w:widowControl w:val="0"/>
        <w:rPr>
          <w:snapToGrid w:val="0"/>
        </w:rPr>
      </w:pPr>
      <w:bookmarkStart w:id="34" w:name="_Toc522656727"/>
      <w:r>
        <w:rPr>
          <w:rStyle w:val="CharSectno"/>
        </w:rPr>
        <w:t>19D</w:t>
      </w:r>
      <w:r>
        <w:rPr>
          <w:snapToGrid w:val="0"/>
        </w:rPr>
        <w:t>.</w:t>
      </w:r>
      <w:r>
        <w:rPr>
          <w:snapToGrid w:val="0"/>
        </w:rPr>
        <w:tab/>
        <w:t xml:space="preserve">Court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accused has turned 18</w:t>
      </w:r>
      <w:bookmarkEnd w:id="34"/>
    </w:p>
    <w:p>
      <w:pPr>
        <w:pStyle w:val="Subsection"/>
        <w:spacing w:before="120"/>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 or</w:t>
      </w:r>
    </w:p>
    <w:p>
      <w:pPr>
        <w:pStyle w:val="Indenta"/>
        <w:rPr>
          <w:snapToGrid w:val="0"/>
        </w:rPr>
      </w:pPr>
      <w:r>
        <w:rPr>
          <w:snapToGrid w:val="0"/>
        </w:rPr>
        <w:tab/>
        <w:t>(b)</w:t>
      </w:r>
      <w:r>
        <w:rPr>
          <w:snapToGrid w:val="0"/>
        </w:rPr>
        <w:tab/>
        <w:t>the existence of an adult co</w:t>
      </w:r>
      <w:r>
        <w:rPr>
          <w:snapToGrid w:val="0"/>
        </w:rPr>
        <w:noBreakHyphen/>
        <w:t>offender; or</w:t>
      </w:r>
    </w:p>
    <w:p>
      <w:pPr>
        <w:pStyle w:val="Indenta"/>
        <w:rPr>
          <w:snapToGrid w:val="0"/>
        </w:rPr>
      </w:pPr>
      <w:r>
        <w:rPr>
          <w:snapToGrid w:val="0"/>
        </w:rPr>
        <w:tab/>
        <w:t>(c)</w:t>
      </w:r>
      <w:r>
        <w:rPr>
          <w:snapToGrid w:val="0"/>
        </w:rPr>
        <w:tab/>
        <w:t>the effluxion of time since the offence; or</w:t>
      </w:r>
    </w:p>
    <w:p>
      <w:pPr>
        <w:pStyle w:val="Indenta"/>
        <w:rPr>
          <w:snapToGrid w:val="0"/>
        </w:rPr>
      </w:pPr>
      <w:r>
        <w:rPr>
          <w:snapToGrid w:val="0"/>
        </w:rPr>
        <w:tab/>
        <w:t>(d)</w:t>
      </w:r>
      <w:r>
        <w:rPr>
          <w:snapToGrid w:val="0"/>
        </w:rPr>
        <w:tab/>
        <w:t xml:space="preserve">the fact that the person is charged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spacing w:before="120"/>
        <w:rPr>
          <w:snapToGrid w:val="0"/>
        </w:rPr>
      </w:pPr>
      <w:r>
        <w:rPr>
          <w:snapToGrid w:val="0"/>
        </w:rPr>
        <w:tab/>
      </w:r>
      <w:r>
        <w:rPr>
          <w:snapToGrid w:val="0"/>
        </w:rPr>
        <w:tab/>
        <w:t xml:space="preserve">order the transfer of the </w:t>
      </w:r>
      <w:r>
        <w:t>prosecution notice</w:t>
      </w:r>
      <w:r>
        <w:rPr>
          <w:snapToGrid w:val="0"/>
        </w:rPr>
        <w:t xml:space="preserve"> to </w:t>
      </w:r>
      <w:r>
        <w:t xml:space="preserve">the </w:t>
      </w:r>
      <w:smartTag w:uri="urn:schemas-microsoft-com:office:smarttags" w:element="PlaceName">
        <w:smartTag w:uri="urn:schemas-microsoft-com:office:smarttags" w:element="Street">
          <w:r>
            <w:t>Magistrates Court</w:t>
          </w:r>
        </w:smartTag>
      </w:smartTag>
      <w:r>
        <w:rPr>
          <w:snapToGrid w:val="0"/>
        </w:rPr>
        <w:t xml:space="preserve"> to be dealt with according to law and </w:t>
      </w:r>
      <w:r>
        <w:t xml:space="preserve">the </w:t>
      </w:r>
      <w:smartTag w:uri="urn:schemas-microsoft-com:office:smarttags" w:element="PlaceName">
        <w:smartTag w:uri="urn:schemas-microsoft-com:office:smarttags" w:element="Street">
          <w:r>
            <w:t>Magistrates Court</w:t>
          </w:r>
        </w:smartTag>
      </w:smartTag>
      <w:r>
        <w:rPr>
          <w:snapToGrid w:val="0"/>
        </w:rPr>
        <w:t xml:space="preserve"> shall have jurisdiction accordingly.</w:t>
      </w:r>
    </w:p>
    <w:p>
      <w:pPr>
        <w:pStyle w:val="Footnotesection"/>
      </w:pPr>
      <w:r>
        <w:tab/>
        <w:t>[Section 19D inserted by No. 15 of 1991 s. 11; amended by No. 59 of 2004 s. 73; No. 84 of 2004 s. 80.]</w:t>
      </w:r>
    </w:p>
    <w:p>
      <w:pPr>
        <w:pStyle w:val="Heading5"/>
        <w:spacing w:before="180"/>
        <w:rPr>
          <w:snapToGrid w:val="0"/>
        </w:rPr>
      </w:pPr>
      <w:bookmarkStart w:id="35" w:name="_Toc522656728"/>
      <w:r>
        <w:rPr>
          <w:rStyle w:val="CharSectno"/>
        </w:rPr>
        <w:t>19E</w:t>
      </w:r>
      <w:r>
        <w:rPr>
          <w:snapToGrid w:val="0"/>
        </w:rPr>
        <w:t>.</w:t>
      </w:r>
      <w:r>
        <w:rPr>
          <w:snapToGrid w:val="0"/>
        </w:rPr>
        <w:tab/>
        <w:t>Procedure for charges of Commonwealth indictable offences</w:t>
      </w:r>
      <w:bookmarkEnd w:id="35"/>
    </w:p>
    <w:p>
      <w:pPr>
        <w:pStyle w:val="Subsection"/>
        <w:spacing w:before="120"/>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spacing w:before="80"/>
        <w:ind w:left="890" w:hanging="890"/>
      </w:pPr>
      <w:r>
        <w:tab/>
        <w:t>[Section 19E inserted by No. 15 of 1991 s. 11; amended by No. 65 of 2003 s. 122(3); No. 84 of 2004 s. 80.]</w:t>
      </w:r>
    </w:p>
    <w:p>
      <w:pPr>
        <w:pStyle w:val="Heading5"/>
        <w:keepNext w:val="0"/>
        <w:keepLines w:val="0"/>
        <w:widowControl w:val="0"/>
        <w:spacing w:before="180"/>
        <w:rPr>
          <w:snapToGrid w:val="0"/>
        </w:rPr>
      </w:pPr>
      <w:bookmarkStart w:id="36" w:name="_Toc522656729"/>
      <w:r>
        <w:rPr>
          <w:rStyle w:val="CharSectno"/>
        </w:rPr>
        <w:t>19F</w:t>
      </w:r>
      <w:r>
        <w:rPr>
          <w:snapToGrid w:val="0"/>
        </w:rPr>
        <w:t>.</w:t>
      </w:r>
      <w:r>
        <w:rPr>
          <w:snapToGrid w:val="0"/>
        </w:rPr>
        <w:tab/>
        <w:t>Rules</w:t>
      </w:r>
      <w:bookmarkEnd w:id="36"/>
    </w:p>
    <w:p>
      <w:pPr>
        <w:pStyle w:val="Subsection"/>
        <w:spacing w:before="120"/>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spacing w:before="80"/>
        <w:ind w:left="890" w:hanging="890"/>
      </w:pPr>
      <w:r>
        <w:tab/>
        <w:t>[Section 19F inserted by No. 15 of 1991 s. 11.]</w:t>
      </w:r>
    </w:p>
    <w:p>
      <w:pPr>
        <w:pStyle w:val="Heading5"/>
        <w:rPr>
          <w:snapToGrid w:val="0"/>
        </w:rPr>
      </w:pPr>
      <w:bookmarkStart w:id="37" w:name="_Toc522656730"/>
      <w:r>
        <w:rPr>
          <w:rStyle w:val="CharSectno"/>
        </w:rPr>
        <w:t>20</w:t>
      </w:r>
      <w:r>
        <w:rPr>
          <w:snapToGrid w:val="0"/>
        </w:rPr>
        <w:t>.</w:t>
      </w:r>
      <w:r>
        <w:rPr>
          <w:snapToGrid w:val="0"/>
        </w:rPr>
        <w:tab/>
        <w:t>Non</w:t>
      </w:r>
      <w:r>
        <w:rPr>
          <w:snapToGrid w:val="0"/>
        </w:rPr>
        <w:noBreakHyphen/>
        <w:t>criminal jurisdiction as regards children</w:t>
      </w:r>
      <w:bookmarkEnd w:id="37"/>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 and</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 and</w:t>
      </w:r>
    </w:p>
    <w:p>
      <w:pPr>
        <w:pStyle w:val="Indenta"/>
        <w:rPr>
          <w:snapToGrid w:val="0"/>
        </w:rPr>
      </w:pPr>
      <w:r>
        <w:rPr>
          <w:snapToGrid w:val="0"/>
        </w:rPr>
        <w:tab/>
        <w:t>(e)</w:t>
      </w:r>
      <w:r>
        <w:rPr>
          <w:snapToGrid w:val="0"/>
        </w:rPr>
        <w:tab/>
        <w:t xml:space="preserve">under section 14 or 15 of the </w:t>
      </w:r>
      <w:r>
        <w:rPr>
          <w:i/>
          <w:iCs/>
          <w:snapToGrid w:val="0"/>
        </w:rPr>
        <w:t>Parental Support and Responsibility Act 2008</w:t>
      </w:r>
      <w:r>
        <w:rPr>
          <w:snapToGrid w:val="0"/>
        </w:rPr>
        <w:t>.</w:t>
      </w:r>
    </w:p>
    <w:p>
      <w:pPr>
        <w:pStyle w:val="Subsection"/>
      </w:pPr>
      <w:r>
        <w:tab/>
        <w:t>(2A)</w:t>
      </w:r>
      <w:r>
        <w:tab/>
        <w:t xml:space="preserve">Subject to this Act and the </w:t>
      </w:r>
      <w:r>
        <w:rPr>
          <w:i/>
        </w:rPr>
        <w:t>Restraining Orders Act 1997</w:t>
      </w:r>
      <w:r>
        <w:t xml:space="preserve"> section 52, the Court has jurisdiction to hear and determine all applications made to the Court with respect to a child under the </w:t>
      </w:r>
      <w:r>
        <w:rPr>
          <w:i/>
        </w:rPr>
        <w:t>Restraining Orders Act 1997</w:t>
      </w:r>
      <w: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subsections (1) and (2A).</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Footnotesection"/>
        <w:ind w:left="890" w:hanging="890"/>
      </w:pPr>
      <w:r>
        <w:tab/>
        <w:t xml:space="preserve">[Section 20 amended by No. 19 of 1997 s. 81; No. 15 of 1998 s. 9; No. 36 of 1999 s. 247; </w:t>
      </w:r>
      <w:r>
        <w:rPr>
          <w:spacing w:val="-6"/>
        </w:rPr>
        <w:t>No. 34 of 2004 s. </w:t>
      </w:r>
      <w:r>
        <w:t>251; No. 84 of 2004 s. 14 and 80; No. 14 of 2008 s. 43(2); No. 59 of 2010 s. 43; No. 14 of 2013 s. 7.]</w:t>
      </w:r>
    </w:p>
    <w:p>
      <w:pPr>
        <w:pStyle w:val="Heading5"/>
        <w:spacing w:before="180"/>
        <w:rPr>
          <w:snapToGrid w:val="0"/>
        </w:rPr>
      </w:pPr>
      <w:bookmarkStart w:id="38" w:name="_Toc522656731"/>
      <w:r>
        <w:rPr>
          <w:rStyle w:val="CharSectno"/>
        </w:rPr>
        <w:t>21</w:t>
      </w:r>
      <w:r>
        <w:rPr>
          <w:snapToGrid w:val="0"/>
        </w:rPr>
        <w:t>.</w:t>
      </w:r>
      <w:r>
        <w:rPr>
          <w:snapToGrid w:val="0"/>
        </w:rPr>
        <w:tab/>
        <w:t>Limitations on exercise of certain jurisdiction</w:t>
      </w:r>
      <w:bookmarkEnd w:id="38"/>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spacing w:before="120"/>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 No. 5 of 2008 s. 4.]</w:t>
      </w:r>
    </w:p>
    <w:p>
      <w:pPr>
        <w:pStyle w:val="Heading5"/>
        <w:rPr>
          <w:snapToGrid w:val="0"/>
        </w:rPr>
      </w:pPr>
      <w:bookmarkStart w:id="39" w:name="_Toc522656732"/>
      <w:r>
        <w:rPr>
          <w:rStyle w:val="CharSectno"/>
        </w:rPr>
        <w:t>22</w:t>
      </w:r>
      <w:r>
        <w:rPr>
          <w:snapToGrid w:val="0"/>
        </w:rPr>
        <w:t>.</w:t>
      </w:r>
      <w:r>
        <w:rPr>
          <w:snapToGrid w:val="0"/>
        </w:rPr>
        <w:tab/>
        <w:t>President may extend powers of magistrate</w:t>
      </w:r>
      <w:bookmarkEnd w:id="39"/>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40" w:name="_Toc522656733"/>
      <w:r>
        <w:rPr>
          <w:rStyle w:val="CharSectno"/>
        </w:rPr>
        <w:t>23</w:t>
      </w:r>
      <w:r>
        <w:rPr>
          <w:snapToGrid w:val="0"/>
        </w:rPr>
        <w:t>.</w:t>
      </w:r>
      <w:r>
        <w:rPr>
          <w:snapToGrid w:val="0"/>
        </w:rPr>
        <w:tab/>
        <w:t>Court may require attendance of parent or guardian</w:t>
      </w:r>
      <w:bookmarkEnd w:id="40"/>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by No. 104 of 1994 s. 225.]</w:t>
      </w:r>
    </w:p>
    <w:p>
      <w:pPr>
        <w:pStyle w:val="Heading5"/>
      </w:pPr>
      <w:bookmarkStart w:id="41" w:name="_Toc522656734"/>
      <w:r>
        <w:rPr>
          <w:rStyle w:val="CharSectno"/>
        </w:rPr>
        <w:t>24</w:t>
      </w:r>
      <w:r>
        <w:t>.</w:t>
      </w:r>
      <w:r>
        <w:tab/>
        <w:t>Criminal jurisdiction as regards adults</w:t>
      </w:r>
      <w:bookmarkEnd w:id="41"/>
    </w:p>
    <w:p>
      <w:pPr>
        <w:pStyle w:val="Subsection"/>
      </w:pPr>
      <w:r>
        <w:tab/>
        <w:t>(1)</w:t>
      </w:r>
      <w:r>
        <w:tab/>
        <w:t xml:space="preserve">The Court has exclusive jurisdiction to hear and determine — </w:t>
      </w:r>
    </w:p>
    <w:p>
      <w:pPr>
        <w:pStyle w:val="Indenta"/>
      </w:pPr>
      <w:r>
        <w:tab/>
        <w:t>(a)</w:t>
      </w:r>
      <w:r>
        <w:tab/>
        <w:t xml:space="preserve">a charge alleging an offence under section 21(1) of the </w:t>
      </w:r>
      <w:r>
        <w:rPr>
          <w:i/>
          <w:iCs/>
        </w:rPr>
        <w:t>Parental Support and Responsibility Act 2008</w:t>
      </w:r>
      <w:r>
        <w:t>; and</w:t>
      </w:r>
    </w:p>
    <w:p>
      <w:pPr>
        <w:pStyle w:val="Indenta"/>
        <w:keepLines/>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Subsection"/>
      </w:pPr>
      <w:r>
        <w:tab/>
        <w:t>(2)</w:t>
      </w:r>
      <w:r>
        <w:tab/>
        <w:t>This section applies if section 19 does not apply.</w:t>
      </w:r>
    </w:p>
    <w:p>
      <w:pPr>
        <w:pStyle w:val="Footnotesection"/>
        <w:ind w:left="890" w:hanging="890"/>
      </w:pPr>
      <w:r>
        <w:tab/>
        <w:t>[Section 24 inserted by No. 14 of 2008 s. 43(3).]</w:t>
      </w:r>
    </w:p>
    <w:p>
      <w:pPr>
        <w:pStyle w:val="Ednotesection"/>
      </w:pPr>
      <w:r>
        <w:t>[</w:t>
      </w:r>
      <w:r>
        <w:rPr>
          <w:b/>
        </w:rPr>
        <w:t>25</w:t>
      </w:r>
      <w:r>
        <w:rPr>
          <w:b/>
        </w:rPr>
        <w:noBreakHyphen/>
        <w:t>26.</w:t>
      </w:r>
      <w:r>
        <w:tab/>
        <w:t>Deleted by No. 104 of 1994 s. 226.]</w:t>
      </w:r>
    </w:p>
    <w:p>
      <w:pPr>
        <w:pStyle w:val="Heading5"/>
        <w:rPr>
          <w:snapToGrid w:val="0"/>
        </w:rPr>
      </w:pPr>
      <w:bookmarkStart w:id="42" w:name="_Toc522656735"/>
      <w:r>
        <w:rPr>
          <w:rStyle w:val="CharSectno"/>
        </w:rPr>
        <w:t>27</w:t>
      </w:r>
      <w:r>
        <w:rPr>
          <w:snapToGrid w:val="0"/>
        </w:rPr>
        <w:t>.</w:t>
      </w:r>
      <w:r>
        <w:rPr>
          <w:snapToGrid w:val="0"/>
        </w:rPr>
        <w:tab/>
        <w:t>Certain orders may be set aside</w:t>
      </w:r>
      <w:bookmarkEnd w:id="42"/>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r>
        <w:tab/>
        <w:t>[Section 27 amended by No. 84 of 2004 s. 80.]</w:t>
      </w:r>
    </w:p>
    <w:p>
      <w:pPr>
        <w:pStyle w:val="Heading5"/>
        <w:rPr>
          <w:snapToGrid w:val="0"/>
        </w:rPr>
      </w:pPr>
      <w:bookmarkStart w:id="43" w:name="_Toc522656736"/>
      <w:r>
        <w:rPr>
          <w:rStyle w:val="CharSectno"/>
        </w:rPr>
        <w:t>28</w:t>
      </w:r>
      <w:r>
        <w:rPr>
          <w:snapToGrid w:val="0"/>
        </w:rPr>
        <w:t>.</w:t>
      </w:r>
      <w:r>
        <w:rPr>
          <w:snapToGrid w:val="0"/>
        </w:rPr>
        <w:tab/>
        <w:t>Court may re</w:t>
      </w:r>
      <w:r>
        <w:rPr>
          <w:snapToGrid w:val="0"/>
        </w:rPr>
        <w:noBreakHyphen/>
        <w:t>hear proceedings</w:t>
      </w:r>
      <w:bookmarkEnd w:id="43"/>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 or</w:t>
      </w:r>
    </w:p>
    <w:p>
      <w:pPr>
        <w:pStyle w:val="Indenta"/>
        <w:rPr>
          <w:snapToGrid w:val="0"/>
        </w:rPr>
      </w:pPr>
      <w:r>
        <w:rPr>
          <w:snapToGrid w:val="0"/>
        </w:rPr>
        <w:tab/>
        <w:t>(b)</w:t>
      </w:r>
      <w:r>
        <w:rPr>
          <w:snapToGrid w:val="0"/>
        </w:rPr>
        <w:tab/>
        <w:t>a parent or guardian of the child against whom an order may be made in those proceedings; or</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 and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 and</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44" w:name="_Toc522656737"/>
      <w:r>
        <w:rPr>
          <w:rStyle w:val="CharSectno"/>
        </w:rPr>
        <w:t>29</w:t>
      </w:r>
      <w:r>
        <w:rPr>
          <w:snapToGrid w:val="0"/>
        </w:rPr>
        <w:t>.</w:t>
      </w:r>
      <w:r>
        <w:rPr>
          <w:snapToGrid w:val="0"/>
        </w:rPr>
        <w:tab/>
        <w:t>Witnesses and contempt</w:t>
      </w:r>
      <w:bookmarkEnd w:id="44"/>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by No. 59 of 2004 s. 73; No. 7 of 2008 s. 153.]</w:t>
      </w:r>
    </w:p>
    <w:p>
      <w:pPr>
        <w:pStyle w:val="Heading5"/>
        <w:rPr>
          <w:snapToGrid w:val="0"/>
        </w:rPr>
      </w:pPr>
      <w:bookmarkStart w:id="45" w:name="_Toc522656738"/>
      <w:r>
        <w:rPr>
          <w:rStyle w:val="CharSectno"/>
        </w:rPr>
        <w:t>30</w:t>
      </w:r>
      <w:r>
        <w:rPr>
          <w:snapToGrid w:val="0"/>
        </w:rPr>
        <w:t>.</w:t>
      </w:r>
      <w:r>
        <w:rPr>
          <w:snapToGrid w:val="0"/>
        </w:rPr>
        <w:tab/>
        <w:t xml:space="preserve">Transfer of complaint to court of </w:t>
      </w:r>
      <w:r>
        <w:t>competent jurisdiction</w:t>
      </w:r>
      <w:bookmarkEnd w:id="45"/>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 and</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46" w:name="_Toc522656739"/>
      <w:r>
        <w:rPr>
          <w:rStyle w:val="CharPartNo"/>
        </w:rPr>
        <w:t>Part 4</w:t>
      </w:r>
      <w:r>
        <w:rPr>
          <w:rStyle w:val="CharDivNo"/>
        </w:rPr>
        <w:t> </w:t>
      </w:r>
      <w:r>
        <w:t>—</w:t>
      </w:r>
      <w:r>
        <w:rPr>
          <w:rStyle w:val="CharDivText"/>
        </w:rPr>
        <w:t> </w:t>
      </w:r>
      <w:r>
        <w:rPr>
          <w:rStyle w:val="CharPartText"/>
        </w:rPr>
        <w:t>Procedure of the Court</w:t>
      </w:r>
      <w:bookmarkEnd w:id="46"/>
    </w:p>
    <w:p>
      <w:pPr>
        <w:pStyle w:val="Heading5"/>
        <w:rPr>
          <w:snapToGrid w:val="0"/>
        </w:rPr>
      </w:pPr>
      <w:bookmarkStart w:id="47" w:name="_Toc522656740"/>
      <w:r>
        <w:rPr>
          <w:rStyle w:val="CharSectno"/>
        </w:rPr>
        <w:t>31</w:t>
      </w:r>
      <w:r>
        <w:rPr>
          <w:snapToGrid w:val="0"/>
        </w:rPr>
        <w:t>.</w:t>
      </w:r>
      <w:r>
        <w:rPr>
          <w:snapToGrid w:val="0"/>
        </w:rPr>
        <w:tab/>
        <w:t>Exclusion of persons from hearing</w:t>
      </w:r>
      <w:bookmarkEnd w:id="47"/>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r>
        <w:t>[</w:t>
      </w:r>
      <w:r>
        <w:rPr>
          <w:b/>
        </w:rPr>
        <w:t>32.</w:t>
      </w:r>
      <w:r>
        <w:rPr>
          <w:b/>
        </w:rPr>
        <w:tab/>
      </w:r>
      <w:r>
        <w:t>Deleted by No. 84 of 2004 s. 18.]</w:t>
      </w:r>
    </w:p>
    <w:p>
      <w:pPr>
        <w:pStyle w:val="Heading5"/>
      </w:pPr>
      <w:bookmarkStart w:id="48" w:name="_Toc522656741"/>
      <w:r>
        <w:rPr>
          <w:rStyle w:val="CharSectno"/>
        </w:rPr>
        <w:t>33</w:t>
      </w:r>
      <w:r>
        <w:t>.</w:t>
      </w:r>
      <w:r>
        <w:tab/>
        <w:t>CEOs or officers may take part in proceedings</w:t>
      </w:r>
      <w:bookmarkEnd w:id="48"/>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49" w:name="_Toc522656742"/>
      <w:r>
        <w:rPr>
          <w:rStyle w:val="CharSectno"/>
        </w:rPr>
        <w:t>34</w:t>
      </w:r>
      <w:r>
        <w:rPr>
          <w:snapToGrid w:val="0"/>
        </w:rPr>
        <w:t>.</w:t>
      </w:r>
      <w:r>
        <w:rPr>
          <w:snapToGrid w:val="0"/>
        </w:rPr>
        <w:tab/>
        <w:t>Court must explain proceedings</w:t>
      </w:r>
      <w:bookmarkEnd w:id="49"/>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50" w:name="_Toc522656743"/>
      <w:r>
        <w:rPr>
          <w:rStyle w:val="CharSectno"/>
        </w:rPr>
        <w:t>35</w:t>
      </w:r>
      <w:r>
        <w:rPr>
          <w:snapToGrid w:val="0"/>
        </w:rPr>
        <w:t>.</w:t>
      </w:r>
      <w:r>
        <w:rPr>
          <w:snapToGrid w:val="0"/>
        </w:rPr>
        <w:tab/>
        <w:t>Restrictions on reports of proceedings</w:t>
      </w:r>
      <w:bookmarkEnd w:id="50"/>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 or</w:t>
      </w:r>
    </w:p>
    <w:p>
      <w:pPr>
        <w:pStyle w:val="Indenta"/>
        <w:rPr>
          <w:snapToGrid w:val="0"/>
        </w:rPr>
      </w:pPr>
      <w:r>
        <w:rPr>
          <w:snapToGrid w:val="0"/>
        </w:rPr>
        <w:tab/>
        <w:t>(b)</w:t>
      </w:r>
      <w:r>
        <w:rPr>
          <w:snapToGrid w:val="0"/>
        </w:rPr>
        <w:tab/>
        <w:t>as a person in respect of whom the proceedings are taken; or</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 or</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 No. 59 of 2010 s. 44; No. 26 of 2011 s. 4.]</w:t>
      </w:r>
    </w:p>
    <w:p>
      <w:pPr>
        <w:pStyle w:val="Heading5"/>
        <w:keepNext w:val="0"/>
        <w:keepLines w:val="0"/>
        <w:pageBreakBefore/>
        <w:widowControl w:val="0"/>
        <w:spacing w:before="0"/>
        <w:rPr>
          <w:snapToGrid w:val="0"/>
        </w:rPr>
      </w:pPr>
      <w:bookmarkStart w:id="51" w:name="_Toc522656744"/>
      <w:r>
        <w:rPr>
          <w:rStyle w:val="CharSectno"/>
        </w:rPr>
        <w:t>36</w:t>
      </w:r>
      <w:r>
        <w:rPr>
          <w:snapToGrid w:val="0"/>
        </w:rPr>
        <w:t>.</w:t>
      </w:r>
      <w:r>
        <w:rPr>
          <w:snapToGrid w:val="0"/>
        </w:rPr>
        <w:tab/>
        <w:t>Disclosure of convictions, orders etc. restricted</w:t>
      </w:r>
      <w:bookmarkEnd w:id="51"/>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 or</w:t>
      </w:r>
    </w:p>
    <w:p>
      <w:pPr>
        <w:pStyle w:val="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 No. 14 of 2008 s. 43(4); No. 59 of 2010 s. 45; No. 26 of 2011 s. 5.]</w:t>
      </w:r>
    </w:p>
    <w:p>
      <w:pPr>
        <w:pStyle w:val="Heading5"/>
      </w:pPr>
      <w:bookmarkStart w:id="52" w:name="_Toc522656745"/>
      <w:r>
        <w:rPr>
          <w:rStyle w:val="CharSectno"/>
        </w:rPr>
        <w:t>36AA</w:t>
      </w:r>
      <w:r>
        <w:t>.</w:t>
      </w:r>
      <w:r>
        <w:tab/>
        <w:t>Disclosure for certain research purposes</w:t>
      </w:r>
      <w:bookmarkEnd w:id="52"/>
    </w:p>
    <w:p>
      <w:pPr>
        <w:pStyle w:val="Subsection"/>
      </w:pPr>
      <w:r>
        <w:tab/>
        <w:t>(1)</w:t>
      </w:r>
      <w:r>
        <w:tab/>
        <w:t xml:space="preserve">Where — </w:t>
      </w:r>
    </w:p>
    <w:p>
      <w:pPr>
        <w:pStyle w:val="Indenta"/>
      </w:pPr>
      <w:r>
        <w:tab/>
        <w:t>(a)</w:t>
      </w:r>
      <w:r>
        <w:tab/>
        <w:t>a charge against a child is dismissed by the Court; or</w:t>
      </w:r>
    </w:p>
    <w:p>
      <w:pPr>
        <w:pStyle w:val="Indenta"/>
      </w:pPr>
      <w:r>
        <w:tab/>
        <w:t>(b)</w:t>
      </w:r>
      <w:r>
        <w:tab/>
        <w:t>a child is convicted or found guilty of an offence by the Court,</w:t>
      </w:r>
    </w:p>
    <w:p>
      <w:pPr>
        <w:pStyle w:val="Subsection"/>
        <w:spacing w:before="120"/>
      </w:pPr>
      <w:r>
        <w:tab/>
      </w:r>
      <w:r>
        <w:tab/>
        <w:t>the fact of the dismissal, the conviction or finding of guilt or any relevant order may be disclosed to a health department officer for use in the research project.</w:t>
      </w:r>
    </w:p>
    <w:p>
      <w:pPr>
        <w:pStyle w:val="Subsection"/>
        <w:spacing w:before="120"/>
      </w:pPr>
      <w:r>
        <w:tab/>
        <w:t>(2)</w:t>
      </w:r>
      <w:r>
        <w:tab/>
        <w:t xml:space="preserve">In subsection (1) — </w:t>
      </w:r>
    </w:p>
    <w:p>
      <w:pPr>
        <w:pStyle w:val="Defstart"/>
      </w:pPr>
      <w:r>
        <w:tab/>
      </w:r>
      <w:r>
        <w:rPr>
          <w:rStyle w:val="CharDefText"/>
        </w:rPr>
        <w:t>health department officer</w:t>
      </w:r>
      <w:r>
        <w:t xml:space="preserve"> means a member of the Public Service employed in the Department as defined in the </w:t>
      </w:r>
      <w:r>
        <w:rPr>
          <w:i/>
        </w:rPr>
        <w:t xml:space="preserve">Health Act 1911 </w:t>
      </w:r>
      <w:r>
        <w:rPr>
          <w:iCs/>
        </w:rPr>
        <w:t>section 3(1)</w:t>
      </w:r>
      <w:r>
        <w:t>;</w:t>
      </w:r>
    </w:p>
    <w:p>
      <w:pPr>
        <w:pStyle w:val="Defstart"/>
      </w:pPr>
      <w:r>
        <w:tab/>
      </w:r>
      <w:r>
        <w:rPr>
          <w:rStyle w:val="CharDefText"/>
        </w:rPr>
        <w:t>research project</w:t>
      </w:r>
      <w:r>
        <w:t xml:space="preserve"> means the project known as “Developmental Pathways Project” conducted by the Telethon Institute for Child Health Research.</w:t>
      </w:r>
    </w:p>
    <w:p>
      <w:pPr>
        <w:pStyle w:val="Subsection"/>
        <w:spacing w:before="120"/>
      </w:pPr>
      <w:r>
        <w:tab/>
        <w:t>(3)</w:t>
      </w:r>
      <w:r>
        <w:tab/>
        <w:t xml:space="preserve">Information may be disclosed under subsection (1) — </w:t>
      </w:r>
    </w:p>
    <w:p>
      <w:pPr>
        <w:pStyle w:val="Indenta"/>
        <w:spacing w:before="60"/>
      </w:pPr>
      <w:r>
        <w:tab/>
        <w:t>(a)</w:t>
      </w:r>
      <w:r>
        <w:tab/>
        <w:t>even if the disclosure is in a manner which identifies or is likely to lead to the identification of the child; and</w:t>
      </w:r>
    </w:p>
    <w:p>
      <w:pPr>
        <w:pStyle w:val="Indenta"/>
        <w:spacing w:before="60"/>
      </w:pPr>
      <w:r>
        <w:tab/>
        <w:t>(b)</w:t>
      </w:r>
      <w:r>
        <w:tab/>
        <w:t>despite any written law relating to confidentiality or secrecy.</w:t>
      </w:r>
    </w:p>
    <w:p>
      <w:pPr>
        <w:pStyle w:val="Subsection"/>
        <w:spacing w:before="120"/>
      </w:pPr>
      <w:r>
        <w:tab/>
        <w:t>(4)</w:t>
      </w:r>
      <w:r>
        <w:tab/>
        <w:t>The chief executive officer of the department of the Public Service principally assisting in the administration of this Act must establish procedures for the disclosure of information under subsection (1).</w:t>
      </w:r>
    </w:p>
    <w:p>
      <w:pPr>
        <w:pStyle w:val="Subsection"/>
        <w:spacing w:before="120"/>
      </w:pPr>
      <w:r>
        <w:tab/>
        <w:t>(5)</w:t>
      </w:r>
      <w:r>
        <w:tab/>
        <w:t xml:space="preserve">The regulations may include provisions about — </w:t>
      </w:r>
    </w:p>
    <w:p>
      <w:pPr>
        <w:pStyle w:val="Indenta"/>
        <w:spacing w:before="60"/>
      </w:pPr>
      <w:r>
        <w:tab/>
        <w:t>(a)</w:t>
      </w:r>
      <w:r>
        <w:tab/>
        <w:t>the receipt and storage of information disclosed under this section; and</w:t>
      </w:r>
    </w:p>
    <w:p>
      <w:pPr>
        <w:pStyle w:val="Indenta"/>
        <w:spacing w:before="60"/>
      </w:pPr>
      <w:r>
        <w:tab/>
        <w:t>(b)</w:t>
      </w:r>
      <w:r>
        <w:tab/>
        <w:t>the restriction of access to such information.</w:t>
      </w:r>
    </w:p>
    <w:p>
      <w:pPr>
        <w:pStyle w:val="Subsection"/>
        <w:spacing w:before="120"/>
        <w:ind w:right="255"/>
      </w:pPr>
      <w:r>
        <w:tab/>
        <w:t>(6)</w:t>
      </w:r>
      <w:r>
        <w:tab/>
        <w:t>If information is disclosed, in good faith, under subsection (1) —</w:t>
      </w:r>
    </w:p>
    <w:p>
      <w:pPr>
        <w:pStyle w:val="Indenta"/>
        <w:spacing w:before="60"/>
      </w:pPr>
      <w:r>
        <w:tab/>
        <w:t>(a)</w:t>
      </w:r>
      <w:r>
        <w:tab/>
        <w:t>no civil or criminal liability, or liability to be punished for a contempt of court, is incurred in respect of the disclosure; and</w:t>
      </w:r>
    </w:p>
    <w:p>
      <w:pPr>
        <w:pStyle w:val="Indenta"/>
        <w:spacing w:before="60"/>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36AA inserted by No. 26 of  2011 s. 6.]</w:t>
      </w:r>
    </w:p>
    <w:p>
      <w:pPr>
        <w:pStyle w:val="Heading5"/>
        <w:rPr>
          <w:snapToGrid w:val="0"/>
        </w:rPr>
      </w:pPr>
      <w:bookmarkStart w:id="53" w:name="_Toc522656746"/>
      <w:r>
        <w:rPr>
          <w:rStyle w:val="CharSectno"/>
        </w:rPr>
        <w:t>36A</w:t>
      </w:r>
      <w:r>
        <w:rPr>
          <w:snapToGrid w:val="0"/>
        </w:rPr>
        <w:t>.</w:t>
      </w:r>
      <w:r>
        <w:rPr>
          <w:snapToGrid w:val="0"/>
        </w:rPr>
        <w:tab/>
        <w:t>Supreme Court may allow publication etc.</w:t>
      </w:r>
      <w:bookmarkEnd w:id="53"/>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54" w:name="_Toc522656747"/>
      <w:r>
        <w:rPr>
          <w:rStyle w:val="CharSectno"/>
        </w:rPr>
        <w:t>37</w:t>
      </w:r>
      <w:r>
        <w:rPr>
          <w:snapToGrid w:val="0"/>
        </w:rPr>
        <w:t>.</w:t>
      </w:r>
      <w:r>
        <w:rPr>
          <w:snapToGrid w:val="0"/>
        </w:rPr>
        <w:tab/>
        <w:t>Practice and procedure</w:t>
      </w:r>
      <w:bookmarkEnd w:id="54"/>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55" w:name="_Toc522656748"/>
      <w:r>
        <w:rPr>
          <w:rStyle w:val="CharSectno"/>
        </w:rPr>
        <w:t>38</w:t>
      </w:r>
      <w:r>
        <w:rPr>
          <w:snapToGrid w:val="0"/>
        </w:rPr>
        <w:t>.</w:t>
      </w:r>
      <w:r>
        <w:rPr>
          <w:snapToGrid w:val="0"/>
        </w:rPr>
        <w:tab/>
        <w:t>Rules of court</w:t>
      </w:r>
      <w:bookmarkEnd w:id="55"/>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56" w:name="_Toc522656749"/>
      <w:r>
        <w:rPr>
          <w:rStyle w:val="CharSectno"/>
        </w:rPr>
        <w:t>39</w:t>
      </w:r>
      <w:r>
        <w:rPr>
          <w:snapToGrid w:val="0"/>
        </w:rPr>
        <w:t>.</w:t>
      </w:r>
      <w:r>
        <w:rPr>
          <w:snapToGrid w:val="0"/>
        </w:rPr>
        <w:tab/>
        <w:t>Mode of enforcing orders by Court</w:t>
      </w:r>
      <w:bookmarkEnd w:id="56"/>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57" w:name="_Toc522656750"/>
      <w:r>
        <w:rPr>
          <w:rStyle w:val="CharSectno"/>
        </w:rPr>
        <w:t>39A</w:t>
      </w:r>
      <w:r>
        <w:t>.</w:t>
      </w:r>
      <w:r>
        <w:tab/>
        <w:t>Judgments, enforcement of</w:t>
      </w:r>
      <w:bookmarkEnd w:id="57"/>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by No. 5 of 2008 s. 5.]</w:t>
      </w:r>
    </w:p>
    <w:p>
      <w:pPr>
        <w:pStyle w:val="Heading2"/>
      </w:pPr>
      <w:bookmarkStart w:id="58" w:name="_Toc522656751"/>
      <w:r>
        <w:rPr>
          <w:rStyle w:val="CharPartNo"/>
        </w:rPr>
        <w:t>Part 5</w:t>
      </w:r>
      <w:r>
        <w:rPr>
          <w:rStyle w:val="CharDivNo"/>
        </w:rPr>
        <w:t> </w:t>
      </w:r>
      <w:r>
        <w:t>—</w:t>
      </w:r>
      <w:r>
        <w:rPr>
          <w:rStyle w:val="CharDivText"/>
        </w:rPr>
        <w:t> </w:t>
      </w:r>
      <w:r>
        <w:rPr>
          <w:rStyle w:val="CharPartText"/>
        </w:rPr>
        <w:t>Review and appeal</w:t>
      </w:r>
      <w:bookmarkEnd w:id="58"/>
    </w:p>
    <w:p>
      <w:pPr>
        <w:pStyle w:val="Heading5"/>
        <w:rPr>
          <w:snapToGrid w:val="0"/>
        </w:rPr>
      </w:pPr>
      <w:bookmarkStart w:id="59" w:name="_Toc522656752"/>
      <w:r>
        <w:rPr>
          <w:rStyle w:val="CharSectno"/>
        </w:rPr>
        <w:t>40</w:t>
      </w:r>
      <w:r>
        <w:rPr>
          <w:snapToGrid w:val="0"/>
        </w:rPr>
        <w:t>.</w:t>
      </w:r>
      <w:r>
        <w:rPr>
          <w:snapToGrid w:val="0"/>
        </w:rPr>
        <w:tab/>
        <w:t>Review by President of certain sentences</w:t>
      </w:r>
      <w:bookmarkEnd w:id="59"/>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person</w:t>
      </w:r>
      <w:r>
        <w:rPr>
          <w:snapToGrid w:val="0"/>
        </w:rPr>
        <w:t xml:space="preserve"> is proved and makes an order against or in relation to the </w:t>
      </w:r>
      <w:r>
        <w:t>person</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person</w:t>
      </w:r>
      <w:r>
        <w:rPr>
          <w:snapToGrid w:val="0"/>
        </w:rPr>
        <w:t>, within one month after the date of the order;</w:t>
      </w:r>
    </w:p>
    <w:p>
      <w:pPr>
        <w:pStyle w:val="Indenta"/>
        <w:rPr>
          <w:snapToGrid w:val="0"/>
        </w:rPr>
      </w:pPr>
      <w:r>
        <w:rPr>
          <w:snapToGrid w:val="0"/>
        </w:rPr>
        <w:tab/>
        <w:t>(b)</w:t>
      </w:r>
      <w:r>
        <w:rPr>
          <w:snapToGrid w:val="0"/>
        </w:rPr>
        <w:tab/>
      </w:r>
      <w:r>
        <w:t xml:space="preserve">if the person is a child, </w:t>
      </w:r>
      <w:r>
        <w:rPr>
          <w:snapToGrid w:val="0"/>
        </w:rPr>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 No. 5 of 2008 s. 6; No. 14 of 2008 s. 43(5).]</w:t>
      </w:r>
    </w:p>
    <w:p>
      <w:pPr>
        <w:pStyle w:val="Heading5"/>
      </w:pPr>
      <w:bookmarkStart w:id="60" w:name="_Toc522656753"/>
      <w:r>
        <w:rPr>
          <w:rStyle w:val="CharSectno"/>
        </w:rPr>
        <w:t>41</w:t>
      </w:r>
      <w:r>
        <w:t>.</w:t>
      </w:r>
      <w:r>
        <w:tab/>
        <w:t>Appeals against decisions of magistrates etc.</w:t>
      </w:r>
      <w:bookmarkEnd w:id="60"/>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61" w:name="_Toc522656754"/>
      <w:r>
        <w:rPr>
          <w:rStyle w:val="CharSectno"/>
        </w:rPr>
        <w:t>42</w:t>
      </w:r>
      <w:r>
        <w:rPr>
          <w:snapToGrid w:val="0"/>
        </w:rPr>
        <w:t>.</w:t>
      </w:r>
      <w:r>
        <w:rPr>
          <w:snapToGrid w:val="0"/>
        </w:rPr>
        <w:tab/>
        <w:t>Appeal against certain other orders</w:t>
      </w:r>
      <w:bookmarkEnd w:id="61"/>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by No. 33 of 1989 s. 18; amended by No. 31 of 1993 s. 32; No. 57 of 1997 s. 31; No. 34 of 2004 s. 251; No. 59 of 2004 s. 73; No. 84 of 2004 s. 18.]</w:t>
      </w:r>
    </w:p>
    <w:p>
      <w:pPr>
        <w:pStyle w:val="Heading5"/>
        <w:spacing w:before="180"/>
      </w:pPr>
      <w:bookmarkStart w:id="62" w:name="_Toc522656755"/>
      <w:r>
        <w:rPr>
          <w:rStyle w:val="CharSectno"/>
        </w:rPr>
        <w:t>42A</w:t>
      </w:r>
      <w:r>
        <w:t>.</w:t>
      </w:r>
      <w:r>
        <w:tab/>
        <w:t>Appeals from judges’ decisions in criminal matters</w:t>
      </w:r>
      <w:bookmarkEnd w:id="62"/>
    </w:p>
    <w:p>
      <w:pPr>
        <w:pStyle w:val="Subsection"/>
        <w:spacing w:before="120"/>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ind w:left="890" w:hanging="890"/>
      </w:pPr>
      <w:r>
        <w:tab/>
        <w:t>[Section 42A inserted by No. 84 of 2004 s. 16.]</w:t>
      </w:r>
    </w:p>
    <w:p>
      <w:pPr>
        <w:pStyle w:val="Heading5"/>
        <w:rPr>
          <w:snapToGrid w:val="0"/>
        </w:rPr>
      </w:pPr>
      <w:bookmarkStart w:id="63" w:name="_Toc522656756"/>
      <w:r>
        <w:rPr>
          <w:rStyle w:val="CharSectno"/>
        </w:rPr>
        <w:t>43</w:t>
      </w:r>
      <w:r>
        <w:rPr>
          <w:snapToGrid w:val="0"/>
        </w:rPr>
        <w:t>.</w:t>
      </w:r>
      <w:r>
        <w:rPr>
          <w:snapToGrid w:val="0"/>
        </w:rPr>
        <w:tab/>
        <w:t xml:space="preserve">Appeals to </w:t>
      </w:r>
      <w:r>
        <w:t>Court of Appeal</w:t>
      </w:r>
      <w:bookmarkEnd w:id="63"/>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by No. 53 of 2000 s. 3.]</w:t>
      </w:r>
    </w:p>
    <w:p>
      <w:pPr>
        <w:pStyle w:val="Heading2"/>
      </w:pPr>
      <w:bookmarkStart w:id="64" w:name="_Toc522656757"/>
      <w:r>
        <w:rPr>
          <w:rStyle w:val="CharPartNo"/>
        </w:rPr>
        <w:t>Part 7</w:t>
      </w:r>
      <w:r>
        <w:rPr>
          <w:rStyle w:val="CharDivNo"/>
        </w:rPr>
        <w:t> </w:t>
      </w:r>
      <w:r>
        <w:t>—</w:t>
      </w:r>
      <w:r>
        <w:rPr>
          <w:rStyle w:val="CharDivText"/>
        </w:rPr>
        <w:t> </w:t>
      </w:r>
      <w:r>
        <w:rPr>
          <w:rStyle w:val="CharPartText"/>
        </w:rPr>
        <w:t>Miscellaneous</w:t>
      </w:r>
      <w:bookmarkEnd w:id="64"/>
    </w:p>
    <w:p>
      <w:pPr>
        <w:pStyle w:val="Heading5"/>
        <w:rPr>
          <w:snapToGrid w:val="0"/>
        </w:rPr>
      </w:pPr>
      <w:bookmarkStart w:id="65" w:name="_Toc522656758"/>
      <w:r>
        <w:rPr>
          <w:rStyle w:val="CharSectno"/>
        </w:rPr>
        <w:t>51</w:t>
      </w:r>
      <w:r>
        <w:rPr>
          <w:snapToGrid w:val="0"/>
        </w:rPr>
        <w:t>.</w:t>
      </w:r>
      <w:r>
        <w:rPr>
          <w:snapToGrid w:val="0"/>
        </w:rPr>
        <w:tab/>
        <w:t>Forms of proceedings</w:t>
      </w:r>
      <w:bookmarkEnd w:id="65"/>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r>
        <w:tab/>
        <w:t>[Section 51 amended by No. 84 of 2004 s. 80.]</w:t>
      </w:r>
    </w:p>
    <w:p>
      <w:pPr>
        <w:pStyle w:val="Heading5"/>
      </w:pPr>
      <w:bookmarkStart w:id="66" w:name="_Toc522656759"/>
      <w:r>
        <w:rPr>
          <w:rStyle w:val="CharSectno"/>
        </w:rPr>
        <w:t>51A</w:t>
      </w:r>
      <w:r>
        <w:t>.</w:t>
      </w:r>
      <w:r>
        <w:tab/>
        <w:t>Court’s records, access to</w:t>
      </w:r>
      <w:bookmarkEnd w:id="66"/>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Crime and Misconduct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CEO as defined in the </w:t>
      </w:r>
      <w:r>
        <w:rPr>
          <w:i/>
          <w:iCs/>
        </w:rPr>
        <w:t>Road Traffic (Administration) Act 2008</w:t>
      </w:r>
      <w:r>
        <w:t xml:space="preserve"> section 4;</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 amended by No. 8 of 2012 s. 56; No. 35 of 2014 s. 39).]</w:t>
      </w:r>
    </w:p>
    <w:p>
      <w:pPr>
        <w:pStyle w:val="Heading5"/>
        <w:rPr>
          <w:snapToGrid w:val="0"/>
        </w:rPr>
      </w:pPr>
      <w:bookmarkStart w:id="67" w:name="_Toc522656760"/>
      <w:r>
        <w:rPr>
          <w:rStyle w:val="CharSectno"/>
        </w:rPr>
        <w:t>52</w:t>
      </w:r>
      <w:r>
        <w:rPr>
          <w:snapToGrid w:val="0"/>
        </w:rPr>
        <w:t>.</w:t>
      </w:r>
      <w:r>
        <w:rPr>
          <w:snapToGrid w:val="0"/>
        </w:rPr>
        <w:tab/>
        <w:t>Regulations</w:t>
      </w:r>
      <w:bookmarkEnd w:id="6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8" w:name="_Toc522656761"/>
      <w:r>
        <w:rPr>
          <w:rStyle w:val="CharSectno"/>
        </w:rPr>
        <w:t>53</w:t>
      </w:r>
      <w:r>
        <w:t>.</w:t>
      </w:r>
      <w:r>
        <w:tab/>
        <w:t>Fees, regulations may prescribe</w:t>
      </w:r>
      <w:bookmarkEnd w:id="68"/>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 and</w:t>
      </w:r>
    </w:p>
    <w:p>
      <w:pPr>
        <w:pStyle w:val="Indenta"/>
      </w:pPr>
      <w:r>
        <w:tab/>
        <w:t>(b)</w:t>
      </w:r>
      <w:r>
        <w:tab/>
        <w:t>when entering a case for trial or at any other stage of proceedings in a case;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22"/>
          <w:headerReference w:type="default" r:id="rId23"/>
          <w:pgSz w:w="11907" w:h="16840" w:code="9"/>
          <w:pgMar w:top="2376" w:right="2405" w:bottom="3542" w:left="2405" w:header="706" w:footer="3380" w:gutter="0"/>
          <w:pgNumType w:start="1"/>
          <w:cols w:space="720"/>
          <w:noEndnote/>
          <w:titlePg/>
          <w:docGrid w:linePitch="326"/>
        </w:sectPr>
      </w:pPr>
    </w:p>
    <w:p>
      <w:pPr>
        <w:pStyle w:val="yScheduleHeading"/>
      </w:pPr>
      <w:bookmarkStart w:id="69" w:name="_Toc522656762"/>
      <w:r>
        <w:rPr>
          <w:rStyle w:val="CharSchNo"/>
        </w:rPr>
        <w:t>Schedule 1</w:t>
      </w:r>
      <w:r>
        <w:t> — </w:t>
      </w:r>
      <w:r>
        <w:rPr>
          <w:rStyle w:val="CharSchText"/>
        </w:rPr>
        <w:t>Oath and affirmation of office</w:t>
      </w:r>
      <w:bookmarkEnd w:id="69"/>
    </w:p>
    <w:p>
      <w:pPr>
        <w:pStyle w:val="yShoulderClause"/>
      </w:pPr>
      <w:r>
        <w:t>[s. 12(1)]</w:t>
      </w:r>
    </w:p>
    <w:p>
      <w:pPr>
        <w:pStyle w:val="yFootnoteheading"/>
        <w:tabs>
          <w:tab w:val="clear" w:pos="879"/>
        </w:tabs>
        <w:ind w:left="600" w:hanging="600"/>
      </w:pPr>
      <w:r>
        <w:tab/>
        <w:t>[Heading inserted by No. 24 of 2005 s. 16.]</w:t>
      </w:r>
    </w:p>
    <w:p>
      <w:pPr>
        <w:pStyle w:val="ySubsection"/>
        <w:tabs>
          <w:tab w:val="clear" w:pos="879"/>
        </w:tabs>
        <w:spacing w:before="240"/>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by No. 24 of 2005 s. 16.]</w:t>
      </w:r>
    </w:p>
    <w:p>
      <w:pPr>
        <w:pStyle w:val="CentredBaseLine"/>
        <w:ind w:left="600" w:hanging="600"/>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70" w:name="_Toc522656763"/>
      <w:r>
        <w:t>Notes</w:t>
      </w:r>
      <w:bookmarkEnd w:id="70"/>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snapToGrid w:val="0"/>
          <w:vertAlign w:val="superscript"/>
        </w:rPr>
        <w:t xml:space="preserve"> 1a, 1M</w:t>
      </w:r>
      <w:r>
        <w:rPr>
          <w:snapToGrid w:val="0"/>
        </w:rPr>
        <w:t>. The table also contains information about any reprint.</w:t>
      </w:r>
    </w:p>
    <w:p>
      <w:pPr>
        <w:pStyle w:val="nHeading3"/>
      </w:pPr>
      <w:bookmarkStart w:id="71" w:name="_Toc522656764"/>
      <w:r>
        <w:t>Compilation table</w:t>
      </w:r>
      <w:bookmarkEnd w:id="71"/>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Children’s Court of Western Australia Act (No. 2) 1988</w:t>
            </w:r>
            <w:r>
              <w:rPr>
                <w:vertAlign w:val="superscript"/>
              </w:rPr>
              <w:t> 3</w:t>
            </w:r>
          </w:p>
        </w:tc>
        <w:tc>
          <w:tcPr>
            <w:tcW w:w="1134" w:type="dxa"/>
          </w:tcPr>
          <w:p>
            <w:pPr>
              <w:pStyle w:val="nTable"/>
              <w:spacing w:after="40"/>
            </w:pPr>
            <w:r>
              <w:t>69 of 1988</w:t>
            </w:r>
          </w:p>
        </w:tc>
        <w:tc>
          <w:tcPr>
            <w:tcW w:w="1134" w:type="dxa"/>
          </w:tcPr>
          <w:p>
            <w:pPr>
              <w:pStyle w:val="nTable"/>
              <w:spacing w:after="40"/>
            </w:pPr>
            <w:r>
              <w:t>15 Dec 1988</w:t>
            </w:r>
          </w:p>
        </w:tc>
        <w:tc>
          <w:tcPr>
            <w:tcW w:w="2552" w:type="dxa"/>
          </w:tcPr>
          <w:p>
            <w:pPr>
              <w:pStyle w:val="nTable"/>
              <w:spacing w:after="40"/>
            </w:pPr>
            <w:r>
              <w:t xml:space="preserve">s. 1 and 2: 15 Dec 1988; </w:t>
            </w:r>
            <w:r>
              <w:br/>
              <w:t xml:space="preserve">Act other than s. 1 and 2: 1 Dec 1989 (see s. 2 and </w:t>
            </w:r>
            <w:r>
              <w:rPr>
                <w:i/>
              </w:rPr>
              <w:t>Gazette</w:t>
            </w:r>
            <w:r>
              <w:t xml:space="preserve"> 24 Nov 1989 p. 4327)</w:t>
            </w:r>
          </w:p>
        </w:tc>
      </w:tr>
      <w:tr>
        <w:trPr>
          <w:cantSplit/>
        </w:trPr>
        <w:tc>
          <w:tcPr>
            <w:tcW w:w="2268" w:type="dxa"/>
          </w:tcPr>
          <w:p>
            <w:pPr>
              <w:pStyle w:val="nTable"/>
              <w:spacing w:after="40"/>
              <w:ind w:right="113"/>
            </w:pPr>
            <w:r>
              <w:rPr>
                <w:i/>
              </w:rPr>
              <w:t>Justices Amendment Act 1989</w:t>
            </w:r>
            <w:r>
              <w:t xml:space="preserve"> 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rPr>
          <w:cantSplit/>
        </w:trPr>
        <w:tc>
          <w:tcPr>
            <w:tcW w:w="2268" w:type="dxa"/>
          </w:tcPr>
          <w:p>
            <w:pPr>
              <w:pStyle w:val="nTable"/>
              <w:spacing w:after="40"/>
              <w:ind w:right="113"/>
              <w:rPr>
                <w:i/>
              </w:rPr>
            </w:pPr>
            <w:r>
              <w:rPr>
                <w:i/>
                <w:color w:val="000000"/>
              </w:rPr>
              <w:t xml:space="preserve">Children's Court of Western Australia Amendment Act (No. 2) 1991 </w:t>
            </w:r>
            <w:r>
              <w:rPr>
                <w:color w:val="000000"/>
              </w:rPr>
              <w:t>Pt. 2 (s. 3-20)</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s. 8 and 20: 1 Dec 1989 (see s. 2(1)); </w:t>
            </w:r>
            <w:r>
              <w:br/>
              <w:t xml:space="preserve">Pt. 2 (other than s. 8 and 20): 9 Aug 1991 (see s. 2(2) and </w:t>
            </w:r>
            <w:r>
              <w:rPr>
                <w:i/>
              </w:rPr>
              <w:t>Gazette</w:t>
            </w:r>
            <w:r>
              <w:t xml:space="preserve"> 9 Aug 1991 p. 4101)</w:t>
            </w:r>
          </w:p>
        </w:tc>
      </w:tr>
      <w:tr>
        <w:trPr>
          <w:cantSplit/>
        </w:trPr>
        <w:tc>
          <w:tcPr>
            <w:tcW w:w="2268" w:type="dxa"/>
          </w:tcPr>
          <w:p>
            <w:pPr>
              <w:pStyle w:val="nTable"/>
              <w:spacing w:after="40"/>
              <w:ind w:right="113"/>
            </w:pPr>
            <w:r>
              <w:rPr>
                <w:i/>
              </w:rPr>
              <w:t>Acts Amendment (Sexual Offences) Act 1992</w:t>
            </w:r>
            <w:r>
              <w:t xml:space="preserve"> s. 4(3) and 6(8)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rPr>
          <w:cantSplit/>
        </w:trPr>
        <w:tc>
          <w:tcPr>
            <w:tcW w:w="2268" w:type="dxa"/>
          </w:tcPr>
          <w:p>
            <w:pPr>
              <w:pStyle w:val="nTable"/>
              <w:spacing w:after="40"/>
              <w:ind w:right="113"/>
            </w:pPr>
            <w:r>
              <w:rPr>
                <w:i/>
              </w:rPr>
              <w:t>Acts Amendment (Ministry of Justice) Act 1993</w:t>
            </w:r>
            <w:r>
              <w:t xml:space="preserve"> Pt. 5</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8" w:type="dxa"/>
          </w:tcPr>
          <w:p>
            <w:pPr>
              <w:pStyle w:val="nTable"/>
              <w:spacing w:after="40"/>
              <w:ind w:right="113"/>
            </w:pPr>
            <w:r>
              <w:rPr>
                <w:i/>
              </w:rPr>
              <w:t>Young Offenders Act 1994</w:t>
            </w:r>
            <w:r>
              <w:t xml:space="preserve"> Pt. 11 Div. 2</w:t>
            </w:r>
          </w:p>
        </w:tc>
        <w:tc>
          <w:tcPr>
            <w:tcW w:w="1134" w:type="dxa"/>
          </w:tcPr>
          <w:p>
            <w:pPr>
              <w:pStyle w:val="nTable"/>
              <w:spacing w:after="40"/>
            </w:pPr>
            <w:r>
              <w:t>104 of 1994</w:t>
            </w:r>
          </w:p>
        </w:tc>
        <w:tc>
          <w:tcPr>
            <w:tcW w:w="1134" w:type="dxa"/>
          </w:tcPr>
          <w:p>
            <w:pPr>
              <w:pStyle w:val="nTable"/>
              <w:spacing w:after="40"/>
            </w:pPr>
            <w:r>
              <w:t>11 Jan 1995</w:t>
            </w:r>
          </w:p>
        </w:tc>
        <w:tc>
          <w:tcPr>
            <w:tcW w:w="2552" w:type="dxa"/>
          </w:tcPr>
          <w:p>
            <w:pPr>
              <w:pStyle w:val="nTable"/>
              <w:spacing w:after="40"/>
            </w:pPr>
            <w:r>
              <w:t xml:space="preserve">13 Mar 1995 (see s. 2 and </w:t>
            </w:r>
            <w:r>
              <w:rPr>
                <w:i/>
              </w:rPr>
              <w:t>Gazette</w:t>
            </w:r>
            <w:r>
              <w:t xml:space="preserve"> 10 Mar 1995 p. 895)</w:t>
            </w:r>
          </w:p>
        </w:tc>
      </w:tr>
      <w:tr>
        <w:trPr>
          <w:cantSplit/>
        </w:trPr>
        <w:tc>
          <w:tcPr>
            <w:tcW w:w="2268" w:type="dxa"/>
          </w:tcPr>
          <w:p>
            <w:pPr>
              <w:pStyle w:val="nTable"/>
              <w:spacing w:after="40"/>
              <w:ind w:right="113"/>
              <w:rPr>
                <w:i/>
              </w:rPr>
            </w:pPr>
            <w:r>
              <w:rPr>
                <w:i/>
              </w:rPr>
              <w:t>Sentencing (Consequential Provisions) Act 1995</w:t>
            </w:r>
            <w:r>
              <w:t xml:space="preserve"> Pt. 9</w:t>
            </w:r>
          </w:p>
        </w:tc>
        <w:tc>
          <w:tcPr>
            <w:tcW w:w="1134" w:type="dxa"/>
          </w:tcPr>
          <w:p>
            <w:pPr>
              <w:pStyle w:val="nTable"/>
              <w:keepNext/>
              <w:keepLines/>
              <w:spacing w:after="40"/>
            </w:pPr>
            <w:r>
              <w:t>78 of 1995</w:t>
            </w:r>
          </w:p>
        </w:tc>
        <w:tc>
          <w:tcPr>
            <w:tcW w:w="1134" w:type="dxa"/>
          </w:tcPr>
          <w:p>
            <w:pPr>
              <w:pStyle w:val="nTable"/>
              <w:keepNext/>
              <w:keepLines/>
              <w:spacing w:after="40"/>
            </w:pPr>
            <w:r>
              <w:t>16 Jan 1996</w:t>
            </w:r>
          </w:p>
        </w:tc>
        <w:tc>
          <w:tcPr>
            <w:tcW w:w="2552" w:type="dxa"/>
          </w:tcPr>
          <w:p>
            <w:pPr>
              <w:pStyle w:val="nTable"/>
              <w:keepNext/>
              <w:keepLines/>
              <w:spacing w:after="40"/>
            </w:pPr>
            <w:r>
              <w:t xml:space="preserve">4 Nov 1996 (see s. 2 and </w:t>
            </w:r>
            <w:r>
              <w:rPr>
                <w:i/>
              </w:rPr>
              <w:t>Gazette</w:t>
            </w:r>
            <w:r>
              <w:t xml:space="preserve"> 25 Oct 1996 p. 5632)</w:t>
            </w:r>
          </w:p>
        </w:tc>
      </w:tr>
      <w:tr>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23 Apr 1996</w:t>
            </w:r>
            <w:r>
              <w:t xml:space="preserve"> (includes amendments listed above except those in the </w:t>
            </w:r>
            <w:r>
              <w:rPr>
                <w:i/>
              </w:rPr>
              <w:t>Sentencing (Consequential Provisions) Act 1995</w:t>
            </w:r>
            <w:r>
              <w:t>)</w:t>
            </w:r>
          </w:p>
        </w:tc>
      </w:tr>
      <w:tr>
        <w:trPr>
          <w:cantSplit/>
        </w:trPr>
        <w:tc>
          <w:tcPr>
            <w:tcW w:w="2268" w:type="dxa"/>
          </w:tcPr>
          <w:p>
            <w:pPr>
              <w:pStyle w:val="nTable"/>
              <w:spacing w:after="40"/>
              <w:ind w:right="113"/>
            </w:pPr>
            <w:r>
              <w:rPr>
                <w:i/>
              </w:rPr>
              <w:t>Local Government (Consequential Amendments) Act </w:t>
            </w:r>
            <w:r>
              <w:rPr>
                <w:i/>
                <w:spacing w:val="-4"/>
              </w:rPr>
              <w:t>1996</w:t>
            </w:r>
            <w:r>
              <w:rPr>
                <w:spacing w:val="-4"/>
              </w:rPr>
              <w:t xml:space="preserve"> s. 4</w:t>
            </w:r>
          </w:p>
        </w:tc>
        <w:tc>
          <w:tcPr>
            <w:tcW w:w="1134" w:type="dxa"/>
          </w:tcPr>
          <w:p>
            <w:pPr>
              <w:pStyle w:val="nTable"/>
              <w:keepNext/>
              <w:keepLines/>
              <w:spacing w:after="40"/>
            </w:pPr>
            <w:r>
              <w:t>14 of 1996</w:t>
            </w:r>
          </w:p>
        </w:tc>
        <w:tc>
          <w:tcPr>
            <w:tcW w:w="1134" w:type="dxa"/>
          </w:tcPr>
          <w:p>
            <w:pPr>
              <w:pStyle w:val="nTable"/>
              <w:keepNext/>
              <w:keepLines/>
              <w:spacing w:after="40"/>
            </w:pPr>
            <w:r>
              <w:t>28 Jun 1996</w:t>
            </w:r>
          </w:p>
        </w:tc>
        <w:tc>
          <w:tcPr>
            <w:tcW w:w="2552" w:type="dxa"/>
          </w:tcPr>
          <w:p>
            <w:pPr>
              <w:pStyle w:val="nTable"/>
              <w:keepNext/>
              <w:keepLines/>
              <w:spacing w:after="40"/>
            </w:pPr>
            <w:r>
              <w:t>1 Jul 1996 (see s. 2)</w:t>
            </w:r>
          </w:p>
        </w:tc>
      </w:tr>
      <w:tr>
        <w:trPr>
          <w:cantSplit/>
        </w:trPr>
        <w:tc>
          <w:tcPr>
            <w:tcW w:w="2268" w:type="dxa"/>
          </w:tcPr>
          <w:p>
            <w:pPr>
              <w:pStyle w:val="nTable"/>
              <w:spacing w:after="40"/>
              <w:ind w:right="113"/>
            </w:pPr>
            <w:r>
              <w:rPr>
                <w:i/>
              </w:rPr>
              <w:t>Restraining Orders Act 1997</w:t>
            </w:r>
            <w:r>
              <w:t xml:space="preserve"> s. 81</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Statutes (Repeals and Minor Amendments) Act 1997</w:t>
            </w:r>
            <w:r>
              <w:t xml:space="preserve"> s. 31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pPr>
            <w:r>
              <w:rPr>
                <w:i/>
              </w:rPr>
              <w:t>Acts Amendment (Abortion) Act 1998</w:t>
            </w:r>
            <w:r>
              <w:t xml:space="preserve"> s. 9</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25 Aug 2000</w:t>
            </w:r>
            <w:r>
              <w:t xml:space="preserve"> (includes amendments listed above except those in the </w:t>
            </w:r>
            <w:r>
              <w:rPr>
                <w:i/>
              </w:rPr>
              <w:t>School Education Act 1999</w:t>
            </w:r>
            <w:r>
              <w:t>)</w:t>
            </w:r>
          </w:p>
        </w:tc>
      </w:tr>
      <w:tr>
        <w:trPr>
          <w:cantSplit/>
        </w:trPr>
        <w:tc>
          <w:tcPr>
            <w:tcW w:w="2268" w:type="dxa"/>
          </w:tcPr>
          <w:p>
            <w:pPr>
              <w:pStyle w:val="nTable"/>
              <w:spacing w:after="40"/>
              <w:ind w:right="113"/>
            </w:pPr>
            <w:r>
              <w:rPr>
                <w:i/>
              </w:rPr>
              <w:t>State Records (Consequential Provisions) Act 2000</w:t>
            </w:r>
            <w:r>
              <w:t xml:space="preserve"> Pt. 2</w:t>
            </w:r>
          </w:p>
        </w:tc>
        <w:tc>
          <w:tcPr>
            <w:tcW w:w="1134" w:type="dxa"/>
          </w:tcPr>
          <w:p>
            <w:pPr>
              <w:pStyle w:val="nTable"/>
              <w:spacing w:after="40"/>
            </w:pPr>
            <w:r>
              <w:t>53 of 2000</w:t>
            </w:r>
          </w:p>
        </w:tc>
        <w:tc>
          <w:tcPr>
            <w:tcW w:w="1134" w:type="dxa"/>
          </w:tcPr>
          <w:p>
            <w:pPr>
              <w:pStyle w:val="nTable"/>
              <w:spacing w:after="40"/>
            </w:pPr>
            <w:r>
              <w:t>28 Nov 2000</w:t>
            </w:r>
          </w:p>
        </w:tc>
        <w:tc>
          <w:tcPr>
            <w:tcW w:w="2552" w:type="dxa"/>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ind w:right="113"/>
            </w:pPr>
            <w:r>
              <w:rPr>
                <w:i/>
              </w:rPr>
              <w:t>Acts Amendment (Evidence) Act 2000</w:t>
            </w:r>
            <w:r>
              <w:t xml:space="preserve"> Pt. 4</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rPr>
          <w:cantSplit/>
        </w:trPr>
        <w:tc>
          <w:tcPr>
            <w:tcW w:w="2268" w:type="dxa"/>
          </w:tcPr>
          <w:p>
            <w:pPr>
              <w:pStyle w:val="nTable"/>
              <w:spacing w:after="40"/>
              <w:ind w:right="113"/>
              <w:rPr>
                <w:i/>
              </w:rPr>
            </w:pPr>
            <w:r>
              <w:rPr>
                <w:i/>
              </w:rPr>
              <w:t>Criminal Law (Procedure) Amendment Act 2002</w:t>
            </w:r>
            <w:r>
              <w:t xml:space="preserve"> Pt. 4 Div. 2</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rPr>
          <w:cantSplit/>
        </w:trPr>
        <w:tc>
          <w:tcPr>
            <w:tcW w:w="2268" w:type="dxa"/>
          </w:tcPr>
          <w:p>
            <w:pPr>
              <w:pStyle w:val="nTable"/>
              <w:spacing w:after="40"/>
              <w:ind w:right="113"/>
            </w:pPr>
            <w:r>
              <w:rPr>
                <w:i/>
              </w:rPr>
              <w:t>Acts Amendment and Repeal (Courts and Legal Practice) Act 2003</w:t>
            </w:r>
            <w:r>
              <w:t xml:space="preserve"> s. 17, 107 and 122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35</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rPr>
          <w:cantSplit/>
        </w:trPr>
        <w:tc>
          <w:tcPr>
            <w:tcW w:w="7088" w:type="dxa"/>
            <w:gridSpan w:val="4"/>
          </w:tcPr>
          <w:p>
            <w:pPr>
              <w:pStyle w:val="nTable"/>
              <w:spacing w:after="40"/>
            </w:pPr>
            <w:r>
              <w:rPr>
                <w:b/>
              </w:rPr>
              <w:t xml:space="preserve">Reprint 3: The </w:t>
            </w:r>
            <w:r>
              <w:rPr>
                <w:b/>
                <w:i/>
              </w:rPr>
              <w:t>Children’s Court of Western Australia Act 1988</w:t>
            </w:r>
            <w:r>
              <w:rPr>
                <w:b/>
              </w:rPr>
              <w:t xml:space="preserve"> as at 10 Sep 2004</w:t>
            </w:r>
            <w:r>
              <w:t xml:space="preserve"> (includes amendments listed above)</w:t>
            </w:r>
          </w:p>
        </w:tc>
      </w:tr>
      <w:tr>
        <w:tc>
          <w:tcPr>
            <w:tcW w:w="2268" w:type="dxa"/>
          </w:tcPr>
          <w:p>
            <w:pPr>
              <w:pStyle w:val="nTable"/>
              <w:spacing w:after="40"/>
            </w:pPr>
            <w:r>
              <w:rPr>
                <w:i/>
              </w:rPr>
              <w:t>Sentencing Legislation Amendment Act 2004</w:t>
            </w:r>
            <w:r>
              <w:t xml:space="preserve"> s. 14(3)</w:t>
            </w:r>
          </w:p>
        </w:tc>
        <w:tc>
          <w:tcPr>
            <w:tcW w:w="1134" w:type="dxa"/>
          </w:tcPr>
          <w:p>
            <w:pPr>
              <w:pStyle w:val="nTable"/>
              <w:spacing w:after="40"/>
            </w:pPr>
            <w:r>
              <w:t>27 of 2004 (as amended by No. 41 of 2006 s. 95(2))</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 251</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c>
          <w:tcPr>
            <w:tcW w:w="2268" w:type="dxa"/>
          </w:tcPr>
          <w:p>
            <w:pPr>
              <w:pStyle w:val="nTable"/>
              <w:spacing w:after="40"/>
              <w:rPr>
                <w:snapToGrid w:val="0"/>
                <w:vertAlign w:val="superscript"/>
              </w:rPr>
            </w:pPr>
            <w:r>
              <w:rPr>
                <w:i/>
                <w:snapToGrid w:val="0"/>
              </w:rPr>
              <w:t>Acts Amendment (Court of Appeal) Act 2004</w:t>
            </w:r>
            <w:r>
              <w:rPr>
                <w:snapToGrid w:val="0"/>
              </w:rPr>
              <w:t xml:space="preserve"> s. 29</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2" w:type="dxa"/>
          </w:tcPr>
          <w:p>
            <w:pPr>
              <w:pStyle w:val="nTable"/>
              <w:spacing w:after="40"/>
              <w:rPr>
                <w:snapToGrid w:val="0"/>
              </w:rPr>
            </w:pPr>
            <w:r>
              <w:rPr>
                <w:snapToGrid w:val="0"/>
              </w:rPr>
              <w:t xml:space="preserve">1 Feb 2005 (see s. 2 and </w:t>
            </w:r>
            <w:r>
              <w:rPr>
                <w:i/>
                <w:snapToGrid w:val="0"/>
              </w:rPr>
              <w:t>Gazette</w:t>
            </w:r>
            <w:r>
              <w:rPr>
                <w:snapToGrid w:val="0"/>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Pt. 7</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4 and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5</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7088" w:type="dxa"/>
            <w:gridSpan w:val="4"/>
          </w:tcPr>
          <w:p>
            <w:pPr>
              <w:pStyle w:val="nTable"/>
              <w:spacing w:after="40"/>
            </w:pPr>
            <w:r>
              <w:rPr>
                <w:b/>
              </w:rPr>
              <w:t xml:space="preserve">Reprint 4: The </w:t>
            </w:r>
            <w:r>
              <w:rPr>
                <w:b/>
                <w:i/>
              </w:rPr>
              <w:t>Children’s Court of Western Australia Act 1988</w:t>
            </w:r>
            <w:r>
              <w:rPr>
                <w:b/>
              </w:rPr>
              <w:t xml:space="preserve"> as at 21 Apr 2006</w:t>
            </w:r>
            <w:r>
              <w:t xml:space="preserve"> (includes amendments listed above except those in </w:t>
            </w:r>
            <w:r>
              <w:rPr>
                <w:snapToGrid w:val="0"/>
              </w:rPr>
              <w:t xml:space="preserve">the </w:t>
            </w:r>
            <w:r>
              <w:rPr>
                <w:i/>
              </w:rPr>
              <w:t>Sentencing Legislation Amendment Act 2004</w:t>
            </w:r>
            <w:r>
              <w:t>)</w:t>
            </w:r>
          </w:p>
        </w:tc>
      </w:tr>
      <w:tr>
        <w:tc>
          <w:tcPr>
            <w:tcW w:w="2268" w:type="dxa"/>
          </w:tcPr>
          <w:p>
            <w:pPr>
              <w:pStyle w:val="nTable"/>
              <w:spacing w:after="40"/>
              <w:ind w:right="113"/>
              <w:rPr>
                <w:snapToGrid w:val="0"/>
              </w:rPr>
            </w:pPr>
            <w:r>
              <w:rPr>
                <w:i/>
                <w:snapToGrid w:val="0"/>
              </w:rPr>
              <w:t>Prisons and Sentencing Legislation Amendment Act 2006</w:t>
            </w:r>
            <w:r>
              <w:rPr>
                <w:snapToGrid w:val="0"/>
              </w:rPr>
              <w:t> Pt. 6</w:t>
            </w:r>
          </w:p>
        </w:tc>
        <w:tc>
          <w:tcPr>
            <w:tcW w:w="1134" w:type="dxa"/>
          </w:tcPr>
          <w:p>
            <w:pPr>
              <w:pStyle w:val="nTable"/>
              <w:keepNext/>
              <w:spacing w:after="40"/>
              <w:rPr>
                <w:snapToGrid w:val="0"/>
              </w:rPr>
            </w:pPr>
            <w:r>
              <w:rPr>
                <w:snapToGrid w:val="0"/>
              </w:rPr>
              <w:t>65 of 2006</w:t>
            </w:r>
          </w:p>
        </w:tc>
        <w:tc>
          <w:tcPr>
            <w:tcW w:w="1134" w:type="dxa"/>
          </w:tcPr>
          <w:p>
            <w:pPr>
              <w:pStyle w:val="nTable"/>
              <w:keepNext/>
              <w:spacing w:after="40"/>
              <w:rPr>
                <w:snapToGrid w:val="0"/>
              </w:rPr>
            </w:pPr>
            <w:r>
              <w:rPr>
                <w:snapToGrid w:val="0"/>
              </w:rPr>
              <w:t>8 Dec 2006</w:t>
            </w:r>
          </w:p>
        </w:tc>
        <w:tc>
          <w:tcPr>
            <w:tcW w:w="2552" w:type="dxa"/>
          </w:tcPr>
          <w:p>
            <w:pPr>
              <w:pStyle w:val="nTable"/>
              <w:keepNext/>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 and Sch. 1 cl. 24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57</w:t>
            </w:r>
          </w:p>
        </w:tc>
        <w:tc>
          <w:tcPr>
            <w:tcW w:w="1134" w:type="dxa"/>
          </w:tcPr>
          <w:p>
            <w:pPr>
              <w:pStyle w:val="nTable"/>
              <w:spacing w:after="40"/>
              <w:rPr>
                <w:snapToGrid w:val="0"/>
              </w:rPr>
            </w:pPr>
            <w:r>
              <w:t>2 of 2008</w:t>
            </w:r>
          </w:p>
        </w:tc>
        <w:tc>
          <w:tcPr>
            <w:tcW w:w="1134" w:type="dxa"/>
          </w:tcPr>
          <w:p>
            <w:pPr>
              <w:pStyle w:val="nTable"/>
              <w:spacing w:after="40"/>
              <w:rPr>
                <w:snapToGrid w:val="0"/>
              </w:rPr>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2 </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right="113"/>
              <w:rPr>
                <w:i/>
                <w:snapToGrid w:val="0"/>
              </w:rPr>
            </w:pPr>
            <w:r>
              <w:rPr>
                <w:i/>
                <w:snapToGrid w:val="0"/>
              </w:rPr>
              <w:t>Cross</w:t>
            </w:r>
            <w:r>
              <w:rPr>
                <w:i/>
                <w:snapToGrid w:val="0"/>
              </w:rPr>
              <w:noBreakHyphen/>
              <w:t xml:space="preserve">border Justice Act 2008 </w:t>
            </w:r>
            <w:r>
              <w:rPr>
                <w:iCs/>
                <w:snapToGrid w:val="0"/>
              </w:rPr>
              <w:t>Pt. 15 Div. 1</w:t>
            </w:r>
          </w:p>
        </w:tc>
        <w:tc>
          <w:tcPr>
            <w:tcW w:w="1134" w:type="dxa"/>
          </w:tcPr>
          <w:p>
            <w:pPr>
              <w:pStyle w:val="nTable"/>
              <w:spacing w:after="40"/>
            </w:pPr>
            <w:r>
              <w:rPr>
                <w:iCs/>
                <w:snapToGrid w:val="0"/>
              </w:rPr>
              <w:t>7 of 2008</w:t>
            </w:r>
          </w:p>
        </w:tc>
        <w:tc>
          <w:tcPr>
            <w:tcW w:w="1134" w:type="dxa"/>
          </w:tcPr>
          <w:p>
            <w:pPr>
              <w:pStyle w:val="nTable"/>
              <w:spacing w:after="40"/>
            </w:pPr>
            <w:r>
              <w:t>31 Mar 2008</w:t>
            </w:r>
          </w:p>
        </w:tc>
        <w:tc>
          <w:tcPr>
            <w:tcW w:w="2552" w:type="dxa"/>
          </w:tcPr>
          <w:p>
            <w:pPr>
              <w:pStyle w:val="nTable"/>
              <w:spacing w:after="40"/>
              <w:rPr>
                <w:snapToGrid w:val="0"/>
              </w:rPr>
            </w:pPr>
            <w:r>
              <w:rPr>
                <w:iCs/>
                <w:snapToGrid w:val="0"/>
              </w:rPr>
              <w:t xml:space="preserve">1 Dec 2009 (see s. 2(b) and </w:t>
            </w:r>
            <w:r>
              <w:rPr>
                <w:i/>
                <w:iCs/>
                <w:snapToGrid w:val="0"/>
              </w:rPr>
              <w:t>Gazette</w:t>
            </w:r>
            <w:r>
              <w:rPr>
                <w:iCs/>
                <w:snapToGrid w:val="0"/>
              </w:rPr>
              <w:t xml:space="preserve"> 9 Oct 2009 p. 3991)</w:t>
            </w:r>
          </w:p>
        </w:tc>
      </w:tr>
      <w:tr>
        <w:trPr>
          <w:cantSplit/>
        </w:trPr>
        <w:tc>
          <w:tcPr>
            <w:tcW w:w="2268" w:type="dxa"/>
          </w:tcPr>
          <w:p>
            <w:pPr>
              <w:pStyle w:val="nTable"/>
              <w:spacing w:after="40"/>
              <w:ind w:right="113"/>
              <w:rPr>
                <w:i/>
                <w:snapToGrid w:val="0"/>
              </w:rPr>
            </w:pPr>
            <w:r>
              <w:rPr>
                <w:i/>
                <w:snapToGrid w:val="0"/>
              </w:rPr>
              <w:t>Parental Support and Responsibility Act 2008</w:t>
            </w:r>
            <w:r>
              <w:rPr>
                <w:iCs/>
                <w:snapToGrid w:val="0"/>
              </w:rPr>
              <w:t xml:space="preserve"> s. 43</w:t>
            </w:r>
          </w:p>
        </w:tc>
        <w:tc>
          <w:tcPr>
            <w:tcW w:w="1134" w:type="dxa"/>
          </w:tcPr>
          <w:p>
            <w:pPr>
              <w:pStyle w:val="nTable"/>
              <w:spacing w:after="40"/>
            </w:pPr>
            <w:r>
              <w:t>14 of 2008</w:t>
            </w:r>
          </w:p>
        </w:tc>
        <w:tc>
          <w:tcPr>
            <w:tcW w:w="1134" w:type="dxa"/>
          </w:tcPr>
          <w:p>
            <w:pPr>
              <w:pStyle w:val="nTable"/>
              <w:spacing w:after="40"/>
            </w:pPr>
            <w:r>
              <w:t>15 Apr 2008</w:t>
            </w:r>
          </w:p>
        </w:tc>
        <w:tc>
          <w:tcPr>
            <w:tcW w:w="2552" w:type="dxa"/>
          </w:tcPr>
          <w:p>
            <w:pPr>
              <w:pStyle w:val="nTable"/>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643 </w:t>
            </w:r>
          </w:p>
        </w:tc>
        <w:tc>
          <w:tcPr>
            <w:tcW w:w="1134" w:type="dxa"/>
          </w:tcPr>
          <w:p>
            <w:pPr>
              <w:pStyle w:val="nTable"/>
              <w:spacing w:after="40"/>
            </w:pPr>
            <w:r>
              <w:rPr>
                <w:iCs/>
                <w:snapToGrid w:val="0"/>
              </w:rPr>
              <w:t>21 of 2008</w:t>
            </w:r>
          </w:p>
        </w:tc>
        <w:tc>
          <w:tcPr>
            <w:tcW w:w="1134" w:type="dxa"/>
          </w:tcPr>
          <w:p>
            <w:pPr>
              <w:pStyle w:val="nTable"/>
              <w:spacing w:after="40"/>
            </w:pPr>
            <w:r>
              <w:rPr>
                <w:iCs/>
                <w:snapToGrid w:val="0"/>
              </w:rPr>
              <w:t>27 May 2008</w:t>
            </w:r>
          </w:p>
        </w:tc>
        <w:tc>
          <w:tcPr>
            <w:tcW w:w="2552" w:type="dxa"/>
          </w:tcPr>
          <w:p>
            <w:pPr>
              <w:pStyle w:val="nTable"/>
              <w:spacing w:after="40"/>
              <w:rPr>
                <w:snapToGrid w:val="0"/>
              </w:rPr>
            </w:pPr>
            <w:r>
              <w:rPr>
                <w:iCs/>
                <w:snapToGrid w:val="0"/>
                <w:spacing w:val="-2"/>
              </w:rPr>
              <w:t xml:space="preserve">1 Mar 2009 (see s. 2(b) and </w:t>
            </w:r>
            <w:r>
              <w:rPr>
                <w:i/>
                <w:iCs/>
                <w:snapToGrid w:val="0"/>
                <w:spacing w:val="-2"/>
              </w:rPr>
              <w:t xml:space="preserve">Gazette </w:t>
            </w:r>
            <w:r>
              <w:rPr>
                <w:iCs/>
                <w:snapToGrid w:val="0"/>
                <w:spacing w:val="-2"/>
              </w:rPr>
              <w:t>27 Feb 2009 p. 511)</w:t>
            </w:r>
          </w:p>
        </w:tc>
      </w:tr>
      <w:tr>
        <w:trPr>
          <w:cantSplit/>
        </w:trPr>
        <w:tc>
          <w:tcPr>
            <w:tcW w:w="7088" w:type="dxa"/>
            <w:gridSpan w:val="4"/>
          </w:tcPr>
          <w:p>
            <w:pPr>
              <w:pStyle w:val="nTable"/>
              <w:spacing w:after="40"/>
              <w:rPr>
                <w:snapToGrid w:val="0"/>
              </w:rPr>
            </w:pPr>
            <w:r>
              <w:rPr>
                <w:b/>
              </w:rPr>
              <w:t xml:space="preserve">Reprint 5: The </w:t>
            </w:r>
            <w:r>
              <w:rPr>
                <w:b/>
                <w:i/>
              </w:rPr>
              <w:t>Children’s Court of Western Australia Act 1988</w:t>
            </w:r>
            <w:r>
              <w:rPr>
                <w:b/>
              </w:rPr>
              <w:t xml:space="preserve"> as at 13 Feb 2009 </w:t>
            </w:r>
            <w:r>
              <w:t xml:space="preserve">(includes amendments listed above except those in the </w:t>
            </w:r>
            <w:r>
              <w:rPr>
                <w:i/>
                <w:snapToGrid w:val="0"/>
              </w:rPr>
              <w:t>Cross</w:t>
            </w:r>
            <w:r>
              <w:rPr>
                <w:i/>
                <w:snapToGrid w:val="0"/>
              </w:rPr>
              <w:noBreakHyphen/>
              <w:t>border Justice Act </w:t>
            </w:r>
            <w:r>
              <w:rPr>
                <w:i/>
                <w:iCs/>
                <w:snapToGrid w:val="0"/>
              </w:rPr>
              <w:t>2008</w:t>
            </w:r>
            <w:r>
              <w:rPr>
                <w:iCs/>
                <w:snapToGrid w:val="0"/>
              </w:rPr>
              <w:t>,</w:t>
            </w:r>
            <w:r>
              <w:rPr>
                <w:snapToGrid w:val="0"/>
              </w:rPr>
              <w:t xml:space="preserve"> the </w:t>
            </w:r>
            <w:r>
              <w:rPr>
                <w:i/>
                <w:snapToGrid w:val="0"/>
              </w:rPr>
              <w:t>Parental Support and Responsibility Act 2008</w:t>
            </w:r>
            <w:r>
              <w:rPr>
                <w:iCs/>
                <w:snapToGrid w:val="0"/>
              </w:rPr>
              <w:t xml:space="preserve"> and the </w:t>
            </w:r>
            <w:r>
              <w:rPr>
                <w:i/>
                <w:iCs/>
                <w:snapToGrid w:val="0"/>
              </w:rPr>
              <w:t>Legal Profession Act 2008</w:t>
            </w:r>
            <w:r>
              <w:t>)</w:t>
            </w:r>
          </w:p>
        </w:tc>
      </w:tr>
      <w:tr>
        <w:trPr>
          <w:cantSplit/>
        </w:trPr>
        <w:tc>
          <w:tcPr>
            <w:tcW w:w="2268" w:type="dxa"/>
          </w:tcPr>
          <w:p>
            <w:pPr>
              <w:pStyle w:val="nTable"/>
              <w:spacing w:after="40"/>
              <w:ind w:right="113"/>
              <w:rPr>
                <w:i/>
                <w:snapToGrid w:val="0"/>
              </w:rPr>
            </w:pPr>
            <w:r>
              <w:rPr>
                <w:i/>
                <w:snapToGrid w:val="0"/>
              </w:rPr>
              <w:t>Prohibited Behaviour Orders Act 2010</w:t>
            </w:r>
            <w:r>
              <w:rPr>
                <w:iCs/>
                <w:snapToGrid w:val="0"/>
              </w:rPr>
              <w:t xml:space="preserve"> Pt. 5 Div. 1</w:t>
            </w:r>
          </w:p>
        </w:tc>
        <w:tc>
          <w:tcPr>
            <w:tcW w:w="1134" w:type="dxa"/>
          </w:tcPr>
          <w:p>
            <w:pPr>
              <w:pStyle w:val="nTable"/>
              <w:spacing w:after="40"/>
            </w:pPr>
            <w:r>
              <w:t>59 of 2010</w:t>
            </w:r>
          </w:p>
        </w:tc>
        <w:tc>
          <w:tcPr>
            <w:tcW w:w="1134" w:type="dxa"/>
          </w:tcPr>
          <w:p>
            <w:pPr>
              <w:pStyle w:val="nTable"/>
              <w:spacing w:after="40"/>
            </w:pPr>
            <w:r>
              <w:t>8 Dec 2010</w:t>
            </w:r>
          </w:p>
        </w:tc>
        <w:tc>
          <w:tcPr>
            <w:tcW w:w="2552"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2268" w:type="dxa"/>
          </w:tcPr>
          <w:p>
            <w:pPr>
              <w:pStyle w:val="nTable"/>
              <w:spacing w:after="40"/>
              <w:ind w:right="113"/>
              <w:rPr>
                <w:snapToGrid w:val="0"/>
              </w:rPr>
            </w:pPr>
            <w:r>
              <w:rPr>
                <w:i/>
                <w:snapToGrid w:val="0"/>
              </w:rPr>
              <w:t>Young Offenders Legislation Amendment (Research Information) Act 2011</w:t>
            </w:r>
            <w:r>
              <w:rPr>
                <w:snapToGrid w:val="0"/>
              </w:rPr>
              <w:t xml:space="preserve"> Pt. 2</w:t>
            </w:r>
          </w:p>
        </w:tc>
        <w:tc>
          <w:tcPr>
            <w:tcW w:w="1134" w:type="dxa"/>
          </w:tcPr>
          <w:p>
            <w:pPr>
              <w:pStyle w:val="nTable"/>
              <w:spacing w:after="40"/>
            </w:pPr>
            <w:r>
              <w:t>26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12 Jul 2011 (see s. 2(b))</w:t>
            </w:r>
          </w:p>
        </w:tc>
      </w:tr>
      <w:tr>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7</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ind w:right="113"/>
            </w:pPr>
            <w:r>
              <w:rPr>
                <w:i/>
                <w:snapToGrid w:val="0"/>
              </w:rPr>
              <w:t>Restraining Orders Amendment Act 2013</w:t>
            </w:r>
            <w:r>
              <w:t xml:space="preserve"> Pt. 3</w:t>
            </w:r>
          </w:p>
        </w:tc>
        <w:tc>
          <w:tcPr>
            <w:tcW w:w="1134" w:type="dxa"/>
          </w:tcPr>
          <w:p>
            <w:pPr>
              <w:pStyle w:val="nTable"/>
              <w:spacing w:after="40"/>
            </w:pPr>
            <w:r>
              <w:t>14 of 2013</w:t>
            </w:r>
          </w:p>
        </w:tc>
        <w:tc>
          <w:tcPr>
            <w:tcW w:w="1134" w:type="dxa"/>
          </w:tcPr>
          <w:p>
            <w:pPr>
              <w:pStyle w:val="nTable"/>
              <w:spacing w:after="40"/>
            </w:pPr>
            <w:r>
              <w:t>4 Oct 2013</w:t>
            </w:r>
          </w:p>
        </w:tc>
        <w:tc>
          <w:tcPr>
            <w:tcW w:w="2552" w:type="dxa"/>
          </w:tcPr>
          <w:p>
            <w:pPr>
              <w:pStyle w:val="nTable"/>
              <w:spacing w:after="40"/>
              <w:rPr>
                <w:snapToGrid w:val="0"/>
              </w:rPr>
            </w:pPr>
            <w:r>
              <w:rPr>
                <w:snapToGrid w:val="0"/>
              </w:rPr>
              <w:t>4 Oct 2013 (see s. 2)</w:t>
            </w:r>
          </w:p>
        </w:tc>
      </w:tr>
      <w:tr>
        <w:trPr>
          <w:cantSplit/>
        </w:trPr>
        <w:tc>
          <w:tcPr>
            <w:tcW w:w="2268" w:type="dxa"/>
          </w:tcPr>
          <w:p>
            <w:pPr>
              <w:pStyle w:val="nTable"/>
              <w:spacing w:after="40"/>
              <w:ind w:right="113"/>
              <w:rPr>
                <w:i/>
                <w:snapToGrid w:val="0"/>
              </w:rPr>
            </w:pPr>
            <w:r>
              <w:rPr>
                <w:i/>
                <w:snapToGrid w:val="0"/>
              </w:rPr>
              <w:t xml:space="preserve">Courts and Tribunals (Electronic Processes Facilitation) Act 2013 </w:t>
            </w:r>
            <w:r>
              <w:rPr>
                <w:snapToGrid w:val="0"/>
              </w:rPr>
              <w:t>Pt. 3 Div. 2</w:t>
            </w:r>
          </w:p>
        </w:tc>
        <w:tc>
          <w:tcPr>
            <w:tcW w:w="1134" w:type="dxa"/>
          </w:tcPr>
          <w:p>
            <w:pPr>
              <w:pStyle w:val="nTable"/>
              <w:spacing w:after="40"/>
            </w:pPr>
            <w:r>
              <w:rPr>
                <w:snapToGrid w:val="0"/>
              </w:rPr>
              <w:t>20 of 2013</w:t>
            </w:r>
          </w:p>
        </w:tc>
        <w:tc>
          <w:tcPr>
            <w:tcW w:w="1134" w:type="dxa"/>
          </w:tcPr>
          <w:p>
            <w:pPr>
              <w:pStyle w:val="nTable"/>
              <w:spacing w:after="40"/>
            </w:pPr>
            <w:r>
              <w:t>4 Nov 2013</w:t>
            </w:r>
          </w:p>
        </w:tc>
        <w:tc>
          <w:tcPr>
            <w:tcW w:w="2552" w:type="dxa"/>
          </w:tcPr>
          <w:p>
            <w:pPr>
              <w:pStyle w:val="nTable"/>
              <w:spacing w:after="40"/>
              <w:rPr>
                <w:i/>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tcPr>
          <w:p>
            <w:pPr>
              <w:pStyle w:val="nTable"/>
              <w:spacing w:after="40"/>
              <w:rPr>
                <w:snapToGrid w:val="0"/>
              </w:rPr>
            </w:pPr>
            <w:r>
              <w:rPr>
                <w:b/>
              </w:rPr>
              <w:t xml:space="preserve">Reprint 6: The </w:t>
            </w:r>
            <w:r>
              <w:rPr>
                <w:b/>
                <w:i/>
              </w:rPr>
              <w:t>Children’s Court of Western Australia Act 1988</w:t>
            </w:r>
            <w:r>
              <w:rPr>
                <w:b/>
              </w:rPr>
              <w:t xml:space="preserve"> as at 13 Jun 2014 </w:t>
            </w:r>
            <w:r>
              <w:t xml:space="preserve">(includes amendments listed above except those in the </w:t>
            </w:r>
            <w:r>
              <w:rPr>
                <w:i/>
                <w:snapToGrid w:val="0"/>
              </w:rPr>
              <w:t xml:space="preserve">Road Traffic Legislation Amendment Act 2012 </w:t>
            </w:r>
            <w:r>
              <w:rPr>
                <w:snapToGrid w:val="0"/>
              </w:rPr>
              <w:t>Pt. 4 Div. </w:t>
            </w:r>
            <w:r>
              <w:t>7)</w:t>
            </w:r>
          </w:p>
        </w:tc>
      </w:tr>
      <w:tr>
        <w:trPr>
          <w:cantSplit/>
        </w:trPr>
        <w:tc>
          <w:tcPr>
            <w:tcW w:w="2268" w:type="dxa"/>
            <w:tcBorders>
              <w:bottom w:val="single" w:sz="4" w:space="0" w:color="auto"/>
            </w:tcBorders>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tcBorders>
              <w:bottom w:val="single" w:sz="4" w:space="0" w:color="auto"/>
            </w:tcBorders>
          </w:tcPr>
          <w:p>
            <w:pPr>
              <w:pStyle w:val="nTable"/>
              <w:spacing w:after="40"/>
            </w:pPr>
            <w:r>
              <w:rPr>
                <w:snapToGrid w:val="0"/>
              </w:rPr>
              <w:t>35 of 2014</w:t>
            </w:r>
          </w:p>
        </w:tc>
        <w:tc>
          <w:tcPr>
            <w:tcW w:w="1134" w:type="dxa"/>
            <w:tcBorders>
              <w:bottom w:val="single" w:sz="4" w:space="0" w:color="auto"/>
            </w:tcBorders>
          </w:tcPr>
          <w:p>
            <w:pPr>
              <w:pStyle w:val="nTable"/>
              <w:spacing w:after="40"/>
            </w:pPr>
            <w:r>
              <w:t>9 Dec 2014</w:t>
            </w:r>
          </w:p>
        </w:tc>
        <w:tc>
          <w:tcPr>
            <w:tcW w:w="2552" w:type="dxa"/>
            <w:tcBorders>
              <w:bottom w:val="single" w:sz="4" w:space="0" w:color="auto"/>
            </w:tcBorders>
          </w:tcPr>
          <w:p>
            <w:pPr>
              <w:pStyle w:val="nTable"/>
              <w:spacing w:after="40"/>
              <w:rPr>
                <w:i/>
                <w:snapToGrid w:val="0"/>
              </w:rPr>
            </w:pPr>
            <w:r>
              <w:rPr>
                <w:snapToGrid w:val="0"/>
              </w:rPr>
              <w:t xml:space="preserve">1 Jul 2015 (see s. 2(b) and </w:t>
            </w:r>
            <w:r>
              <w:rPr>
                <w:i/>
                <w:snapToGrid w:val="0"/>
              </w:rPr>
              <w:t>Gazette</w:t>
            </w:r>
            <w:r>
              <w:rPr>
                <w:snapToGrid w:val="0"/>
              </w:rPr>
              <w:t xml:space="preserve"> 26 Jun 2015 p. 2235)</w:t>
            </w:r>
          </w:p>
        </w:tc>
      </w:tr>
    </w:tbl>
    <w:p>
      <w:pPr>
        <w:pStyle w:val="nSubsection"/>
        <w:spacing w:before="16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 border Justice Regulations 2009</w:t>
      </w:r>
      <w:r>
        <w:t xml:space="preserve"> Part 3 Division 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compiling the reprint.  For the text of the provisions see the endnotes referred to in the table.</w:t>
      </w:r>
    </w:p>
    <w:p>
      <w:pPr>
        <w:pStyle w:val="nHeading3"/>
      </w:pPr>
      <w:bookmarkStart w:id="72" w:name="_Toc522656765"/>
      <w:r>
        <w:t>Provisions that have not come into operation</w:t>
      </w:r>
      <w:bookmarkEnd w:id="72"/>
    </w:p>
    <w:tbl>
      <w:tblPr>
        <w:tblW w:w="7088"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8"/>
        <w:gridCol w:w="1130"/>
        <w:gridCol w:w="1130"/>
        <w:gridCol w:w="2570"/>
      </w:tblGrid>
      <w:tr>
        <w:trPr>
          <w:cantSplit/>
          <w:tblHeader/>
        </w:trPr>
        <w:tc>
          <w:tcPr>
            <w:tcW w:w="2258" w:type="dxa"/>
          </w:tcPr>
          <w:p>
            <w:pPr>
              <w:pStyle w:val="nTable"/>
              <w:keepNext/>
              <w:spacing w:after="40"/>
              <w:ind w:right="113"/>
              <w:rPr>
                <w:b/>
              </w:rPr>
            </w:pPr>
            <w:r>
              <w:rPr>
                <w:b/>
              </w:rPr>
              <w:t>Short title</w:t>
            </w:r>
          </w:p>
        </w:tc>
        <w:tc>
          <w:tcPr>
            <w:tcW w:w="1130" w:type="dxa"/>
          </w:tcPr>
          <w:p>
            <w:pPr>
              <w:pStyle w:val="nTable"/>
              <w:keepNext/>
              <w:spacing w:after="40"/>
              <w:rPr>
                <w:b/>
              </w:rPr>
            </w:pPr>
            <w:r>
              <w:rPr>
                <w:b/>
              </w:rPr>
              <w:t>Number and year</w:t>
            </w:r>
          </w:p>
        </w:tc>
        <w:tc>
          <w:tcPr>
            <w:tcW w:w="1130" w:type="dxa"/>
          </w:tcPr>
          <w:p>
            <w:pPr>
              <w:pStyle w:val="nTable"/>
              <w:keepNext/>
              <w:spacing w:after="40"/>
              <w:rPr>
                <w:b/>
              </w:rPr>
            </w:pPr>
            <w:r>
              <w:rPr>
                <w:b/>
              </w:rPr>
              <w:t>Assent</w:t>
            </w:r>
          </w:p>
        </w:tc>
        <w:tc>
          <w:tcPr>
            <w:tcW w:w="2570" w:type="dxa"/>
          </w:tcPr>
          <w:p>
            <w:pPr>
              <w:pStyle w:val="nTable"/>
              <w:keepNext/>
              <w:spacing w:after="40"/>
              <w:rPr>
                <w:b/>
              </w:rPr>
            </w:pPr>
            <w:r>
              <w:rPr>
                <w:b/>
              </w:rPr>
              <w:t>Commencement</w:t>
            </w:r>
          </w:p>
        </w:tc>
      </w:tr>
      <w:tr>
        <w:trPr>
          <w:cantSplit/>
        </w:trPr>
        <w:tc>
          <w:tcPr>
            <w:tcW w:w="2258" w:type="dxa"/>
            <w:tcBorders>
              <w:bottom w:val="nil"/>
            </w:tcBorders>
          </w:tcPr>
          <w:p>
            <w:pPr>
              <w:pStyle w:val="nTable"/>
              <w:spacing w:after="40"/>
              <w:ind w:right="113"/>
            </w:pPr>
            <w:r>
              <w:rPr>
                <w:i/>
              </w:rPr>
              <w:t>State Superannuation (Transitional and Consequential Provisions) Act 2000</w:t>
            </w:r>
            <w:r>
              <w:t xml:space="preserve"> s. 75</w:t>
            </w:r>
            <w:r>
              <w:rPr>
                <w:vertAlign w:val="superscript"/>
              </w:rPr>
              <w:t xml:space="preserve"> 4</w:t>
            </w:r>
          </w:p>
        </w:tc>
        <w:tc>
          <w:tcPr>
            <w:tcW w:w="1130" w:type="dxa"/>
            <w:tcBorders>
              <w:bottom w:val="nil"/>
            </w:tcBorders>
          </w:tcPr>
          <w:p>
            <w:pPr>
              <w:pStyle w:val="nTable"/>
              <w:spacing w:after="40"/>
            </w:pPr>
            <w:r>
              <w:t>43 of 2000</w:t>
            </w:r>
          </w:p>
        </w:tc>
        <w:tc>
          <w:tcPr>
            <w:tcW w:w="1130" w:type="dxa"/>
            <w:tcBorders>
              <w:bottom w:val="nil"/>
            </w:tcBorders>
          </w:tcPr>
          <w:p>
            <w:pPr>
              <w:pStyle w:val="nTable"/>
              <w:spacing w:after="40"/>
            </w:pPr>
            <w:r>
              <w:t>2 Nov 2000</w:t>
            </w:r>
          </w:p>
        </w:tc>
        <w:tc>
          <w:tcPr>
            <w:tcW w:w="2570" w:type="dxa"/>
            <w:tcBorders>
              <w:bottom w:val="nil"/>
            </w:tcBorders>
          </w:tcPr>
          <w:p>
            <w:pPr>
              <w:pStyle w:val="nTable"/>
              <w:spacing w:after="40"/>
            </w:pPr>
            <w:r>
              <w:t>To be proclaimed (see s. 2(2))</w:t>
            </w:r>
          </w:p>
        </w:tc>
      </w:tr>
      <w:tr>
        <w:trPr>
          <w:cantSplit/>
        </w:trPr>
        <w:tc>
          <w:tcPr>
            <w:tcW w:w="2258" w:type="dxa"/>
            <w:tcBorders>
              <w:top w:val="nil"/>
            </w:tcBorders>
          </w:tcPr>
          <w:p>
            <w:pPr>
              <w:pStyle w:val="nTable"/>
              <w:spacing w:after="40"/>
              <w:ind w:right="113"/>
              <w:rPr>
                <w:i/>
              </w:rPr>
            </w:pPr>
            <w:r>
              <w:rPr>
                <w:i/>
              </w:rPr>
              <w:t xml:space="preserve">Children and Community Services Legislation Amendment and Repeal Act 2015 </w:t>
            </w:r>
            <w:r>
              <w:t>Pt. 2 Div. 3 Subdiv. 1</w:t>
            </w:r>
            <w:r>
              <w:rPr>
                <w:vertAlign w:val="superscript"/>
              </w:rPr>
              <w:t>5</w:t>
            </w:r>
          </w:p>
        </w:tc>
        <w:tc>
          <w:tcPr>
            <w:tcW w:w="1130" w:type="dxa"/>
            <w:tcBorders>
              <w:top w:val="nil"/>
            </w:tcBorders>
          </w:tcPr>
          <w:p>
            <w:pPr>
              <w:pStyle w:val="nTable"/>
              <w:spacing w:after="40"/>
            </w:pPr>
            <w:r>
              <w:t>23 of 2015</w:t>
            </w:r>
          </w:p>
        </w:tc>
        <w:tc>
          <w:tcPr>
            <w:tcW w:w="1130" w:type="dxa"/>
            <w:tcBorders>
              <w:top w:val="nil"/>
            </w:tcBorders>
          </w:tcPr>
          <w:p>
            <w:pPr>
              <w:pStyle w:val="nTable"/>
              <w:spacing w:after="40"/>
            </w:pPr>
            <w:r>
              <w:t>17 Sep 2015</w:t>
            </w:r>
          </w:p>
        </w:tc>
        <w:tc>
          <w:tcPr>
            <w:tcW w:w="2570" w:type="dxa"/>
            <w:tcBorders>
              <w:top w:val="nil"/>
            </w:tcBorders>
          </w:tcPr>
          <w:p>
            <w:pPr>
              <w:pStyle w:val="nTable"/>
              <w:spacing w:after="40"/>
            </w:pPr>
            <w:r>
              <w:rPr>
                <w:snapToGrid w:val="0"/>
                <w:lang w:val="en-US"/>
              </w:rPr>
              <w:t xml:space="preserve">1 Jan 2016 (see s. 2(b) and </w:t>
            </w:r>
            <w:r>
              <w:rPr>
                <w:i/>
                <w:snapToGrid w:val="0"/>
                <w:lang w:val="en-US"/>
              </w:rPr>
              <w:t>Gazette</w:t>
            </w:r>
            <w:r>
              <w:rPr>
                <w:snapToGrid w:val="0"/>
                <w:lang w:val="en-US"/>
              </w:rPr>
              <w:t xml:space="preserve"> 15 Dec 2015 p. 5027)</w:t>
            </w:r>
          </w:p>
        </w:tc>
      </w:tr>
    </w:tbl>
    <w:p>
      <w:pPr>
        <w:pStyle w:val="nSubsection"/>
        <w:spacing w:before="160"/>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Now known as the </w:t>
      </w:r>
      <w:r>
        <w:rPr>
          <w:i/>
        </w:rPr>
        <w:t>Children’s Court of Western Australia Act 1988</w:t>
      </w:r>
      <w:r>
        <w:t>; short title changed (see note under s. 1).</w:t>
      </w:r>
    </w:p>
    <w:p>
      <w:pPr>
        <w:pStyle w:val="nSubsection"/>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spacing w:before="120"/>
        <w:rPr>
          <w:snapToGrid w:val="0"/>
        </w:rPr>
      </w:pPr>
      <w:r>
        <w:rPr>
          <w:snapToGrid w:val="0"/>
          <w:vertAlign w:val="superscript"/>
        </w:rPr>
        <w:t>5</w:t>
      </w:r>
      <w:r>
        <w:rPr>
          <w:snapToGrid w:val="0"/>
        </w:rPr>
        <w:tab/>
      </w:r>
      <w:r>
        <w:t xml:space="preserve">On </w:t>
      </w:r>
      <w:r>
        <w:rPr>
          <w:iCs/>
        </w:rPr>
        <w:t>the</w:t>
      </w:r>
      <w:r>
        <w:t xml:space="preserve"> date as at which this compilation was prepared, </w:t>
      </w:r>
      <w:r>
        <w:rPr>
          <w:snapToGrid w:val="0"/>
        </w:rPr>
        <w:t xml:space="preserve">the </w:t>
      </w:r>
      <w:r>
        <w:rPr>
          <w:i/>
          <w:snapToGrid w:val="0"/>
        </w:rPr>
        <w:t xml:space="preserve">Children and Community Services Legislation Amendment and Repeal Act 2015 </w:t>
      </w:r>
      <w:r>
        <w:rPr>
          <w:snapToGrid w:val="0"/>
        </w:rPr>
        <w:t>Pt. 2 Div. 3 Subdiv. 1 had not come into operation.  It reads as follows:</w:t>
      </w:r>
    </w:p>
    <w:p>
      <w:pPr>
        <w:pStyle w:val="BlankClose"/>
      </w:pPr>
    </w:p>
    <w:p>
      <w:pPr>
        <w:pStyle w:val="nHeading2"/>
        <w:rPr>
          <w:bCs/>
          <w:sz w:val="24"/>
          <w:szCs w:val="24"/>
        </w:rPr>
      </w:pPr>
      <w:bookmarkStart w:id="73" w:name="_Toc397510607"/>
      <w:bookmarkStart w:id="74" w:name="_Toc397510681"/>
      <w:bookmarkStart w:id="75" w:name="_Toc398628684"/>
      <w:bookmarkStart w:id="76" w:name="_Toc398724796"/>
      <w:bookmarkStart w:id="77" w:name="_Toc398794089"/>
      <w:bookmarkStart w:id="78" w:name="_Toc398892458"/>
      <w:bookmarkStart w:id="79" w:name="_Toc414007363"/>
      <w:bookmarkStart w:id="80" w:name="_Toc429717141"/>
      <w:bookmarkStart w:id="81" w:name="_Toc429986348"/>
      <w:bookmarkStart w:id="82" w:name="_Toc430341307"/>
      <w:bookmarkStart w:id="83" w:name="_Toc430352902"/>
      <w:bookmarkStart w:id="84" w:name="_Toc522656766"/>
      <w:r>
        <w:rPr>
          <w:rStyle w:val="CharPartNo"/>
          <w:bCs/>
          <w:sz w:val="24"/>
          <w:szCs w:val="24"/>
        </w:rPr>
        <w:t>Part 2</w:t>
      </w:r>
      <w:r>
        <w:rPr>
          <w:bCs/>
          <w:sz w:val="24"/>
          <w:szCs w:val="24"/>
        </w:rPr>
        <w:t> — </w:t>
      </w:r>
      <w:r>
        <w:rPr>
          <w:rStyle w:val="CharPartText"/>
          <w:bCs/>
          <w:sz w:val="24"/>
          <w:szCs w:val="24"/>
        </w:rPr>
        <w:t>Amendments and repeals relating to responsible parenting agreements</w:t>
      </w:r>
      <w:bookmarkEnd w:id="73"/>
      <w:bookmarkEnd w:id="74"/>
      <w:bookmarkEnd w:id="75"/>
      <w:bookmarkEnd w:id="76"/>
      <w:bookmarkEnd w:id="77"/>
      <w:bookmarkEnd w:id="78"/>
      <w:bookmarkEnd w:id="79"/>
      <w:bookmarkEnd w:id="80"/>
      <w:bookmarkEnd w:id="81"/>
      <w:bookmarkEnd w:id="82"/>
      <w:bookmarkEnd w:id="83"/>
      <w:bookmarkEnd w:id="84"/>
    </w:p>
    <w:p>
      <w:pPr>
        <w:pStyle w:val="BlankClose"/>
        <w:keepNext/>
      </w:pPr>
    </w:p>
    <w:p>
      <w:pPr>
        <w:pStyle w:val="nzHeading3"/>
      </w:pPr>
      <w:bookmarkStart w:id="85" w:name="_Toc397510633"/>
      <w:bookmarkStart w:id="86" w:name="_Toc397510707"/>
      <w:bookmarkStart w:id="87" w:name="_Toc398628710"/>
      <w:bookmarkStart w:id="88" w:name="_Toc398724822"/>
      <w:bookmarkStart w:id="89" w:name="_Toc398794115"/>
      <w:bookmarkStart w:id="90" w:name="_Toc398892484"/>
      <w:bookmarkStart w:id="91" w:name="_Toc414007389"/>
      <w:bookmarkStart w:id="92" w:name="_Toc429717167"/>
      <w:bookmarkStart w:id="93" w:name="_Toc429986374"/>
      <w:bookmarkStart w:id="94" w:name="_Toc430341333"/>
      <w:bookmarkStart w:id="95" w:name="_Toc430352928"/>
      <w:bookmarkStart w:id="96" w:name="_Toc430594119"/>
      <w:r>
        <w:rPr>
          <w:rStyle w:val="CharDivNo"/>
        </w:rPr>
        <w:t>Division 3</w:t>
      </w:r>
      <w:r>
        <w:t> — </w:t>
      </w:r>
      <w:r>
        <w:rPr>
          <w:rStyle w:val="CharDivText"/>
        </w:rPr>
        <w:t>Other Acts amended</w:t>
      </w:r>
      <w:bookmarkEnd w:id="85"/>
      <w:bookmarkEnd w:id="86"/>
      <w:bookmarkEnd w:id="87"/>
      <w:bookmarkEnd w:id="88"/>
      <w:bookmarkEnd w:id="89"/>
      <w:bookmarkEnd w:id="90"/>
      <w:bookmarkEnd w:id="91"/>
      <w:bookmarkEnd w:id="92"/>
      <w:bookmarkEnd w:id="93"/>
      <w:bookmarkEnd w:id="94"/>
      <w:bookmarkEnd w:id="95"/>
      <w:bookmarkEnd w:id="96"/>
    </w:p>
    <w:p>
      <w:pPr>
        <w:pStyle w:val="nzHeading4"/>
      </w:pPr>
      <w:bookmarkStart w:id="97" w:name="_Toc397510634"/>
      <w:bookmarkStart w:id="98" w:name="_Toc397510708"/>
      <w:bookmarkStart w:id="99" w:name="_Toc398628711"/>
      <w:bookmarkStart w:id="100" w:name="_Toc398724823"/>
      <w:bookmarkStart w:id="101" w:name="_Toc398794116"/>
      <w:bookmarkStart w:id="102" w:name="_Toc398892485"/>
      <w:bookmarkStart w:id="103" w:name="_Toc414007390"/>
      <w:bookmarkStart w:id="104" w:name="_Toc429717168"/>
      <w:bookmarkStart w:id="105" w:name="_Toc429986375"/>
      <w:bookmarkStart w:id="106" w:name="_Toc430341334"/>
      <w:bookmarkStart w:id="107" w:name="_Toc430352929"/>
      <w:bookmarkStart w:id="108" w:name="_Toc430594120"/>
      <w:r>
        <w:t>Subdivision 1 — </w:t>
      </w:r>
      <w:r>
        <w:rPr>
          <w:i/>
        </w:rPr>
        <w:t>Children’s Court of Western Australia Act 1988</w:t>
      </w:r>
      <w:r>
        <w:t> amended</w:t>
      </w:r>
      <w:bookmarkEnd w:id="97"/>
      <w:bookmarkEnd w:id="98"/>
      <w:bookmarkEnd w:id="99"/>
      <w:bookmarkEnd w:id="100"/>
      <w:bookmarkEnd w:id="101"/>
      <w:bookmarkEnd w:id="102"/>
      <w:bookmarkEnd w:id="103"/>
      <w:bookmarkEnd w:id="104"/>
      <w:bookmarkEnd w:id="105"/>
      <w:bookmarkEnd w:id="106"/>
      <w:bookmarkEnd w:id="107"/>
      <w:bookmarkEnd w:id="108"/>
    </w:p>
    <w:p>
      <w:pPr>
        <w:pStyle w:val="nzHeading5"/>
      </w:pPr>
      <w:bookmarkStart w:id="109" w:name="_Toc430341335"/>
      <w:bookmarkStart w:id="110" w:name="_Toc430352930"/>
      <w:bookmarkStart w:id="111" w:name="_Toc430594121"/>
      <w:r>
        <w:rPr>
          <w:rStyle w:val="CharSectno"/>
        </w:rPr>
        <w:t>13</w:t>
      </w:r>
      <w:r>
        <w:t>.</w:t>
      </w:r>
      <w:r>
        <w:tab/>
        <w:t>Act amended</w:t>
      </w:r>
      <w:bookmarkEnd w:id="109"/>
      <w:bookmarkEnd w:id="110"/>
      <w:bookmarkEnd w:id="111"/>
    </w:p>
    <w:p>
      <w:pPr>
        <w:pStyle w:val="nzSubsection"/>
      </w:pPr>
      <w:r>
        <w:tab/>
      </w:r>
      <w:r>
        <w:tab/>
        <w:t xml:space="preserve">This Subdivision amends the </w:t>
      </w:r>
      <w:r>
        <w:rPr>
          <w:i/>
        </w:rPr>
        <w:t>Children’s Court of Western Australia Act 1988</w:t>
      </w:r>
      <w:r>
        <w:t>.</w:t>
      </w:r>
    </w:p>
    <w:p>
      <w:pPr>
        <w:pStyle w:val="nzHeading5"/>
      </w:pPr>
      <w:bookmarkStart w:id="112" w:name="_Toc430341336"/>
      <w:bookmarkStart w:id="113" w:name="_Toc430352931"/>
      <w:bookmarkStart w:id="114" w:name="_Toc430594122"/>
      <w:r>
        <w:rPr>
          <w:rStyle w:val="CharSectno"/>
        </w:rPr>
        <w:t>14</w:t>
      </w:r>
      <w:r>
        <w:t>.</w:t>
      </w:r>
      <w:r>
        <w:tab/>
        <w:t>Section 20 amended</w:t>
      </w:r>
      <w:bookmarkEnd w:id="112"/>
      <w:bookmarkEnd w:id="113"/>
      <w:bookmarkEnd w:id="114"/>
    </w:p>
    <w:p>
      <w:pPr>
        <w:pStyle w:val="nzSubsection"/>
      </w:pPr>
      <w:r>
        <w:tab/>
      </w:r>
      <w:r>
        <w:tab/>
        <w:t>In section 20(1):</w:t>
      </w:r>
    </w:p>
    <w:p>
      <w:pPr>
        <w:pStyle w:val="nzIndenta"/>
      </w:pPr>
      <w:r>
        <w:tab/>
        <w:t>(a)</w:t>
      </w:r>
      <w:r>
        <w:tab/>
        <w:t>in paragraph (d) delete “</w:t>
      </w:r>
      <w:r>
        <w:rPr>
          <w:i/>
        </w:rPr>
        <w:t>Act 1911</w:t>
      </w:r>
      <w:r>
        <w:t>; and” and insert:</w:t>
      </w:r>
    </w:p>
    <w:p>
      <w:pPr>
        <w:pStyle w:val="BlankOpen"/>
      </w:pPr>
    </w:p>
    <w:p>
      <w:pPr>
        <w:pStyle w:val="nzIndenta"/>
      </w:pPr>
      <w:r>
        <w:tab/>
      </w:r>
      <w:r>
        <w:tab/>
      </w:r>
      <w:r>
        <w:rPr>
          <w:i/>
        </w:rPr>
        <w:t>Act 1911</w:t>
      </w:r>
      <w:r>
        <w:t>.</w:t>
      </w:r>
    </w:p>
    <w:p>
      <w:pPr>
        <w:pStyle w:val="BlankClose"/>
      </w:pPr>
    </w:p>
    <w:p>
      <w:pPr>
        <w:pStyle w:val="nzIndenta"/>
      </w:pPr>
      <w:r>
        <w:tab/>
        <w:t>(b)</w:t>
      </w:r>
      <w:r>
        <w:tab/>
        <w:t>delete paragraph (e).</w:t>
      </w:r>
    </w:p>
    <w:p>
      <w:pPr>
        <w:pStyle w:val="nzHeading5"/>
      </w:pPr>
      <w:bookmarkStart w:id="115" w:name="_Toc430341337"/>
      <w:bookmarkStart w:id="116" w:name="_Toc430352932"/>
      <w:bookmarkStart w:id="117" w:name="_Toc430594123"/>
      <w:r>
        <w:rPr>
          <w:rStyle w:val="CharSectno"/>
        </w:rPr>
        <w:t>15</w:t>
      </w:r>
      <w:r>
        <w:t>.</w:t>
      </w:r>
      <w:r>
        <w:tab/>
        <w:t>Section 24 deleted</w:t>
      </w:r>
      <w:bookmarkEnd w:id="115"/>
      <w:bookmarkEnd w:id="116"/>
      <w:bookmarkEnd w:id="117"/>
    </w:p>
    <w:p>
      <w:pPr>
        <w:pStyle w:val="nzSubsection"/>
      </w:pPr>
      <w:r>
        <w:tab/>
      </w:r>
      <w:r>
        <w:tab/>
        <w:t>Delete section 24.</w:t>
      </w:r>
    </w:p>
    <w:p>
      <w:pPr>
        <w:pStyle w:val="nzHeading5"/>
      </w:pPr>
      <w:bookmarkStart w:id="118" w:name="_Toc430341338"/>
      <w:bookmarkStart w:id="119" w:name="_Toc430352933"/>
      <w:bookmarkStart w:id="120" w:name="_Toc430594124"/>
      <w:r>
        <w:rPr>
          <w:rStyle w:val="CharSectno"/>
        </w:rPr>
        <w:t>16</w:t>
      </w:r>
      <w:r>
        <w:t>.</w:t>
      </w:r>
      <w:r>
        <w:tab/>
        <w:t>Section 36 amended</w:t>
      </w:r>
      <w:bookmarkEnd w:id="118"/>
      <w:bookmarkEnd w:id="119"/>
      <w:bookmarkEnd w:id="120"/>
    </w:p>
    <w:p>
      <w:pPr>
        <w:pStyle w:val="nzSubsection"/>
      </w:pPr>
      <w:r>
        <w:tab/>
      </w:r>
      <w:r>
        <w:tab/>
        <w:t>Delete section 36(1)(ab).</w:t>
      </w:r>
    </w:p>
    <w:p>
      <w:pPr>
        <w:pStyle w:val="nzHeading5"/>
      </w:pPr>
      <w:bookmarkStart w:id="121" w:name="_Toc430341339"/>
      <w:bookmarkStart w:id="122" w:name="_Toc430352934"/>
      <w:bookmarkStart w:id="123" w:name="_Toc430594125"/>
      <w:r>
        <w:rPr>
          <w:rStyle w:val="CharSectno"/>
        </w:rPr>
        <w:t>17</w:t>
      </w:r>
      <w:r>
        <w:t>.</w:t>
      </w:r>
      <w:r>
        <w:tab/>
        <w:t>Section 40 amended</w:t>
      </w:r>
      <w:bookmarkEnd w:id="121"/>
      <w:bookmarkEnd w:id="122"/>
      <w:bookmarkEnd w:id="123"/>
    </w:p>
    <w:p>
      <w:pPr>
        <w:pStyle w:val="nzSubsection"/>
      </w:pPr>
      <w:r>
        <w:tab/>
        <w:t>(1)</w:t>
      </w:r>
      <w:r>
        <w:tab/>
        <w:t>In section 40(1) delete “person” (each occurrence) and insert:</w:t>
      </w:r>
    </w:p>
    <w:p>
      <w:pPr>
        <w:pStyle w:val="BlankOpen"/>
        <w:keepNext w:val="0"/>
        <w:keepLines w:val="0"/>
      </w:pPr>
    </w:p>
    <w:p>
      <w:pPr>
        <w:pStyle w:val="nzSubsection"/>
      </w:pPr>
      <w:r>
        <w:tab/>
      </w:r>
      <w:r>
        <w:tab/>
        <w:t>child</w:t>
      </w:r>
    </w:p>
    <w:p>
      <w:pPr>
        <w:pStyle w:val="BlankClose"/>
        <w:keepLines w:val="0"/>
      </w:pPr>
    </w:p>
    <w:p>
      <w:pPr>
        <w:pStyle w:val="nzSubsection"/>
      </w:pPr>
      <w:r>
        <w:tab/>
        <w:t>(2)</w:t>
      </w:r>
      <w:r>
        <w:tab/>
        <w:t>In section 40(2):</w:t>
      </w:r>
    </w:p>
    <w:p>
      <w:pPr>
        <w:pStyle w:val="nzIndenta"/>
      </w:pPr>
      <w:r>
        <w:tab/>
        <w:t>(a)</w:t>
      </w:r>
      <w:r>
        <w:tab/>
        <w:t>in paragraph (a) delete “person,” and insert:</w:t>
      </w:r>
    </w:p>
    <w:p>
      <w:pPr>
        <w:pStyle w:val="BlankOpen"/>
      </w:pPr>
    </w:p>
    <w:p>
      <w:pPr>
        <w:pStyle w:val="nzIndenta"/>
      </w:pPr>
      <w:r>
        <w:tab/>
      </w:r>
      <w:r>
        <w:tab/>
        <w:t>child,</w:t>
      </w:r>
    </w:p>
    <w:p>
      <w:pPr>
        <w:pStyle w:val="BlankClose"/>
        <w:keepNext/>
      </w:pPr>
    </w:p>
    <w:p>
      <w:pPr>
        <w:pStyle w:val="nzIndenta"/>
      </w:pPr>
      <w:r>
        <w:tab/>
        <w:t>(b)</w:t>
      </w:r>
      <w:r>
        <w:tab/>
        <w:t>in paragraph (b) delete “if the person is a child, by” and insert:</w:t>
      </w:r>
    </w:p>
    <w:p>
      <w:pPr>
        <w:pStyle w:val="BlankOpen"/>
      </w:pPr>
    </w:p>
    <w:p>
      <w:pPr>
        <w:pStyle w:val="nzIndenta"/>
      </w:pPr>
      <w:r>
        <w:tab/>
      </w:r>
      <w:r>
        <w:tab/>
        <w:t>by</w:t>
      </w:r>
    </w:p>
    <w:p>
      <w:pPr>
        <w:pStyle w:val="BlankClose"/>
      </w:pPr>
    </w:p>
    <w:p>
      <w:pPr>
        <w:pStyle w:val="BlankClose"/>
      </w:pP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125" w:name="_Toc522656767"/>
      <w:r>
        <w:rPr>
          <w:sz w:val="28"/>
        </w:rPr>
        <w:t>Defined terms</w:t>
      </w:r>
      <w:bookmarkEnd w:id="1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19C(1)</w:t>
      </w:r>
    </w:p>
    <w:p>
      <w:pPr>
        <w:pStyle w:val="DefinedTerms"/>
      </w:pPr>
      <w:r>
        <w:t>CEO (young offenders)</w:t>
      </w:r>
      <w:r>
        <w:tab/>
        <w:t>3(1)</w:t>
      </w:r>
    </w:p>
    <w:p>
      <w:pPr>
        <w:pStyle w:val="DefinedTerms"/>
      </w:pPr>
      <w:r>
        <w:t>child</w:t>
      </w:r>
      <w:r>
        <w:tab/>
        <w:t>3(1)</w:t>
      </w:r>
    </w:p>
    <w:p>
      <w:pPr>
        <w:pStyle w:val="DefinedTerms"/>
      </w:pPr>
      <w:r>
        <w:t>Court</w:t>
      </w:r>
      <w:r>
        <w:tab/>
        <w:t>3(1)</w:t>
      </w:r>
    </w:p>
    <w:p>
      <w:pPr>
        <w:pStyle w:val="DefinedTerms"/>
      </w:pPr>
      <w:r>
        <w:t>court record</w:t>
      </w:r>
      <w:r>
        <w:tab/>
        <w:t>51A(1)</w:t>
      </w:r>
    </w:p>
    <w:p>
      <w:pPr>
        <w:pStyle w:val="DefinedTerms"/>
      </w:pPr>
      <w:r>
        <w:t>decision</w:t>
      </w:r>
      <w:r>
        <w:tab/>
        <w:t>30(3)</w:t>
      </w:r>
    </w:p>
    <w:p>
      <w:pPr>
        <w:pStyle w:val="DefinedTerms"/>
      </w:pPr>
      <w:r>
        <w:t>detention</w:t>
      </w:r>
      <w:r>
        <w:tab/>
        <w:t>21(1)</w:t>
      </w:r>
    </w:p>
    <w:p>
      <w:pPr>
        <w:pStyle w:val="DefinedTerms"/>
      </w:pPr>
      <w:r>
        <w:t>health department officer</w:t>
      </w:r>
      <w:r>
        <w:tab/>
        <w:t>36AA(2)</w:t>
      </w:r>
    </w:p>
    <w:p>
      <w:pPr>
        <w:pStyle w:val="DefinedTerms"/>
      </w:pPr>
      <w:r>
        <w:t>judge</w:t>
      </w:r>
      <w:r>
        <w:tab/>
        <w:t>3(1)</w:t>
      </w:r>
    </w:p>
    <w:p>
      <w:pPr>
        <w:pStyle w:val="DefinedTerms"/>
      </w:pPr>
      <w:r>
        <w:t>judgment</w:t>
      </w:r>
      <w:r>
        <w:tab/>
        <w:t>39A(1)</w:t>
      </w:r>
    </w:p>
    <w:p>
      <w:pPr>
        <w:pStyle w:val="DefinedTerms"/>
      </w:pPr>
      <w:r>
        <w:t>legal experience</w:t>
      </w:r>
      <w:r>
        <w:tab/>
        <w:t>3(2)</w:t>
      </w:r>
    </w:p>
    <w:p>
      <w:pPr>
        <w:pStyle w:val="DefinedTerms"/>
      </w:pPr>
      <w:r>
        <w:t>legal practitioner</w:t>
      </w:r>
      <w:r>
        <w:tab/>
        <w:t>3(1)</w:t>
      </w:r>
    </w:p>
    <w:p>
      <w:pPr>
        <w:pStyle w:val="DefinedTerms"/>
      </w:pPr>
      <w:r>
        <w:t>magistrate</w:t>
      </w:r>
      <w:r>
        <w:tab/>
        <w:t>3(1)</w:t>
      </w:r>
    </w:p>
    <w:p>
      <w:pPr>
        <w:pStyle w:val="DefinedTerms"/>
      </w:pPr>
      <w:r>
        <w:t>prescribed officer</w:t>
      </w:r>
      <w:r>
        <w:tab/>
        <w:t>33(1)</w:t>
      </w:r>
    </w:p>
    <w:p>
      <w:pPr>
        <w:pStyle w:val="DefinedTerms"/>
      </w:pPr>
      <w:r>
        <w:t>President</w:t>
      </w:r>
      <w:r>
        <w:tab/>
        <w:t>3(1)</w:t>
      </w:r>
    </w:p>
    <w:p>
      <w:pPr>
        <w:pStyle w:val="DefinedTerms"/>
      </w:pPr>
      <w:r>
        <w:t>prohibited matter</w:t>
      </w:r>
      <w:r>
        <w:tab/>
        <w:t>36A(1)</w:t>
      </w:r>
    </w:p>
    <w:p>
      <w:pPr>
        <w:pStyle w:val="DefinedTerms"/>
      </w:pPr>
      <w:r>
        <w:t>reasons</w:t>
      </w:r>
      <w:r>
        <w:tab/>
        <w:t>51A(1)</w:t>
      </w:r>
    </w:p>
    <w:p>
      <w:pPr>
        <w:pStyle w:val="DefinedTerms"/>
      </w:pPr>
      <w:r>
        <w:t>registrar</w:t>
      </w:r>
      <w:r>
        <w:tab/>
        <w:t>3(1)</w:t>
      </w:r>
    </w:p>
    <w:p>
      <w:pPr>
        <w:pStyle w:val="DefinedTerms"/>
      </w:pPr>
      <w:r>
        <w:t>research project</w:t>
      </w:r>
      <w:r>
        <w:tab/>
        <w:t>36AA(2)</w:t>
      </w:r>
    </w:p>
    <w:p>
      <w:pPr>
        <w:pStyle w:val="DefinedTerms"/>
      </w:pPr>
      <w:r>
        <w:t>young offenders agency</w:t>
      </w:r>
      <w:r>
        <w:tab/>
        <w:t>3(1)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6" w:name="DefinedTerms"/>
    <w:bookmarkEnd w:id="12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7" w:name="Coversheet"/>
    <w:bookmarkEnd w:id="1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1107"/>
    <w:docVar w:name="WAFER_20140113100610" w:val="RemoveTocBookmarks,RemoveUnusedBookmarks,RemoveLanguageTags,UsedStyles,ResetPageSize,UpdateArrangement"/>
    <w:docVar w:name="WAFER_20140113100610_GUID" w:val="bd6a302c-df61-40c4-831c-74b92dc18096"/>
    <w:docVar w:name="WAFER_20140113100643" w:val="RemoveTocBookmarks,RunningHeaders"/>
    <w:docVar w:name="WAFER_20140113100643_GUID" w:val="f7d01e22-f2a3-4bfb-ba3b-b86fa8d6307b"/>
    <w:docVar w:name="WAFER_20140422164356" w:val="RemoveTocBookmarks,RemoveUnusedBookmarks,RemoveLanguageTags,UsedStyles,ResetPageSize,RemoveCustomizations"/>
    <w:docVar w:name="WAFER_20140422164356_GUID" w:val="2d6117c2-0870-4075-8080-5b083dca3479"/>
    <w:docVar w:name="WAFER_20140516143758" w:val="RemoveTocBookmarks,RemoveUnusedBookmarks,RemoveLanguageTags,UsedStyles,ResetPageSize,RemoveCustomizations"/>
    <w:docVar w:name="WAFER_20140516143758_GUID" w:val="1ea944fb-1719-4952-b365-eb6438b97e53"/>
    <w:docVar w:name="WAFER_20140516143810" w:val="RemoveTocBookmarks,RemoveUnusedBookmarks,RemoveLanguageTags,UsedStyles,RemoveTrackChanges"/>
    <w:docVar w:name="WAFER_20140516143810_GUID" w:val="f1907c86-0920-444b-804b-e488bb3c7c9e"/>
    <w:docVar w:name="WAFER_20140516143825" w:val="RemoveTocBookmarks,RemoveLanguageTags,RemoveTrackChanges,RunningHeaders"/>
    <w:docVar w:name="WAFER_20140516143825_GUID" w:val="3ba823d0-b38d-4a79-8d24-8f66ab4c6efe"/>
    <w:docVar w:name="WAFER_20140516143842" w:val="RemoveTocBookmarks,RemoveLanguageTags,RemoveTrackChanges,RunningHeaders"/>
    <w:docVar w:name="WAFER_20140516143842_GUID" w:val="d9e3952b-22d1-4ede-a0c9-886b8048e25c"/>
    <w:docVar w:name="WAFER_20140618105336" w:val="RemoveTocBookmarks,RemoveLanguageTags,RemoveTrackChanges,RunningHeaders"/>
    <w:docVar w:name="WAFER_20140618105336_GUID" w:val="c8ca39ca-0c24-415f-b979-6e08bb339217"/>
    <w:docVar w:name="WAFER_20150401105400" w:val="ResetPageSize,UpdateArrangement,UpdateNTable"/>
    <w:docVar w:name="WAFER_20150401105400_GUID" w:val="b5629df9-dd7d-401e-843f-dc1b9ba3bfab"/>
    <w:docVar w:name="WAFER_20150921141733" w:val="RemoveTocBookmarks,RemoveUnusedBookmarks,RemoveLanguageTags,UsedStyles,ResetPageSize"/>
    <w:docVar w:name="WAFER_20150921141733_GUID" w:val="3454f8bd-7dc8-4dcf-bc2d-ed14d8deded5"/>
    <w:docVar w:name="WAFER_20151102151107" w:val="UpdateStyles,UsedStyles"/>
    <w:docVar w:name="WAFER_20151102151107_GUID" w:val="e03b8a92-d5c0-46cb-9a2a-fbdf55795b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Stat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74BCD-7B8B-4659-84B7-D6365992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14373</Words>
  <Characters>64680</Characters>
  <Application>Microsoft Office Word</Application>
  <DocSecurity>0</DocSecurity>
  <Lines>1848</Lines>
  <Paragraphs>1054</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1988 - 06-e0-03</dc:title>
  <dc:subject/>
  <dc:creator/>
  <cp:keywords/>
  <dc:description/>
  <cp:lastModifiedBy>svcMRProcess</cp:lastModifiedBy>
  <cp:revision>4</cp:revision>
  <cp:lastPrinted>2014-06-13T06:02:00Z</cp:lastPrinted>
  <dcterms:created xsi:type="dcterms:W3CDTF">2018-08-21T15:16:00Z</dcterms:created>
  <dcterms:modified xsi:type="dcterms:W3CDTF">2018-08-21T15:16:00Z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DocumentType">
    <vt:lpwstr>Act</vt:lpwstr>
  </property>
  <property fmtid="{D5CDD505-2E9C-101B-9397-08002B2CF9AE}" pid="4" name="OwlsUID">
    <vt:i4>124</vt:i4>
  </property>
  <property fmtid="{D5CDD505-2E9C-101B-9397-08002B2CF9AE}" pid="5" name="ReprintNo">
    <vt:lpwstr>6</vt:lpwstr>
  </property>
  <property fmtid="{D5CDD505-2E9C-101B-9397-08002B2CF9AE}" pid="6" name="ReprintedAsAt">
    <vt:filetime>2014-06-12T16:00:00Z</vt:filetime>
  </property>
  <property fmtid="{D5CDD505-2E9C-101B-9397-08002B2CF9AE}" pid="7" name="AsAtDate">
    <vt:lpwstr>17 Sep 2015</vt:lpwstr>
  </property>
  <property fmtid="{D5CDD505-2E9C-101B-9397-08002B2CF9AE}" pid="8" name="Suffix">
    <vt:lpwstr>06-e0-03</vt:lpwstr>
  </property>
  <property fmtid="{D5CDD505-2E9C-101B-9397-08002B2CF9AE}" pid="9" name="CommencementDate">
    <vt:lpwstr>20150917</vt:lpwstr>
  </property>
</Properties>
</file>