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pStyle w:val="Subsection"/>
        <w:rPr>
          <w:szCs w:val="24"/>
        </w:rPr>
      </w:pPr>
      <w:r>
        <w:tab/>
      </w:r>
      <w:r>
        <w:tab/>
      </w:r>
      <w:r>
        <w:rPr>
          <w:szCs w:val="24"/>
        </w:rPr>
        <w:t xml:space="preserve">This Act expired on 10 Oct 2015 (see s. 96 and </w:t>
      </w:r>
      <w:r>
        <w:rPr>
          <w:i/>
          <w:szCs w:val="24"/>
        </w:rPr>
        <w:t>Gazette</w:t>
      </w:r>
      <w:r>
        <w:rPr>
          <w:szCs w:val="24"/>
        </w:rPr>
        <w:t xml:space="preserve"> 9 Oct 2015 p. 3981)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_Toc432083625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_Toc432083626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_Toc432083627 \h </w:instrText>
      </w:r>
      <w:r>
        <w:fldChar w:fldCharType="separate"/>
      </w:r>
      <w:r>
        <w:t>1</w:t>
      </w:r>
      <w:r>
        <w:fldChar w:fldCharType="end"/>
      </w:r>
    </w:p>
    <w:p>
      <w:pPr>
        <w:pStyle w:val="TOC8"/>
        <w:rPr>
          <w:rFonts w:asciiTheme="minorHAnsi" w:eastAsiaTheme="minorEastAsia" w:hAnsiTheme="minorHAnsi" w:cstheme="minorBidi"/>
          <w:szCs w:val="22"/>
        </w:rPr>
      </w:pPr>
      <w:r>
        <w:t>4.</w:t>
      </w:r>
      <w:r>
        <w:tab/>
        <w:t>Purpose</w:t>
      </w:r>
      <w:r>
        <w:tab/>
      </w:r>
      <w:r>
        <w:fldChar w:fldCharType="begin"/>
      </w:r>
      <w:r>
        <w:instrText xml:space="preserve"> PAGEREF _Toc432083628 \h </w:instrText>
      </w:r>
      <w:r>
        <w:fldChar w:fldCharType="separate"/>
      </w:r>
      <w:r>
        <w:t>4</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_Toc432083629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2 — Evidential matters</w:t>
      </w:r>
    </w:p>
    <w:p>
      <w:pPr>
        <w:pStyle w:val="TOC8"/>
        <w:rPr>
          <w:rFonts w:asciiTheme="minorHAnsi" w:eastAsiaTheme="minorEastAsia" w:hAnsiTheme="minorHAnsi" w:cstheme="minorBidi"/>
          <w:szCs w:val="22"/>
        </w:rPr>
      </w:pPr>
      <w:r>
        <w:t>74.</w:t>
      </w:r>
      <w:r>
        <w:tab/>
        <w:t>Proof of unpublished orders and of appointments</w:t>
      </w:r>
      <w:r>
        <w:tab/>
      </w:r>
      <w:r>
        <w:fldChar w:fldCharType="begin"/>
      </w:r>
      <w:r>
        <w:instrText xml:space="preserve"> PAGEREF _Toc432083632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7 — Review of Act</w:t>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_Toc432083634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iCs/>
        </w:rPr>
        <w:t>Corruption and Crime Commission Act 2003</w:t>
      </w:r>
      <w:r>
        <w:t> amended</w:t>
      </w:r>
    </w:p>
    <w:p>
      <w:pPr>
        <w:pStyle w:val="TOC8"/>
        <w:rPr>
          <w:rFonts w:asciiTheme="minorHAnsi" w:eastAsiaTheme="minorEastAsia" w:hAnsiTheme="minorHAnsi" w:cstheme="minorBidi"/>
          <w:szCs w:val="22"/>
        </w:rPr>
      </w:pPr>
      <w:r>
        <w:t>94.</w:t>
      </w:r>
      <w:r>
        <w:tab/>
        <w:t>Act amended</w:t>
      </w:r>
      <w:r>
        <w:tab/>
      </w:r>
      <w:r>
        <w:fldChar w:fldCharType="begin"/>
      </w:r>
      <w:r>
        <w:instrText xml:space="preserve"> PAGEREF _Toc432083636 \h </w:instrText>
      </w:r>
      <w:r>
        <w:fldChar w:fldCharType="separate"/>
      </w:r>
      <w:r>
        <w:t>8</w:t>
      </w:r>
      <w:r>
        <w:fldChar w:fldCharType="end"/>
      </w:r>
    </w:p>
    <w:p>
      <w:pPr>
        <w:pStyle w:val="TOC8"/>
        <w:rPr>
          <w:rFonts w:asciiTheme="minorHAnsi" w:eastAsiaTheme="minorEastAsia" w:hAnsiTheme="minorHAnsi" w:cstheme="minorBidi"/>
          <w:szCs w:val="22"/>
        </w:rPr>
      </w:pPr>
      <w:r>
        <w:t>95.</w:t>
      </w:r>
      <w:r>
        <w:tab/>
        <w:t>Section 91 amended</w:t>
      </w:r>
      <w:r>
        <w:tab/>
      </w:r>
      <w:r>
        <w:fldChar w:fldCharType="begin"/>
      </w:r>
      <w:r>
        <w:instrText xml:space="preserve"> PAGEREF _Toc432083637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10 — Expiry of Act</w:t>
      </w:r>
    </w:p>
    <w:p>
      <w:pPr>
        <w:pStyle w:val="TOC8"/>
        <w:rPr>
          <w:rFonts w:asciiTheme="minorHAnsi" w:eastAsiaTheme="minorEastAsia" w:hAnsiTheme="minorHAnsi" w:cstheme="minorBidi"/>
          <w:szCs w:val="22"/>
        </w:rPr>
      </w:pPr>
      <w:r>
        <w:t>96.</w:t>
      </w:r>
      <w:r>
        <w:tab/>
        <w:t>Expiry of Act</w:t>
      </w:r>
      <w:r>
        <w:tab/>
      </w:r>
      <w:r>
        <w:fldChar w:fldCharType="begin"/>
      </w:r>
      <w:r>
        <w:instrText xml:space="preserve"> PAGEREF _Toc432083639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_Toc432083641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3" w:name="BillCited"/>
      <w:bookmarkEnd w:id="3"/>
      <w:r>
        <w:t>No.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3250"/>
      <w:bookmarkStart w:id="5" w:name="_Toc377543937"/>
      <w:bookmarkStart w:id="6" w:name="_Toc415491748"/>
      <w:bookmarkStart w:id="7" w:name="_Toc415491766"/>
      <w:bookmarkStart w:id="8" w:name="_Toc432080486"/>
      <w:bookmarkStart w:id="9" w:name="_Toc43208362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377543938"/>
      <w:bookmarkStart w:id="11" w:name="_Toc432083625"/>
      <w:r>
        <w:rPr>
          <w:rStyle w:val="CharSectno"/>
        </w:rPr>
        <w:t>1</w:t>
      </w:r>
      <w:r>
        <w:t>.</w:t>
      </w:r>
      <w:r>
        <w:tab/>
        <w:t>Short title</w:t>
      </w:r>
      <w:bookmarkEnd w:id="10"/>
      <w:bookmarkEnd w:id="11"/>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12" w:name="_Toc377543939"/>
      <w:bookmarkStart w:id="13" w:name="_Toc432083626"/>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14" w:name="_Toc377543940"/>
      <w:bookmarkStart w:id="15" w:name="_Toc432083627"/>
      <w:r>
        <w:rPr>
          <w:rStyle w:val="CharSectno"/>
        </w:rPr>
        <w:t>3</w:t>
      </w:r>
      <w:r>
        <w:t>.</w:t>
      </w:r>
      <w:r>
        <w:tab/>
        <w:t>Terms used</w:t>
      </w:r>
      <w:bookmarkEnd w:id="14"/>
      <w:bookmarkEnd w:id="15"/>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place">
        <w:smartTag w:uri="urn:schemas-microsoft-com:office:smarttags" w:element="City">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pPr>
      <w:r>
        <w:tab/>
        <w:t>(ii)</w:t>
      </w:r>
      <w:r>
        <w:tab/>
        <w:t>a submarine or other submersible.</w:t>
      </w:r>
    </w:p>
    <w:p>
      <w:pPr>
        <w:pStyle w:val="Heading5"/>
      </w:pPr>
      <w:bookmarkStart w:id="16" w:name="_Toc377543941"/>
      <w:bookmarkStart w:id="17" w:name="_Toc432083628"/>
      <w:r>
        <w:rPr>
          <w:rStyle w:val="CharSectno"/>
        </w:rPr>
        <w:t>4</w:t>
      </w:r>
      <w:r>
        <w:t>.</w:t>
      </w:r>
      <w:r>
        <w:tab/>
        <w:t>Purpose</w:t>
      </w:r>
      <w:bookmarkEnd w:id="16"/>
      <w:bookmarkEnd w:id="17"/>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18" w:name="_Toc377543942"/>
      <w:bookmarkStart w:id="19" w:name="_Toc432083629"/>
      <w:r>
        <w:rPr>
          <w:rStyle w:val="CharSectno"/>
        </w:rPr>
        <w:t>5</w:t>
      </w:r>
      <w:r>
        <w:t>.</w:t>
      </w:r>
      <w:r>
        <w:tab/>
        <w:t>Act binds Crown</w:t>
      </w:r>
      <w:bookmarkEnd w:id="18"/>
      <w:bookmarkEnd w:id="19"/>
    </w:p>
    <w:p>
      <w:pPr>
        <w:pStyle w:val="Subsection"/>
        <w:spacing w:before="200"/>
      </w:pPr>
      <w:r>
        <w:tab/>
      </w:r>
      <w:r>
        <w:tab/>
        <w:t>This Act binds the State and, so far as the legislative power of the State permits, the Crown in all its other capacities.</w:t>
      </w:r>
    </w:p>
    <w:p>
      <w:pPr>
        <w:pStyle w:val="Ednotepart"/>
      </w:pPr>
      <w:r>
        <w:t>[Parts 2-6 (s. 6-71) expired (see s. 96(1)).]</w:t>
      </w:r>
    </w:p>
    <w:p>
      <w:pPr>
        <w:pStyle w:val="Heading2"/>
      </w:pPr>
      <w:bookmarkStart w:id="20" w:name="_Toc377543256"/>
      <w:bookmarkStart w:id="21" w:name="_Toc377543943"/>
      <w:bookmarkStart w:id="22" w:name="_Toc415491754"/>
      <w:bookmarkStart w:id="23" w:name="_Toc415491772"/>
      <w:bookmarkStart w:id="24" w:name="_Toc432080492"/>
      <w:bookmarkStart w:id="25" w:name="_Toc432083630"/>
      <w:r>
        <w:rPr>
          <w:rStyle w:val="CharPartNo"/>
        </w:rPr>
        <w:t>Part 7</w:t>
      </w:r>
      <w:r>
        <w:t> — </w:t>
      </w:r>
      <w:r>
        <w:rPr>
          <w:rStyle w:val="CharPartText"/>
        </w:rPr>
        <w:t>Miscellaneous</w:t>
      </w:r>
      <w:bookmarkEnd w:id="20"/>
      <w:bookmarkEnd w:id="21"/>
      <w:bookmarkEnd w:id="22"/>
      <w:bookmarkEnd w:id="23"/>
      <w:bookmarkEnd w:id="24"/>
      <w:bookmarkEnd w:id="25"/>
    </w:p>
    <w:p>
      <w:pPr>
        <w:pStyle w:val="Ednotedivision"/>
      </w:pPr>
      <w:r>
        <w:t>[Division 1 (s. 72-73) expired (see s. 96(1)).]</w:t>
      </w:r>
    </w:p>
    <w:p>
      <w:pPr>
        <w:pStyle w:val="Heading3"/>
      </w:pPr>
      <w:bookmarkStart w:id="26" w:name="_Toc377543257"/>
      <w:bookmarkStart w:id="27" w:name="_Toc377543944"/>
      <w:bookmarkStart w:id="28" w:name="_Toc415491755"/>
      <w:bookmarkStart w:id="29" w:name="_Toc415491773"/>
      <w:bookmarkStart w:id="30" w:name="_Toc432080493"/>
      <w:bookmarkStart w:id="31" w:name="_Toc432083631"/>
      <w:r>
        <w:rPr>
          <w:rStyle w:val="CharDivNo"/>
        </w:rPr>
        <w:t>Division 2</w:t>
      </w:r>
      <w:r>
        <w:t> — </w:t>
      </w:r>
      <w:r>
        <w:rPr>
          <w:rStyle w:val="CharDivText"/>
        </w:rPr>
        <w:t>Evidential matters</w:t>
      </w:r>
      <w:bookmarkEnd w:id="26"/>
      <w:bookmarkEnd w:id="27"/>
      <w:bookmarkEnd w:id="28"/>
      <w:bookmarkEnd w:id="29"/>
      <w:bookmarkEnd w:id="30"/>
      <w:bookmarkEnd w:id="31"/>
    </w:p>
    <w:p>
      <w:pPr>
        <w:pStyle w:val="Heading5"/>
      </w:pPr>
      <w:bookmarkStart w:id="32" w:name="_Toc377543945"/>
      <w:bookmarkStart w:id="33" w:name="_Toc432083632"/>
      <w:r>
        <w:rPr>
          <w:rStyle w:val="CharSectno"/>
        </w:rPr>
        <w:t>74</w:t>
      </w:r>
      <w:r>
        <w:t>.</w:t>
      </w:r>
      <w:r>
        <w:tab/>
        <w:t>Proof of unpublished orders and of appointments</w:t>
      </w:r>
      <w:bookmarkEnd w:id="32"/>
      <w:bookmarkEnd w:id="33"/>
    </w:p>
    <w:p>
      <w:pPr>
        <w:pStyle w:val="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Indenta"/>
      </w:pPr>
      <w:r>
        <w:tab/>
        <w:t>(c)</w:t>
      </w:r>
      <w:r>
        <w:tab/>
        <w:t>that an order was made under section 14 declaring a stated meeting, event, function or activity to be a CHOGM event, and the date and time when the order was signed;</w:t>
      </w:r>
    </w:p>
    <w:p>
      <w:pPr>
        <w:pStyle w:val="Indenta"/>
      </w:pPr>
      <w:r>
        <w:tab/>
        <w:t>(d)</w:t>
      </w:r>
      <w:r>
        <w:tab/>
        <w:t xml:space="preserve">that a stated person was, at a stated time or during a stated period — </w:t>
      </w:r>
    </w:p>
    <w:p>
      <w:pPr>
        <w:pStyle w:val="Indenti"/>
      </w:pPr>
      <w:r>
        <w:tab/>
        <w:t>(i)</w:t>
      </w:r>
      <w:r>
        <w:tab/>
        <w:t>a recognised law enforcement officer; or</w:t>
      </w:r>
    </w:p>
    <w:p>
      <w:pPr>
        <w:pStyle w:val="Indenti"/>
      </w:pPr>
      <w:r>
        <w:tab/>
        <w:t>(ii)</w:t>
      </w:r>
      <w:r>
        <w:tab/>
        <w:t>an authorised person.</w:t>
      </w:r>
    </w:p>
    <w:p>
      <w:pPr>
        <w:pStyle w:val="Subsection"/>
      </w:pPr>
      <w:r>
        <w:tab/>
        <w:t>(2)</w:t>
      </w:r>
      <w:r>
        <w:tab/>
        <w:t xml:space="preserve">Subsection (1)(a) does not apply if the order made under section 8 is published in the </w:t>
      </w:r>
      <w:r>
        <w:rPr>
          <w:i/>
          <w:iCs/>
        </w:rPr>
        <w:t>Gazette</w:t>
      </w:r>
      <w:r>
        <w:t>.</w:t>
      </w:r>
    </w:p>
    <w:p>
      <w:pPr>
        <w:pStyle w:val="Subsection"/>
      </w:pPr>
      <w:r>
        <w:tab/>
        <w:t>(3)</w:t>
      </w:r>
      <w:r>
        <w:tab/>
        <w:t xml:space="preserve">Subsection (1)(b) does not apply if the order made under section 12 is published in the </w:t>
      </w:r>
      <w:r>
        <w:rPr>
          <w:i/>
          <w:iCs/>
        </w:rPr>
        <w:t>Gazette</w:t>
      </w:r>
      <w:r>
        <w:t>.</w:t>
      </w:r>
    </w:p>
    <w:p>
      <w:pPr>
        <w:pStyle w:val="Subsection"/>
      </w:pPr>
      <w:r>
        <w:tab/>
        <w:t>(4)</w:t>
      </w:r>
      <w:r>
        <w:tab/>
        <w:t xml:space="preserve">Subsection (1)(c) does not apply if the order made under section 14 is published in the </w:t>
      </w:r>
      <w:r>
        <w:rPr>
          <w:i/>
        </w:rPr>
        <w:t>Gazette</w:t>
      </w:r>
      <w:r>
        <w:t>.</w:t>
      </w:r>
    </w:p>
    <w:p>
      <w:pPr>
        <w:pStyle w:val="Ednotedivision"/>
      </w:pPr>
      <w:r>
        <w:t>[Division 3-6 (s. 75-82) expired (see s. 96(1)).]</w:t>
      </w:r>
    </w:p>
    <w:p>
      <w:pPr>
        <w:pStyle w:val="Heading3"/>
      </w:pPr>
      <w:bookmarkStart w:id="34" w:name="_Toc377543259"/>
      <w:bookmarkStart w:id="35" w:name="_Toc377543946"/>
      <w:bookmarkStart w:id="36" w:name="_Toc415491757"/>
      <w:bookmarkStart w:id="37" w:name="_Toc415491775"/>
      <w:bookmarkStart w:id="38" w:name="_Toc432080495"/>
      <w:bookmarkStart w:id="39" w:name="_Toc432083633"/>
      <w:r>
        <w:rPr>
          <w:rStyle w:val="CharDivNo"/>
        </w:rPr>
        <w:t>Division 7</w:t>
      </w:r>
      <w:r>
        <w:t> — </w:t>
      </w:r>
      <w:r>
        <w:rPr>
          <w:rStyle w:val="CharDivText"/>
        </w:rPr>
        <w:t>Review of Act</w:t>
      </w:r>
      <w:bookmarkEnd w:id="34"/>
      <w:bookmarkEnd w:id="35"/>
      <w:bookmarkEnd w:id="36"/>
      <w:bookmarkEnd w:id="37"/>
      <w:bookmarkEnd w:id="38"/>
      <w:bookmarkEnd w:id="39"/>
    </w:p>
    <w:p>
      <w:pPr>
        <w:pStyle w:val="Heading5"/>
      </w:pPr>
      <w:bookmarkStart w:id="40" w:name="_Toc377543947"/>
      <w:bookmarkStart w:id="41" w:name="_Toc432083634"/>
      <w:r>
        <w:rPr>
          <w:rStyle w:val="CharSectno"/>
        </w:rPr>
        <w:t>83</w:t>
      </w:r>
      <w:r>
        <w:t>.</w:t>
      </w:r>
      <w:r>
        <w:tab/>
        <w:t>Review of Act</w:t>
      </w:r>
      <w:bookmarkEnd w:id="40"/>
      <w:bookmarkEnd w:id="41"/>
    </w:p>
    <w:p>
      <w:pPr>
        <w:pStyle w:val="Subsection"/>
      </w:pPr>
      <w:r>
        <w:tab/>
        <w:t>(1)</w:t>
      </w:r>
      <w:r>
        <w:tab/>
        <w:t>The Commissioner must carry out and complete a review of the operation and effectiveness of this Act not later than 3 months after the CHOGM period ends.</w:t>
      </w:r>
    </w:p>
    <w:p>
      <w:pPr>
        <w:pStyle w:val="Subsection"/>
      </w:pPr>
      <w:r>
        <w:tab/>
        <w:t>(2)</w:t>
      </w:r>
      <w:r>
        <w:tab/>
        <w:t>Within one month after completing the review, the Commissioner must prepare a report based on the review and give the report to the Minister.</w:t>
      </w:r>
    </w:p>
    <w:p>
      <w:pPr>
        <w:pStyle w:val="Subsection"/>
      </w:pPr>
      <w:r>
        <w:tab/>
        <w:t>(3)</w:t>
      </w:r>
      <w:r>
        <w:tab/>
        <w:t>As soon as practicable after receiving the report from the Commissioner, the Minister must cause the report to be laid before each House of Parliament.</w:t>
      </w:r>
    </w:p>
    <w:p>
      <w:pPr>
        <w:pStyle w:val="Ednotepart"/>
      </w:pPr>
      <w:r>
        <w:t>[Part 8 (s. 84-93) expired (see s. 96(1)).]</w:t>
      </w:r>
    </w:p>
    <w:p>
      <w:pPr>
        <w:pStyle w:val="Heading2"/>
      </w:pPr>
      <w:bookmarkStart w:id="42" w:name="_Toc377543261"/>
      <w:bookmarkStart w:id="43" w:name="_Toc377543948"/>
      <w:bookmarkStart w:id="44" w:name="_Toc415491759"/>
      <w:bookmarkStart w:id="45" w:name="_Toc415491777"/>
      <w:bookmarkStart w:id="46" w:name="_Toc432080497"/>
      <w:bookmarkStart w:id="47" w:name="_Toc432083635"/>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42"/>
      <w:bookmarkEnd w:id="43"/>
      <w:bookmarkEnd w:id="44"/>
      <w:bookmarkEnd w:id="45"/>
      <w:bookmarkEnd w:id="46"/>
      <w:bookmarkEnd w:id="47"/>
    </w:p>
    <w:p>
      <w:pPr>
        <w:pStyle w:val="Heading5"/>
      </w:pPr>
      <w:bookmarkStart w:id="48" w:name="_Toc377543949"/>
      <w:bookmarkStart w:id="49" w:name="_Toc432083636"/>
      <w:r>
        <w:rPr>
          <w:rStyle w:val="CharSectno"/>
        </w:rPr>
        <w:t>94</w:t>
      </w:r>
      <w:r>
        <w:t>.</w:t>
      </w:r>
      <w:r>
        <w:tab/>
        <w:t>Act amended</w:t>
      </w:r>
      <w:bookmarkEnd w:id="48"/>
      <w:bookmarkEnd w:id="49"/>
    </w:p>
    <w:p>
      <w:pPr>
        <w:pStyle w:val="Subsection"/>
      </w:pPr>
      <w:r>
        <w:tab/>
      </w:r>
      <w:r>
        <w:tab/>
        <w:t xml:space="preserve">This Part amends the </w:t>
      </w:r>
      <w:r>
        <w:rPr>
          <w:i/>
        </w:rPr>
        <w:t>Corruption and Crime Commission Act 2003</w:t>
      </w:r>
      <w:r>
        <w:t>.</w:t>
      </w:r>
    </w:p>
    <w:p>
      <w:pPr>
        <w:pStyle w:val="Heading5"/>
      </w:pPr>
      <w:bookmarkStart w:id="50" w:name="_Toc377543950"/>
      <w:bookmarkStart w:id="51" w:name="_Toc432083637"/>
      <w:r>
        <w:rPr>
          <w:rStyle w:val="CharSectno"/>
        </w:rPr>
        <w:t>95</w:t>
      </w:r>
      <w:r>
        <w:t>.</w:t>
      </w:r>
      <w:r>
        <w:tab/>
        <w:t>Section 91 amended</w:t>
      </w:r>
      <w:bookmarkEnd w:id="50"/>
      <w:bookmarkEnd w:id="51"/>
    </w:p>
    <w:p>
      <w:pPr>
        <w:pStyle w:val="Subsection"/>
      </w:pPr>
      <w:r>
        <w:tab/>
      </w:r>
      <w:r>
        <w:tab/>
        <w:t>After section 91(5) insert:</w:t>
      </w:r>
    </w:p>
    <w:p>
      <w:pPr>
        <w:pStyle w:val="BlankOpen"/>
      </w:pPr>
    </w:p>
    <w:p>
      <w:pPr>
        <w:pStyle w:val="z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zSubsection"/>
      </w:pPr>
      <w:r>
        <w:tab/>
        <w:t>(7)</w:t>
      </w:r>
      <w:r>
        <w:tab/>
        <w:t>This subsection and subsection (6) expire at the end of 31 December 2012.</w:t>
      </w:r>
    </w:p>
    <w:p>
      <w:pPr>
        <w:pStyle w:val="BlankClose"/>
      </w:pPr>
    </w:p>
    <w:p>
      <w:pPr>
        <w:pStyle w:val="Heading2"/>
      </w:pPr>
      <w:bookmarkStart w:id="52" w:name="_Toc377543264"/>
      <w:bookmarkStart w:id="53" w:name="_Toc377543951"/>
      <w:bookmarkStart w:id="54" w:name="_Toc415491762"/>
      <w:bookmarkStart w:id="55" w:name="_Toc415491780"/>
      <w:bookmarkStart w:id="56" w:name="_Toc432080500"/>
      <w:bookmarkStart w:id="57" w:name="_Toc432083638"/>
      <w:r>
        <w:rPr>
          <w:rStyle w:val="CharPartNo"/>
        </w:rPr>
        <w:t>Part 10</w:t>
      </w:r>
      <w:r>
        <w:rPr>
          <w:rStyle w:val="CharDivNo"/>
        </w:rPr>
        <w:t> </w:t>
      </w:r>
      <w:r>
        <w:t>—</w:t>
      </w:r>
      <w:r>
        <w:rPr>
          <w:rStyle w:val="CharDivText"/>
        </w:rPr>
        <w:t> </w:t>
      </w:r>
      <w:r>
        <w:rPr>
          <w:rStyle w:val="CharPartText"/>
        </w:rPr>
        <w:t>Expiry of Act</w:t>
      </w:r>
      <w:bookmarkEnd w:id="52"/>
      <w:bookmarkEnd w:id="53"/>
      <w:bookmarkEnd w:id="54"/>
      <w:bookmarkEnd w:id="55"/>
      <w:bookmarkEnd w:id="56"/>
      <w:bookmarkEnd w:id="57"/>
    </w:p>
    <w:p>
      <w:pPr>
        <w:pStyle w:val="Heading5"/>
      </w:pPr>
      <w:bookmarkStart w:id="58" w:name="_Toc377543952"/>
      <w:bookmarkStart w:id="59" w:name="_Toc432083639"/>
      <w:r>
        <w:rPr>
          <w:rStyle w:val="CharSectno"/>
        </w:rPr>
        <w:t>96</w:t>
      </w:r>
      <w:r>
        <w:t>.</w:t>
      </w:r>
      <w:r>
        <w:tab/>
        <w:t>Expiry of Act</w:t>
      </w:r>
      <w:bookmarkEnd w:id="58"/>
      <w:bookmarkEnd w:id="59"/>
    </w:p>
    <w:p>
      <w:pPr>
        <w:pStyle w:val="Subsection"/>
      </w:pPr>
      <w:r>
        <w:tab/>
        <w:t>(1)</w:t>
      </w:r>
      <w:r>
        <w:tab/>
        <w:t>Parts 2 to 6, 7 (other than Divisions 2 and 7) and 8 expire at the end of 5 November 2011.</w:t>
      </w:r>
    </w:p>
    <w:p>
      <w:pPr>
        <w:pStyle w:val="Subsection"/>
      </w:pPr>
      <w:r>
        <w:tab/>
        <w:t>(2)</w:t>
      </w:r>
      <w:r>
        <w:tab/>
        <w:t>The rest of this Act expires on a day fixed by proclamation.</w:t>
      </w:r>
    </w:p>
    <w:p>
      <w:pPr>
        <w:pStyle w:val="Subsection"/>
      </w:pPr>
      <w:r>
        <w:tab/>
        <w:t>(3)</w:t>
      </w:r>
      <w:r>
        <w:tab/>
        <w:t>A proclamation cannot be made under subsection (2) unless the Commissioner has given the Minister a certificate signed by the Commissioner stating that the operation of this Act is no longer necessary.</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78"/>
        </w:sectPr>
      </w:pPr>
    </w:p>
    <w:p>
      <w:pPr>
        <w:pStyle w:val="nHeading2"/>
      </w:pPr>
      <w:bookmarkStart w:id="60" w:name="_Toc377543266"/>
      <w:bookmarkStart w:id="61" w:name="_Toc377543953"/>
      <w:bookmarkStart w:id="62" w:name="_Toc415491764"/>
      <w:bookmarkStart w:id="63" w:name="_Toc415491782"/>
      <w:bookmarkStart w:id="64" w:name="_Toc432080502"/>
      <w:bookmarkStart w:id="65" w:name="_Toc432083640"/>
      <w:r>
        <w:t>Notes</w:t>
      </w:r>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xml:space="preserve">.  The following table contains information about that Act. </w:t>
      </w:r>
    </w:p>
    <w:p>
      <w:pPr>
        <w:pStyle w:val="nHeading3"/>
        <w:rPr>
          <w:snapToGrid w:val="0"/>
        </w:rPr>
      </w:pPr>
      <w:bookmarkStart w:id="66" w:name="_Toc377543954"/>
      <w:bookmarkStart w:id="67" w:name="_Toc432083641"/>
      <w:r>
        <w:rPr>
          <w:snapToGrid w:val="0"/>
        </w:rPr>
        <w:t>Compilation table</w:t>
      </w:r>
      <w:bookmarkEnd w:id="66"/>
      <w:bookmarkEnd w:id="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Commonwealth Heads of Government Meeting (Special Powers) Act 2011</w:t>
            </w:r>
          </w:p>
        </w:tc>
        <w:tc>
          <w:tcPr>
            <w:tcW w:w="1134" w:type="dxa"/>
            <w:tcBorders>
              <w:bottom w:val="nil"/>
            </w:tcBorders>
          </w:tcPr>
          <w:p>
            <w:pPr>
              <w:pStyle w:val="nTable"/>
              <w:spacing w:after="40"/>
            </w:pPr>
            <w:r>
              <w:t>23 of 2011</w:t>
            </w:r>
          </w:p>
        </w:tc>
        <w:tc>
          <w:tcPr>
            <w:tcW w:w="1134" w:type="dxa"/>
            <w:tcBorders>
              <w:bottom w:val="nil"/>
            </w:tcBorders>
          </w:tcPr>
          <w:p>
            <w:pPr>
              <w:pStyle w:val="nTable"/>
              <w:spacing w:after="40"/>
            </w:pPr>
            <w:r>
              <w:t>11 Jul 2011</w:t>
            </w:r>
          </w:p>
        </w:tc>
        <w:tc>
          <w:tcPr>
            <w:tcW w:w="2552" w:type="dxa"/>
            <w:tcBorders>
              <w:bottom w:val="nil"/>
            </w:tcBorders>
          </w:tcPr>
          <w:p>
            <w:pPr>
              <w:pStyle w:val="nTable"/>
              <w:spacing w:after="40"/>
            </w:pPr>
            <w:r>
              <w:t>s. 1 and 2: 11 Jul 2011 (see s. 2(a));</w:t>
            </w:r>
            <w:r>
              <w:br/>
              <w:t>s. 3</w:t>
            </w:r>
            <w:r>
              <w:noBreakHyphen/>
              <w:t>5, 81 and Pt. 8</w:t>
            </w:r>
            <w:r>
              <w:noBreakHyphen/>
              <w:t>10: 12 Jul 2011 (see s. 2(b));</w:t>
            </w:r>
            <w:r>
              <w:br/>
              <w:t xml:space="preserve">Pt. 2-7 (except s. 81): 8 Oct 2011 (see s. 2(c) and </w:t>
            </w:r>
            <w:r>
              <w:rPr>
                <w:i/>
              </w:rPr>
              <w:t>Gazette</w:t>
            </w:r>
            <w:r>
              <w:t xml:space="preserve"> 7 Oct 2011 p. 4067)</w:t>
            </w:r>
          </w:p>
        </w:tc>
      </w:tr>
      <w:tr>
        <w:tc>
          <w:tcPr>
            <w:tcW w:w="7088" w:type="dxa"/>
            <w:gridSpan w:val="4"/>
            <w:tcBorders>
              <w:top w:val="nil"/>
            </w:tcBorders>
          </w:tcPr>
          <w:p>
            <w:pPr>
              <w:pStyle w:val="nTable"/>
              <w:spacing w:after="40"/>
              <w:rPr>
                <w:b/>
                <w:color w:val="FF0000"/>
              </w:rPr>
            </w:pPr>
            <w:r>
              <w:rPr>
                <w:b/>
                <w:color w:val="FF0000"/>
              </w:rPr>
              <w:t xml:space="preserve">This Act expired on 10 Oct 2015 (see s. 96 and </w:t>
            </w:r>
            <w:r>
              <w:rPr>
                <w:b/>
                <w:i/>
                <w:color w:val="FF0000"/>
              </w:rPr>
              <w:t>Gazette</w:t>
            </w:r>
            <w:r>
              <w:rPr>
                <w:b/>
                <w:color w:val="FF0000"/>
              </w:rPr>
              <w:t xml:space="preserve"> 9 Oct 2015 p. 3981)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9" w:name="_Toc415491784"/>
      <w:bookmarkStart w:id="70" w:name="_Toc432080504"/>
      <w:bookmarkStart w:id="71" w:name="_Toc432083642"/>
      <w:r>
        <w:rPr>
          <w:sz w:val="28"/>
        </w:rPr>
        <w:t>Defined terms</w:t>
      </w:r>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security area</w:t>
      </w:r>
      <w:r>
        <w:tab/>
        <w:t>3</w:t>
      </w:r>
    </w:p>
    <w:p>
      <w:pPr>
        <w:pStyle w:val="DefinedTerms"/>
      </w:pPr>
      <w:r>
        <w:t>attend</w:t>
      </w:r>
      <w:r>
        <w:tab/>
        <w:t>3</w:t>
      </w:r>
    </w:p>
    <w:p>
      <w:pPr>
        <w:pStyle w:val="DefinedTerms"/>
      </w:pPr>
      <w:r>
        <w:t>authorised person</w:t>
      </w:r>
      <w:r>
        <w:tab/>
        <w:t>3</w:t>
      </w:r>
    </w:p>
    <w:p>
      <w:pPr>
        <w:pStyle w:val="DefinedTerms"/>
      </w:pPr>
      <w:r>
        <w:t>basic search</w:t>
      </w:r>
      <w:r>
        <w:tab/>
        <w:t>3</w:t>
      </w:r>
    </w:p>
    <w:p>
      <w:pPr>
        <w:pStyle w:val="DefinedTerms"/>
      </w:pPr>
      <w:r>
        <w:t>CHOGM</w:t>
      </w:r>
      <w:r>
        <w:tab/>
        <w:t>3</w:t>
      </w:r>
    </w:p>
    <w:p>
      <w:pPr>
        <w:pStyle w:val="DefinedTerms"/>
      </w:pPr>
      <w:r>
        <w:t>CHOGM (Perth)</w:t>
      </w:r>
      <w:r>
        <w:tab/>
        <w:t>3</w:t>
      </w:r>
    </w:p>
    <w:p>
      <w:pPr>
        <w:pStyle w:val="DefinedTerms"/>
      </w:pPr>
      <w:r>
        <w:t>CHOGM event</w:t>
      </w:r>
      <w:r>
        <w:tab/>
        <w:t>3</w:t>
      </w:r>
    </w:p>
    <w:p>
      <w:pPr>
        <w:pStyle w:val="DefinedTerms"/>
      </w:pPr>
      <w:r>
        <w:t>CHOGM period</w:t>
      </w:r>
      <w:r>
        <w:tab/>
        <w:t>3</w:t>
      </w:r>
    </w:p>
    <w:p>
      <w:pPr>
        <w:pStyle w:val="DefinedTerms"/>
      </w:pPr>
      <w:r>
        <w:t>CHOGM security area</w:t>
      </w:r>
      <w:r>
        <w:tab/>
        <w:t>3</w:t>
      </w:r>
    </w:p>
    <w:p>
      <w:pPr>
        <w:pStyle w:val="DefinedTerms"/>
      </w:pPr>
      <w:r>
        <w:t>Commissioner</w:t>
      </w:r>
      <w:r>
        <w:tab/>
        <w:t>3</w:t>
      </w:r>
    </w:p>
    <w:p>
      <w:pPr>
        <w:pStyle w:val="DefinedTerms"/>
      </w:pPr>
      <w:r>
        <w:t>core security area</w:t>
      </w:r>
      <w:r>
        <w:tab/>
        <w:t>3</w:t>
      </w:r>
    </w:p>
    <w:p>
      <w:pPr>
        <w:pStyle w:val="DefinedTerms"/>
      </w:pPr>
      <w:r>
        <w:t>excludable person</w:t>
      </w:r>
      <w:r>
        <w:tab/>
        <w:t>3</w:t>
      </w:r>
    </w:p>
    <w:p>
      <w:pPr>
        <w:pStyle w:val="DefinedTerms"/>
      </w:pPr>
      <w:r>
        <w:t>excluded persons list</w:t>
      </w:r>
      <w:r>
        <w:tab/>
        <w:t>3</w:t>
      </w:r>
    </w:p>
    <w:p>
      <w:pPr>
        <w:pStyle w:val="DefinedTerms"/>
      </w:pPr>
      <w:r>
        <w:t>fail to comply</w:t>
      </w:r>
      <w:r>
        <w:tab/>
        <w:t>3</w:t>
      </w:r>
    </w:p>
    <w:p>
      <w:pPr>
        <w:pStyle w:val="DefinedTerms"/>
      </w:pPr>
      <w:r>
        <w:t>frisk search</w:t>
      </w:r>
      <w:r>
        <w:tab/>
        <w:t>3</w:t>
      </w:r>
    </w:p>
    <w:p>
      <w:pPr>
        <w:pStyle w:val="DefinedTerms"/>
      </w:pPr>
      <w:r>
        <w:t>personal details</w:t>
      </w:r>
      <w:r>
        <w:tab/>
        <w:t>3</w:t>
      </w:r>
    </w:p>
    <w:p>
      <w:pPr>
        <w:pStyle w:val="DefinedTerms"/>
      </w:pPr>
      <w:r>
        <w:t>police vehicle</w:t>
      </w:r>
      <w:r>
        <w:tab/>
        <w:t>3</w:t>
      </w:r>
    </w:p>
    <w:p>
      <w:pPr>
        <w:pStyle w:val="DefinedTerms"/>
      </w:pPr>
      <w:r>
        <w:t>prohibited item</w:t>
      </w:r>
      <w:r>
        <w:tab/>
        <w:t>3</w:t>
      </w:r>
    </w:p>
    <w:p>
      <w:pPr>
        <w:pStyle w:val="DefinedTerms"/>
      </w:pPr>
      <w:r>
        <w:t>recognised law enforcement officer</w:t>
      </w:r>
      <w:r>
        <w:tab/>
        <w:t>3</w:t>
      </w:r>
    </w:p>
    <w:p>
      <w:pPr>
        <w:pStyle w:val="DefinedTerms"/>
      </w:pPr>
      <w:r>
        <w:t>restricted area</w:t>
      </w:r>
      <w:r>
        <w:tab/>
        <w:t>3</w:t>
      </w:r>
    </w:p>
    <w:p>
      <w:pPr>
        <w:pStyle w:val="DefinedTerms"/>
      </w:pPr>
      <w:r>
        <w:t>road</w:t>
      </w:r>
      <w:r>
        <w:tab/>
        <w:t>3</w:t>
      </w:r>
    </w:p>
    <w:p>
      <w:pPr>
        <w:pStyle w:val="DefinedTerms"/>
      </w:pPr>
      <w:r>
        <w:t>special justification</w:t>
      </w:r>
      <w:r>
        <w:tab/>
        <w:t>3</w:t>
      </w:r>
    </w:p>
    <w:p>
      <w:pPr>
        <w:pStyle w:val="DefinedTerms"/>
      </w:pPr>
      <w:r>
        <w:t>special power</w:t>
      </w:r>
      <w:r>
        <w:tab/>
        <w:t>3</w:t>
      </w:r>
    </w:p>
    <w:p>
      <w:pPr>
        <w:pStyle w:val="DefinedTerms"/>
      </w:pPr>
      <w:r>
        <w:t>vehicle</w:t>
      </w:r>
      <w:r>
        <w:tab/>
        <w:t>3</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2015</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14"/>
    <w:docVar w:name="WAFER_20140115094846" w:val="RemoveTocBookmarks,RemoveUnusedBookmarks,RemoveLanguageTags,UsedStyles,ResetPageSize,UpdateArrangement"/>
    <w:docVar w:name="WAFER_20140115094846_GUID" w:val="7d7a55f3-6edb-4305-8bb6-6b27cc976456"/>
    <w:docVar w:name="WAFER_20140115094859" w:val="RemoveTocBookmarks,RunningHeaders"/>
    <w:docVar w:name="WAFER_20140115094859_GUID" w:val="e16cf815-88fc-4e03-9cd5-8b4f1807defc"/>
    <w:docVar w:name="WAFER_20150330145201" w:val="ResetPageSize,UpdateArrangement,UpdateNTable"/>
    <w:docVar w:name="WAFER_20150330145201_GUID" w:val="2b52c7c6-1a39-4c1d-9208-d3bb29169f2b"/>
    <w:docVar w:name="WAFER_20151116154814" w:val="UpdateStyles,UsedStyles"/>
    <w:docVar w:name="WAFER_20151116154814_GUID" w:val="98ce01fc-e522-440f-a504-e8750fe5ad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2005</Words>
  <Characters>9629</Characters>
  <Application>Microsoft Office Word</Application>
  <DocSecurity>0</DocSecurity>
  <Lines>332</Lines>
  <Paragraphs>228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2011 - 00-d0-01</dc:title>
  <dc:subject/>
  <dc:creator/>
  <cp:keywords/>
  <dc:description/>
  <cp:lastModifiedBy>svcMRProcess</cp:lastModifiedBy>
  <cp:revision>4</cp:revision>
  <cp:lastPrinted>2012-01-05T04:01:00Z</cp:lastPrinted>
  <dcterms:created xsi:type="dcterms:W3CDTF">2018-09-18T16:25:00Z</dcterms:created>
  <dcterms:modified xsi:type="dcterms:W3CDTF">2018-09-18T16:25:00Z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2011</vt:lpwstr>
  </property>
  <property fmtid="{D5CDD505-2E9C-101B-9397-08002B2CF9AE}" pid="3" name="DocumentType">
    <vt:lpwstr>Act</vt:lpwstr>
  </property>
  <property fmtid="{D5CDD505-2E9C-101B-9397-08002B2CF9AE}" pid="4" name="AsAtDate">
    <vt:lpwstr>10 Oct 2015</vt:lpwstr>
  </property>
  <property fmtid="{D5CDD505-2E9C-101B-9397-08002B2CF9AE}" pid="5" name="Suffix">
    <vt:lpwstr>00-d0-01</vt:lpwstr>
  </property>
  <property fmtid="{D5CDD505-2E9C-101B-9397-08002B2CF9AE}" pid="6" name="Status">
    <vt:lpwstr>NIF</vt:lpwstr>
  </property>
  <property fmtid="{D5CDD505-2E9C-101B-9397-08002B2CF9AE}" pid="7" name="CommencementDate">
    <vt:lpwstr>20151010</vt:lpwstr>
  </property>
</Properties>
</file>