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_Toc433092505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_Toc433092506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_Toc433092507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 exemptions and modifications</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_Toc433092509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_Toc433092510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_Toc433092511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_Toc433092512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_Toc433092513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_Toc433092514 \h </w:instrText>
      </w:r>
      <w:r>
        <w:fldChar w:fldCharType="separate"/>
      </w:r>
      <w:r>
        <w:t>4</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_Toc433092515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_Toc433092516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the Act</w:t>
      </w:r>
      <w:r>
        <w:tab/>
      </w:r>
      <w:r>
        <w:fldChar w:fldCharType="begin"/>
      </w:r>
      <w:r>
        <w:instrText xml:space="preserve"> PAGEREF _Toc433092517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_Toc433092518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_Toc433092519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_Toc433092520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_Toc433092521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w:t>
      </w:r>
      <w:r>
        <w:tab/>
        <w:t>Modified application of section 43(3) of the Act when Housing Authority is lessor of premises outside metropolitan region</w:t>
      </w:r>
      <w:r>
        <w:tab/>
      </w:r>
      <w:r>
        <w:fldChar w:fldCharType="begin"/>
      </w:r>
      <w:r>
        <w:instrText xml:space="preserve"> PAGEREF _Toc433092522 \h </w:instrText>
      </w:r>
      <w:r>
        <w:fldChar w:fldCharType="separate"/>
      </w:r>
      <w:r>
        <w:t>10</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_Toc433092523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_Toc433092524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_Toc433092525 \h </w:instrText>
      </w:r>
      <w:r>
        <w:fldChar w:fldCharType="separate"/>
      </w:r>
      <w:r>
        <w:t>12</w:t>
      </w:r>
      <w:r>
        <w:fldChar w:fldCharType="end"/>
      </w:r>
    </w:p>
    <w:p>
      <w:pPr>
        <w:pStyle w:val="TOC8"/>
        <w:rPr>
          <w:rFonts w:asciiTheme="minorHAnsi" w:eastAsiaTheme="minorEastAsia" w:hAnsiTheme="minorHAnsi" w:cstheme="minorBidi"/>
          <w:szCs w:val="22"/>
        </w:rPr>
      </w:pPr>
      <w:r>
        <w:t>7D.</w:t>
      </w:r>
      <w:r>
        <w:tab/>
        <w:t>Modified application of section 70A of the Act for Foyer Oxford</w:t>
      </w:r>
      <w:r>
        <w:tab/>
      </w:r>
      <w:r>
        <w:fldChar w:fldCharType="begin"/>
      </w:r>
      <w:r>
        <w:instrText xml:space="preserve"> PAGEREF _Toc433092526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_Toc433092527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_Toc433092528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_Toc433092529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_Toc433092531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_Toc433092532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_Toc433092533 \h </w:instrText>
      </w:r>
      <w:r>
        <w:fldChar w:fldCharType="separate"/>
      </w:r>
      <w:r>
        <w:t>17</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_Toc433092534 \h </w:instrText>
      </w:r>
      <w:r>
        <w:fldChar w:fldCharType="separate"/>
      </w:r>
      <w:r>
        <w:t>17</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_Toc433092535 \h </w:instrText>
      </w:r>
      <w:r>
        <w:fldChar w:fldCharType="separate"/>
      </w:r>
      <w:r>
        <w:t>18</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_Toc433092536 \h </w:instrText>
      </w:r>
      <w:r>
        <w:fldChar w:fldCharType="separate"/>
      </w:r>
      <w:r>
        <w:t>18</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_Toc433092537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_Toc433092538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_Toc433092539 \h </w:instrText>
      </w:r>
      <w:r>
        <w:fldChar w:fldCharType="separate"/>
      </w:r>
      <w:r>
        <w:t>19</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_Toc433092540 \h </w:instrText>
      </w:r>
      <w:r>
        <w:fldChar w:fldCharType="separate"/>
      </w:r>
      <w:r>
        <w:t>19</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_Toc433092541 \h </w:instrText>
      </w:r>
      <w:r>
        <w:fldChar w:fldCharType="separate"/>
      </w:r>
      <w:r>
        <w:t>19</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_Toc433092542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_Toc433092543 \h </w:instrText>
      </w:r>
      <w:r>
        <w:fldChar w:fldCharType="separate"/>
      </w:r>
      <w:r>
        <w:t>22</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_Toc433092544 \h </w:instrText>
      </w:r>
      <w:r>
        <w:fldChar w:fldCharType="separate"/>
      </w:r>
      <w:r>
        <w:t>22</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_Toc433092545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_Toc433092546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_Toc433092547 \h </w:instrText>
      </w:r>
      <w:r>
        <w:fldChar w:fldCharType="separate"/>
      </w:r>
      <w:r>
        <w:t>25</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_Toc433092548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_Toc433092553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_Toc433092554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09431021"/>
      <w:bookmarkStart w:id="4" w:name="_Toc414976425"/>
      <w:bookmarkStart w:id="5" w:name="_Toc414976475"/>
      <w:bookmarkStart w:id="6" w:name="_Toc414978202"/>
      <w:bookmarkStart w:id="7" w:name="_Toc427923876"/>
      <w:bookmarkStart w:id="8" w:name="_Toc427930280"/>
      <w:bookmarkStart w:id="9" w:name="_Toc427933542"/>
      <w:bookmarkStart w:id="10" w:name="_Toc429390721"/>
      <w:bookmarkStart w:id="11" w:name="_Toc429390773"/>
      <w:bookmarkStart w:id="12" w:name="_Toc429390825"/>
      <w:bookmarkStart w:id="13" w:name="_Toc429390877"/>
      <w:bookmarkStart w:id="14" w:name="_Toc430099259"/>
      <w:bookmarkStart w:id="15" w:name="_Toc430180232"/>
      <w:bookmarkStart w:id="16" w:name="_Toc430180694"/>
      <w:bookmarkStart w:id="17" w:name="_Toc4330925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spacing w:before="100"/>
      </w:pPr>
      <w:r>
        <w:tab/>
        <w:t>[Heading inserted in Gazette 3 May 2013 p. 1737.]</w:t>
      </w:r>
    </w:p>
    <w:p>
      <w:pPr>
        <w:pStyle w:val="Heading5"/>
        <w:rPr>
          <w:snapToGrid w:val="0"/>
        </w:rPr>
      </w:pPr>
      <w:bookmarkStart w:id="18" w:name="_Toc409431022"/>
      <w:bookmarkStart w:id="19" w:name="_Toc433092505"/>
      <w:r>
        <w:rPr>
          <w:rStyle w:val="CharSectno"/>
        </w:rPr>
        <w:t>1</w:t>
      </w:r>
      <w:r>
        <w:rPr>
          <w:snapToGrid w:val="0"/>
        </w:rPr>
        <w:t>.</w:t>
      </w:r>
      <w:r>
        <w:rPr>
          <w:snapToGrid w:val="0"/>
        </w:rPr>
        <w:tab/>
        <w:t>Citation</w:t>
      </w:r>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0" w:name="_Toc409431023"/>
      <w:bookmarkStart w:id="21" w:name="_Toc433092506"/>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2" w:name="_Toc409431024"/>
      <w:bookmarkStart w:id="23" w:name="_Toc433092507"/>
      <w:r>
        <w:rPr>
          <w:rStyle w:val="CharSectno"/>
        </w:rPr>
        <w:t>3A</w:t>
      </w:r>
      <w:r>
        <w:t>.</w:t>
      </w:r>
      <w:r>
        <w:tab/>
        <w:t>Terms used</w:t>
      </w:r>
      <w:bookmarkEnd w:id="22"/>
      <w:bookmarkEnd w:id="23"/>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4" w:name="_Toc409431025"/>
      <w:bookmarkStart w:id="25" w:name="_Toc414976429"/>
      <w:bookmarkStart w:id="26" w:name="_Toc414976479"/>
      <w:bookmarkStart w:id="27" w:name="_Toc414978206"/>
      <w:bookmarkStart w:id="28" w:name="_Toc427923880"/>
      <w:bookmarkStart w:id="29" w:name="_Toc427930284"/>
      <w:bookmarkStart w:id="30" w:name="_Toc427933546"/>
      <w:bookmarkStart w:id="31" w:name="_Toc429390725"/>
      <w:bookmarkStart w:id="32" w:name="_Toc429390777"/>
      <w:bookmarkStart w:id="33" w:name="_Toc429390829"/>
      <w:bookmarkStart w:id="34" w:name="_Toc429390881"/>
      <w:bookmarkStart w:id="35" w:name="_Toc430099263"/>
      <w:bookmarkStart w:id="36" w:name="_Toc430180236"/>
      <w:bookmarkStart w:id="37" w:name="_Toc430180698"/>
      <w:bookmarkStart w:id="38" w:name="_Toc433092508"/>
      <w:r>
        <w:rPr>
          <w:rStyle w:val="CharPartNo"/>
        </w:rPr>
        <w:t>Part 2</w:t>
      </w:r>
      <w:r>
        <w:rPr>
          <w:rStyle w:val="CharDivNo"/>
        </w:rPr>
        <w:t> </w:t>
      </w:r>
      <w:r>
        <w:t>—</w:t>
      </w:r>
      <w:r>
        <w:rPr>
          <w:rStyle w:val="CharDivText"/>
        </w:rPr>
        <w:t> </w:t>
      </w:r>
      <w:r>
        <w:rPr>
          <w:rStyle w:val="CharPartText"/>
        </w:rPr>
        <w:t>Application of Act — exemptions and modifications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spacing w:before="90"/>
      </w:pPr>
      <w:r>
        <w:tab/>
        <w:t>[Heading inserted in Gazette 3 May 2013 p. 1738.]</w:t>
      </w:r>
    </w:p>
    <w:p>
      <w:pPr>
        <w:pStyle w:val="Heading5"/>
        <w:spacing w:before="200"/>
        <w:rPr>
          <w:snapToGrid w:val="0"/>
        </w:rPr>
      </w:pPr>
      <w:bookmarkStart w:id="39" w:name="_Toc409431026"/>
      <w:bookmarkStart w:id="40" w:name="_Toc433092509"/>
      <w:r>
        <w:rPr>
          <w:rStyle w:val="CharSectno"/>
        </w:rPr>
        <w:t>3</w:t>
      </w:r>
      <w:r>
        <w:rPr>
          <w:snapToGrid w:val="0"/>
        </w:rPr>
        <w:t>.</w:t>
      </w:r>
      <w:r>
        <w:rPr>
          <w:snapToGrid w:val="0"/>
        </w:rPr>
        <w:tab/>
        <w:t>Exemption for retirement villages</w:t>
      </w:r>
      <w:bookmarkEnd w:id="39"/>
      <w:bookmarkEnd w:id="40"/>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41" w:name="_Toc409431027"/>
      <w:bookmarkStart w:id="42" w:name="_Toc433092510"/>
      <w:r>
        <w:rPr>
          <w:rStyle w:val="CharSectno"/>
        </w:rPr>
        <w:t>4</w:t>
      </w:r>
      <w:r>
        <w:rPr>
          <w:snapToGrid w:val="0"/>
        </w:rPr>
        <w:t>.</w:t>
      </w:r>
      <w:r>
        <w:rPr>
          <w:snapToGrid w:val="0"/>
        </w:rPr>
        <w:tab/>
        <w:t>Exemption for certain agreements with squatters</w:t>
      </w:r>
      <w:bookmarkEnd w:id="41"/>
      <w:bookmarkEnd w:id="42"/>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43" w:name="_Toc409431028"/>
      <w:bookmarkStart w:id="44" w:name="_Toc433092511"/>
      <w:r>
        <w:rPr>
          <w:rStyle w:val="CharSectno"/>
        </w:rPr>
        <w:t>5</w:t>
      </w:r>
      <w:r>
        <w:rPr>
          <w:snapToGrid w:val="0"/>
        </w:rPr>
        <w:t>.</w:t>
      </w:r>
      <w:r>
        <w:rPr>
          <w:snapToGrid w:val="0"/>
        </w:rPr>
        <w:tab/>
        <w:t xml:space="preserve">Exemption for certain agreements under </w:t>
      </w:r>
      <w:r>
        <w:rPr>
          <w:i/>
          <w:snapToGrid w:val="0"/>
        </w:rPr>
        <w:t>Land Act 1933</w:t>
      </w:r>
      <w:bookmarkEnd w:id="43"/>
      <w:bookmarkEnd w:id="44"/>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45" w:name="_Toc409431029"/>
      <w:bookmarkStart w:id="46" w:name="_Toc433092512"/>
      <w:r>
        <w:rPr>
          <w:rStyle w:val="CharSectno"/>
        </w:rPr>
        <w:t>5AA</w:t>
      </w:r>
      <w:r>
        <w:t>.</w:t>
      </w:r>
      <w:r>
        <w:tab/>
        <w:t>Modified application of section 22(2) of the Act</w:t>
      </w:r>
      <w:bookmarkEnd w:id="45"/>
      <w:bookmarkEnd w:id="46"/>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47" w:name="_Toc409431030"/>
      <w:bookmarkStart w:id="48" w:name="_Toc433092513"/>
      <w:r>
        <w:rPr>
          <w:rStyle w:val="CharSectno"/>
        </w:rPr>
        <w:t>5AB</w:t>
      </w:r>
      <w:r>
        <w:t>.</w:t>
      </w:r>
      <w:r>
        <w:tab/>
        <w:t>Exemptions from section 27A of the Act — residential agreements not required to be in prescribed form</w:t>
      </w:r>
      <w:bookmarkEnd w:id="47"/>
      <w:bookmarkEnd w:id="48"/>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49" w:name="_Toc409431031"/>
      <w:bookmarkStart w:id="50" w:name="_Toc433092514"/>
      <w:r>
        <w:rPr>
          <w:rStyle w:val="CharSectno"/>
        </w:rPr>
        <w:t>5AC</w:t>
      </w:r>
      <w:r>
        <w:t>.</w:t>
      </w:r>
      <w:r>
        <w:tab/>
        <w:t>Exemption from section 27B of the Act if residential tenancy agreement extended or renewed</w:t>
      </w:r>
      <w:bookmarkEnd w:id="49"/>
      <w:bookmarkEnd w:id="50"/>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51" w:name="_Toc409431032"/>
      <w:bookmarkStart w:id="52" w:name="_Toc433092515"/>
      <w:r>
        <w:rPr>
          <w:rStyle w:val="CharSectno"/>
        </w:rPr>
        <w:t>5AD</w:t>
      </w:r>
      <w:r>
        <w:t>.</w:t>
      </w:r>
      <w:r>
        <w:tab/>
        <w:t>Modified application of section 27C(4) of the Act for the Housing Authority</w:t>
      </w:r>
      <w:bookmarkEnd w:id="51"/>
      <w:bookmarkEnd w:id="52"/>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53" w:name="_Toc409431033"/>
      <w:bookmarkStart w:id="54" w:name="_Toc433092516"/>
      <w:r>
        <w:rPr>
          <w:rStyle w:val="CharSectno"/>
        </w:rPr>
        <w:t>5A</w:t>
      </w:r>
      <w:r>
        <w:rPr>
          <w:snapToGrid w:val="0"/>
        </w:rPr>
        <w:t>.</w:t>
      </w:r>
      <w:r>
        <w:rPr>
          <w:snapToGrid w:val="0"/>
        </w:rPr>
        <w:tab/>
        <w:t>Exemption of Housing Authority from sections 29(4)(b) and 33 of the Act</w:t>
      </w:r>
      <w:bookmarkEnd w:id="53"/>
      <w:bookmarkEnd w:id="54"/>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55" w:name="_Toc433092517"/>
      <w:bookmarkStart w:id="56" w:name="_Toc409431034"/>
      <w:r>
        <w:rPr>
          <w:rStyle w:val="CharSectno"/>
        </w:rPr>
        <w:t>5BA</w:t>
      </w:r>
      <w:r>
        <w:t>.</w:t>
      </w:r>
      <w:r>
        <w:tab/>
        <w:t>Exemptions from section 29(8) of the Act</w:t>
      </w:r>
      <w:bookmarkEnd w:id="55"/>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57" w:name="_Toc433092518"/>
      <w:r>
        <w:rPr>
          <w:rStyle w:val="CharSectno"/>
        </w:rPr>
        <w:t>5B</w:t>
      </w:r>
      <w:r>
        <w:rPr>
          <w:snapToGrid w:val="0"/>
        </w:rPr>
        <w:t>.</w:t>
      </w:r>
      <w:r>
        <w:rPr>
          <w:snapToGrid w:val="0"/>
        </w:rPr>
        <w:tab/>
        <w:t>Exemptions from section 30(1) of the Act</w:t>
      </w:r>
      <w:bookmarkEnd w:id="56"/>
      <w:bookmarkEnd w:id="57"/>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58" w:name="_Toc409431035"/>
      <w:bookmarkStart w:id="59" w:name="_Toc433092519"/>
      <w:r>
        <w:rPr>
          <w:rStyle w:val="CharSectno"/>
        </w:rPr>
        <w:t>5CA</w:t>
      </w:r>
      <w:r>
        <w:t>.</w:t>
      </w:r>
      <w:r>
        <w:tab/>
        <w:t>Modified application of section 30(2)(a) of the Act</w:t>
      </w:r>
      <w:bookmarkEnd w:id="58"/>
      <w:bookmarkEnd w:id="5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60" w:name="_Toc409431036"/>
      <w:bookmarkStart w:id="61" w:name="_Toc433092520"/>
      <w:r>
        <w:rPr>
          <w:rStyle w:val="CharSectno"/>
        </w:rPr>
        <w:t>5C</w:t>
      </w:r>
      <w:r>
        <w:t>.</w:t>
      </w:r>
      <w:r>
        <w:tab/>
        <w:t>Exemption from section 33 of the Act for employment</w:t>
      </w:r>
      <w:r>
        <w:noBreakHyphen/>
        <w:t>linked residential tenancy agreements</w:t>
      </w:r>
      <w:bookmarkEnd w:id="60"/>
      <w:bookmarkEnd w:id="61"/>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62" w:name="_Toc409431037"/>
      <w:bookmarkStart w:id="63" w:name="_Toc433092521"/>
      <w:r>
        <w:rPr>
          <w:rStyle w:val="CharSectno"/>
        </w:rPr>
        <w:t>5D</w:t>
      </w:r>
      <w:r>
        <w:t>.</w:t>
      </w:r>
      <w:r>
        <w:tab/>
        <w:t xml:space="preserve">Exemption for certain agreements under </w:t>
      </w:r>
      <w:r>
        <w:rPr>
          <w:i/>
        </w:rPr>
        <w:t>Land Administration Act 1997</w:t>
      </w:r>
      <w:bookmarkEnd w:id="62"/>
      <w:bookmarkEnd w:id="63"/>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64" w:name="_Toc409431038"/>
      <w:bookmarkStart w:id="65" w:name="_Toc433092522"/>
      <w:r>
        <w:rPr>
          <w:rStyle w:val="CharSectno"/>
        </w:rPr>
        <w:t>6</w:t>
      </w:r>
      <w:r>
        <w:t>.</w:t>
      </w:r>
      <w:r>
        <w:tab/>
        <w:t>Modified application of section 43(3) of the Act when Housing Authority is lessor of premises outside metropolitan region</w:t>
      </w:r>
      <w:bookmarkEnd w:id="64"/>
      <w:bookmarkEnd w:id="65"/>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66" w:name="_Toc409431039"/>
      <w:bookmarkStart w:id="67" w:name="_Toc433092523"/>
      <w:r>
        <w:rPr>
          <w:rStyle w:val="CharSectno"/>
        </w:rPr>
        <w:t>7A</w:t>
      </w:r>
      <w:r>
        <w:t>.</w:t>
      </w:r>
      <w:r>
        <w:tab/>
        <w:t>Modified application of section 45 of the Act</w:t>
      </w:r>
      <w:bookmarkEnd w:id="66"/>
      <w:bookmarkEnd w:id="67"/>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68" w:name="_Toc409431040"/>
      <w:bookmarkStart w:id="69" w:name="_Toc433092524"/>
      <w:r>
        <w:rPr>
          <w:rStyle w:val="CharSectno"/>
        </w:rPr>
        <w:t>7B</w:t>
      </w:r>
      <w:r>
        <w:t>.</w:t>
      </w:r>
      <w:r>
        <w:tab/>
        <w:t>Modified application of section 47(1)(b) of the Act for the Housing Authority</w:t>
      </w:r>
      <w:bookmarkEnd w:id="68"/>
      <w:bookmarkEnd w:id="69"/>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70" w:name="_Toc409431041"/>
      <w:bookmarkStart w:id="71" w:name="_Toc433092525"/>
      <w:r>
        <w:rPr>
          <w:rStyle w:val="CharSectno"/>
        </w:rPr>
        <w:t>7C</w:t>
      </w:r>
      <w:r>
        <w:t>.</w:t>
      </w:r>
      <w:r>
        <w:tab/>
        <w:t>Modified application of section 60(b) of the Act</w:t>
      </w:r>
      <w:bookmarkEnd w:id="70"/>
      <w:bookmarkEnd w:id="71"/>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72" w:name="_Toc433092526"/>
      <w:bookmarkStart w:id="73" w:name="_Toc409431042"/>
      <w:r>
        <w:rPr>
          <w:rStyle w:val="CharSectno"/>
        </w:rPr>
        <w:t>7D</w:t>
      </w:r>
      <w:r>
        <w:t>.</w:t>
      </w:r>
      <w:r>
        <w:tab/>
        <w:t>Modified application of section 70A of the Act for Foyer Oxford</w:t>
      </w:r>
      <w:bookmarkEnd w:id="72"/>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74" w:name="_Toc409431043"/>
      <w:bookmarkStart w:id="75" w:name="_Toc433092527"/>
      <w:bookmarkEnd w:id="73"/>
      <w:r>
        <w:rPr>
          <w:rStyle w:val="CharSectno"/>
        </w:rPr>
        <w:t>7E</w:t>
      </w:r>
      <w:r>
        <w:t>.</w:t>
      </w:r>
      <w:r>
        <w:tab/>
        <w:t>Modified application of section 72 of the Act</w:t>
      </w:r>
      <w:bookmarkEnd w:id="74"/>
      <w:bookmarkEnd w:id="75"/>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76" w:name="_Toc409431044"/>
      <w:bookmarkStart w:id="77" w:name="_Toc433092528"/>
      <w:r>
        <w:rPr>
          <w:rStyle w:val="CharSectno"/>
        </w:rPr>
        <w:t>7F</w:t>
      </w:r>
      <w:r>
        <w:t>.</w:t>
      </w:r>
      <w:r>
        <w:tab/>
        <w:t>Exemption from section 82 of the Act</w:t>
      </w:r>
      <w:bookmarkEnd w:id="76"/>
      <w:bookmarkEnd w:id="77"/>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78" w:name="_Toc409431045"/>
      <w:bookmarkStart w:id="79" w:name="_Toc433092529"/>
      <w:r>
        <w:rPr>
          <w:rStyle w:val="CharSectno"/>
        </w:rPr>
        <w:t>7G</w:t>
      </w:r>
      <w:r>
        <w:t>.</w:t>
      </w:r>
      <w:r>
        <w:tab/>
        <w:t>Modified application of section 93 of the Act for the Housing Authority</w:t>
      </w:r>
      <w:bookmarkEnd w:id="78"/>
      <w:bookmarkEnd w:id="79"/>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80" w:name="_Toc409431046"/>
      <w:bookmarkStart w:id="81" w:name="_Toc414976450"/>
      <w:bookmarkStart w:id="82" w:name="_Toc414976500"/>
      <w:bookmarkStart w:id="83" w:name="_Toc414978227"/>
      <w:bookmarkStart w:id="84" w:name="_Toc427923902"/>
      <w:bookmarkStart w:id="85" w:name="_Toc427930306"/>
      <w:bookmarkStart w:id="86" w:name="_Toc427933568"/>
      <w:bookmarkStart w:id="87" w:name="_Toc429390747"/>
      <w:bookmarkStart w:id="88" w:name="_Toc429390799"/>
      <w:bookmarkStart w:id="89" w:name="_Toc429390851"/>
      <w:bookmarkStart w:id="90" w:name="_Toc429390903"/>
      <w:bookmarkStart w:id="91" w:name="_Toc430099285"/>
      <w:bookmarkStart w:id="92" w:name="_Toc430180258"/>
      <w:bookmarkStart w:id="93" w:name="_Toc430180720"/>
      <w:bookmarkStart w:id="94" w:name="_Toc433092530"/>
      <w:r>
        <w:rPr>
          <w:rStyle w:val="CharPartNo"/>
        </w:rPr>
        <w:t>Part 3</w:t>
      </w:r>
      <w:r>
        <w:rPr>
          <w:rStyle w:val="CharDivNo"/>
        </w:rPr>
        <w:t> </w:t>
      </w:r>
      <w:r>
        <w:t>—</w:t>
      </w:r>
      <w:r>
        <w:rPr>
          <w:rStyle w:val="CharDivText"/>
        </w:rPr>
        <w:t> </w:t>
      </w:r>
      <w:r>
        <w:rPr>
          <w:rStyle w:val="CharPartText"/>
        </w:rPr>
        <w:t>Other matters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in Gazette 3 May 2013 p. 1749.]</w:t>
      </w:r>
    </w:p>
    <w:p>
      <w:pPr>
        <w:pStyle w:val="Heading5"/>
        <w:rPr>
          <w:snapToGrid w:val="0"/>
        </w:rPr>
      </w:pPr>
      <w:bookmarkStart w:id="95" w:name="_Toc409431047"/>
      <w:bookmarkStart w:id="96" w:name="_Toc433092531"/>
      <w:r>
        <w:rPr>
          <w:rStyle w:val="CharSectno"/>
        </w:rPr>
        <w:t>7</w:t>
      </w:r>
      <w:r>
        <w:rPr>
          <w:snapToGrid w:val="0"/>
        </w:rPr>
        <w:t>.</w:t>
      </w:r>
      <w:r>
        <w:rPr>
          <w:snapToGrid w:val="0"/>
        </w:rPr>
        <w:tab/>
        <w:t>Applications prescribed for the purposes of section 13A(2)(a) of the Act</w:t>
      </w:r>
      <w:bookmarkEnd w:id="95"/>
      <w:bookmarkEnd w:id="96"/>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97" w:name="_Toc409431048"/>
      <w:bookmarkStart w:id="98" w:name="_Toc433092532"/>
      <w:r>
        <w:rPr>
          <w:rStyle w:val="CharSectno"/>
        </w:rPr>
        <w:t>9</w:t>
      </w:r>
      <w:r>
        <w:rPr>
          <w:snapToGrid w:val="0"/>
        </w:rPr>
        <w:t>.</w:t>
      </w:r>
      <w:r>
        <w:rPr>
          <w:snapToGrid w:val="0"/>
        </w:rPr>
        <w:tab/>
        <w:t>Determination of nearest Magistrates Court</w:t>
      </w:r>
      <w:bookmarkEnd w:id="97"/>
      <w:bookmarkEnd w:id="98"/>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99" w:name="_Toc409431049"/>
      <w:bookmarkStart w:id="100" w:name="_Toc433092533"/>
      <w:r>
        <w:rPr>
          <w:rStyle w:val="CharSectno"/>
        </w:rPr>
        <w:t>10</w:t>
      </w:r>
      <w:r>
        <w:rPr>
          <w:snapToGrid w:val="0"/>
        </w:rPr>
        <w:t>.</w:t>
      </w:r>
      <w:r>
        <w:rPr>
          <w:snapToGrid w:val="0"/>
        </w:rPr>
        <w:tab/>
        <w:t>Scale of costs for section 24 of the Act</w:t>
      </w:r>
      <w:bookmarkEnd w:id="99"/>
      <w:bookmarkEnd w:id="100"/>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01" w:name="_Toc409431050"/>
      <w:bookmarkStart w:id="102" w:name="_Toc433092534"/>
      <w:r>
        <w:rPr>
          <w:rStyle w:val="CharSectno"/>
        </w:rPr>
        <w:t>10AA</w:t>
      </w:r>
      <w:r>
        <w:t>.</w:t>
      </w:r>
      <w:r>
        <w:tab/>
        <w:t>Form of written residential tenancy agreement for section 27A of the Act</w:t>
      </w:r>
      <w:bookmarkEnd w:id="101"/>
      <w:bookmarkEnd w:id="10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03" w:name="_Toc409431051"/>
      <w:bookmarkStart w:id="104" w:name="_Toc433092535"/>
      <w:r>
        <w:rPr>
          <w:rStyle w:val="CharSectno"/>
        </w:rPr>
        <w:t>10AB</w:t>
      </w:r>
      <w:r>
        <w:t>.</w:t>
      </w:r>
      <w:r>
        <w:tab/>
        <w:t>Information to be given to tenant for section 27B of the Act</w:t>
      </w:r>
      <w:bookmarkEnd w:id="103"/>
      <w:bookmarkEnd w:id="104"/>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05" w:name="_Toc409431052"/>
      <w:bookmarkStart w:id="106" w:name="_Toc433092536"/>
      <w:r>
        <w:rPr>
          <w:rStyle w:val="CharSectno"/>
        </w:rPr>
        <w:t>10AC</w:t>
      </w:r>
      <w:r>
        <w:t>.</w:t>
      </w:r>
      <w:r>
        <w:tab/>
        <w:t>Information to be included in property condition report for section 27C(6) of the Act</w:t>
      </w:r>
      <w:bookmarkEnd w:id="105"/>
      <w:bookmarkEnd w:id="106"/>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07" w:name="_Toc409431053"/>
      <w:bookmarkStart w:id="108" w:name="_Toc433092537"/>
      <w:r>
        <w:rPr>
          <w:rStyle w:val="CharSectno"/>
        </w:rPr>
        <w:t>10AD</w:t>
      </w:r>
      <w:r>
        <w:t>.</w:t>
      </w:r>
      <w:r>
        <w:tab/>
        <w:t>Amount prescribed for section 27(2)(a) of the Act</w:t>
      </w:r>
      <w:bookmarkEnd w:id="107"/>
      <w:bookmarkEnd w:id="10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09" w:name="_Toc409431054"/>
      <w:bookmarkStart w:id="110" w:name="_Toc433092538"/>
      <w:r>
        <w:rPr>
          <w:rStyle w:val="CharSectno"/>
        </w:rPr>
        <w:t>10A</w:t>
      </w:r>
      <w:r>
        <w:rPr>
          <w:snapToGrid w:val="0"/>
        </w:rPr>
        <w:t>.</w:t>
      </w:r>
      <w:r>
        <w:rPr>
          <w:snapToGrid w:val="0"/>
        </w:rPr>
        <w:tab/>
        <w:t>Amount prescribed for section 29(1)(b)(ii) of the Act</w:t>
      </w:r>
      <w:bookmarkEnd w:id="109"/>
      <w:bookmarkEnd w:id="110"/>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11" w:name="_Toc409431055"/>
      <w:bookmarkStart w:id="112" w:name="_Toc433092539"/>
      <w:r>
        <w:rPr>
          <w:rStyle w:val="CharSectno"/>
        </w:rPr>
        <w:t>11</w:t>
      </w:r>
      <w:r>
        <w:rPr>
          <w:snapToGrid w:val="0"/>
        </w:rPr>
        <w:t>.</w:t>
      </w:r>
      <w:r>
        <w:rPr>
          <w:snapToGrid w:val="0"/>
        </w:rPr>
        <w:tab/>
        <w:t>Amount prescribed for section 29(2) of the Act</w:t>
      </w:r>
      <w:bookmarkEnd w:id="111"/>
      <w:bookmarkEnd w:id="112"/>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13" w:name="_Toc409431056"/>
      <w:bookmarkStart w:id="114" w:name="_Toc433092540"/>
      <w:r>
        <w:rPr>
          <w:rStyle w:val="CharSectno"/>
        </w:rPr>
        <w:t>12A</w:t>
      </w:r>
      <w:r>
        <w:t>.</w:t>
      </w:r>
      <w:r>
        <w:tab/>
        <w:t>Essential services prescribed for section 43(1) of the Act</w:t>
      </w:r>
      <w:bookmarkEnd w:id="113"/>
      <w:bookmarkEnd w:id="11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15" w:name="_Toc409431057"/>
      <w:bookmarkStart w:id="116" w:name="_Toc433092541"/>
      <w:r>
        <w:rPr>
          <w:rStyle w:val="CharSectno"/>
        </w:rPr>
        <w:t>12B</w:t>
      </w:r>
      <w:r>
        <w:t>.</w:t>
      </w:r>
      <w:r>
        <w:tab/>
        <w:t>Means to secure residential premises prescribed for section 45(a) of the Act</w:t>
      </w:r>
      <w:bookmarkEnd w:id="115"/>
      <w:bookmarkEnd w:id="116"/>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17" w:name="_Toc409431058"/>
      <w:bookmarkStart w:id="118" w:name="_Toc433092542"/>
      <w:r>
        <w:rPr>
          <w:rStyle w:val="CharSectno"/>
        </w:rPr>
        <w:t>12C</w:t>
      </w:r>
      <w:r>
        <w:t>.</w:t>
      </w:r>
      <w:r>
        <w:tab/>
        <w:t>Social housing tenancy agreement for the purposes of section 71A of the Act</w:t>
      </w:r>
      <w:bookmarkEnd w:id="117"/>
      <w:bookmarkEnd w:id="118"/>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19" w:name="_Toc409431059"/>
      <w:bookmarkStart w:id="120" w:name="_Toc433092543"/>
      <w:r>
        <w:rPr>
          <w:rStyle w:val="CharSectno"/>
        </w:rPr>
        <w:t>12</w:t>
      </w:r>
      <w:r>
        <w:rPr>
          <w:snapToGrid w:val="0"/>
        </w:rPr>
        <w:t>.</w:t>
      </w:r>
      <w:r>
        <w:rPr>
          <w:snapToGrid w:val="0"/>
        </w:rPr>
        <w:tab/>
        <w:t>Information prescribed for section 79(10) of the Act</w:t>
      </w:r>
      <w:bookmarkEnd w:id="119"/>
      <w:bookmarkEnd w:id="120"/>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21" w:name="_Toc409431060"/>
      <w:bookmarkStart w:id="122" w:name="_Toc433092544"/>
      <w:r>
        <w:rPr>
          <w:rStyle w:val="CharSectno"/>
        </w:rPr>
        <w:t>13</w:t>
      </w:r>
      <w:r>
        <w:t>.</w:t>
      </w:r>
      <w:r>
        <w:tab/>
        <w:t>Infringement notices</w:t>
      </w:r>
      <w:bookmarkEnd w:id="121"/>
      <w:bookmarkEnd w:id="122"/>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23" w:name="_Toc409431061"/>
      <w:bookmarkStart w:id="124" w:name="_Toc433092545"/>
      <w:r>
        <w:rPr>
          <w:rStyle w:val="CharSectno"/>
        </w:rPr>
        <w:t>14</w:t>
      </w:r>
      <w:r>
        <w:t>.</w:t>
      </w:r>
      <w:r>
        <w:tab/>
        <w:t>Matters prescribed for section 94 of the Act</w:t>
      </w:r>
      <w:bookmarkEnd w:id="123"/>
      <w:bookmarkEnd w:id="124"/>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25" w:name="_Toc409431062"/>
      <w:bookmarkStart w:id="126" w:name="_Toc433092546"/>
      <w:r>
        <w:rPr>
          <w:rStyle w:val="CharSectno"/>
        </w:rPr>
        <w:t>15</w:t>
      </w:r>
      <w:r>
        <w:rPr>
          <w:snapToGrid w:val="0"/>
        </w:rPr>
        <w:t>.</w:t>
      </w:r>
      <w:r>
        <w:rPr>
          <w:snapToGrid w:val="0"/>
        </w:rPr>
        <w:tab/>
        <w:t>Disposal of unclaimed security bonds</w:t>
      </w:r>
      <w:bookmarkEnd w:id="125"/>
      <w:bookmarkEnd w:id="126"/>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27" w:name="_Toc409431063"/>
      <w:bookmarkStart w:id="128" w:name="_Toc433092547"/>
      <w:r>
        <w:rPr>
          <w:rStyle w:val="CharSectno"/>
        </w:rPr>
        <w:t>17</w:t>
      </w:r>
      <w:r>
        <w:rPr>
          <w:snapToGrid w:val="0"/>
        </w:rPr>
        <w:t>.</w:t>
      </w:r>
      <w:r>
        <w:rPr>
          <w:snapToGrid w:val="0"/>
        </w:rPr>
        <w:tab/>
        <w:t>Fees prescribed</w:t>
      </w:r>
      <w:bookmarkEnd w:id="127"/>
      <w:bookmarkEnd w:id="12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29" w:name="_Toc409431064"/>
      <w:bookmarkStart w:id="130" w:name="_Toc433092548"/>
      <w:r>
        <w:rPr>
          <w:rStyle w:val="CharSectno"/>
        </w:rPr>
        <w:t>18</w:t>
      </w:r>
      <w:r>
        <w:t>.</w:t>
      </w:r>
      <w:r>
        <w:tab/>
        <w:t>Forms</w:t>
      </w:r>
      <w:bookmarkEnd w:id="129"/>
      <w:bookmarkEnd w:id="130"/>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31" w:name="_Toc409431065"/>
      <w:bookmarkStart w:id="132" w:name="_Toc414976469"/>
      <w:bookmarkStart w:id="133" w:name="_Toc414976519"/>
      <w:bookmarkStart w:id="134" w:name="_Toc414978246"/>
      <w:bookmarkStart w:id="135" w:name="_Toc427923921"/>
      <w:bookmarkStart w:id="136" w:name="_Toc427930325"/>
      <w:bookmarkStart w:id="137" w:name="_Toc427933587"/>
      <w:bookmarkStart w:id="138" w:name="_Toc429390766"/>
      <w:bookmarkStart w:id="139" w:name="_Toc429390818"/>
      <w:bookmarkStart w:id="140" w:name="_Toc429390870"/>
      <w:bookmarkStart w:id="141" w:name="_Toc429390922"/>
      <w:bookmarkStart w:id="142" w:name="_Toc430099304"/>
      <w:bookmarkStart w:id="143" w:name="_Toc430180277"/>
      <w:bookmarkStart w:id="144" w:name="_Toc430180739"/>
      <w:bookmarkStart w:id="145" w:name="_Toc433092549"/>
      <w:r>
        <w:rPr>
          <w:rStyle w:val="CharSchNo"/>
        </w:rPr>
        <w:t>Schedule 3</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47" w:name="_Toc409431066"/>
      <w:bookmarkStart w:id="148" w:name="_Toc414976470"/>
      <w:bookmarkStart w:id="149" w:name="_Toc414976520"/>
      <w:bookmarkStart w:id="150" w:name="_Toc414978247"/>
      <w:bookmarkStart w:id="151" w:name="_Toc427923922"/>
      <w:bookmarkStart w:id="152" w:name="_Toc427930326"/>
      <w:bookmarkStart w:id="153" w:name="_Toc427933588"/>
      <w:bookmarkStart w:id="154" w:name="_Toc429390767"/>
      <w:bookmarkStart w:id="155" w:name="_Toc429390819"/>
      <w:bookmarkStart w:id="156" w:name="_Toc429390871"/>
      <w:bookmarkStart w:id="157" w:name="_Toc429390923"/>
      <w:bookmarkStart w:id="158" w:name="_Toc430099305"/>
      <w:bookmarkStart w:id="159" w:name="_Toc430180278"/>
      <w:bookmarkStart w:id="160" w:name="_Toc430180740"/>
      <w:bookmarkStart w:id="161" w:name="_Toc433092550"/>
      <w:r>
        <w:rPr>
          <w:rStyle w:val="CharSchNo"/>
        </w:rPr>
        <w:t>Schedule 4</w:t>
      </w:r>
      <w:r>
        <w:rPr>
          <w:rStyle w:val="CharSDivNo"/>
        </w:rPr>
        <w:t> </w:t>
      </w:r>
      <w:r>
        <w:t>—</w:t>
      </w:r>
      <w:r>
        <w:rPr>
          <w:rStyle w:val="CharSDivText"/>
        </w:rPr>
        <w:t> </w:t>
      </w:r>
      <w:r>
        <w:rPr>
          <w:rStyle w:val="CharSchText"/>
        </w:rPr>
        <w:t>Forms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162" w:name="_Toc409431067"/>
      <w:bookmarkStart w:id="163" w:name="_Toc414976471"/>
      <w:bookmarkStart w:id="164" w:name="_Toc414976521"/>
      <w:bookmarkStart w:id="165" w:name="_Toc414978248"/>
      <w:bookmarkStart w:id="166" w:name="_Toc427923923"/>
      <w:bookmarkStart w:id="167" w:name="_Toc427930327"/>
      <w:bookmarkStart w:id="168" w:name="_Toc427933589"/>
      <w:bookmarkStart w:id="169" w:name="_Toc429390768"/>
      <w:bookmarkStart w:id="170" w:name="_Toc429390820"/>
      <w:bookmarkStart w:id="171" w:name="_Toc429390872"/>
      <w:bookmarkStart w:id="172" w:name="_Toc429390924"/>
      <w:bookmarkStart w:id="173" w:name="_Toc430099306"/>
      <w:bookmarkStart w:id="174" w:name="_Toc430180279"/>
      <w:bookmarkStart w:id="175" w:name="_Toc430180741"/>
      <w:bookmarkStart w:id="176" w:name="_Toc433092551"/>
      <w:r>
        <w:rPr>
          <w:rStyle w:val="CharSchNo"/>
        </w:rPr>
        <w:t>Schedule 5</w:t>
      </w:r>
      <w:r>
        <w:rPr>
          <w:rStyle w:val="CharSDivNo"/>
        </w:rPr>
        <w:t> </w:t>
      </w:r>
      <w:r>
        <w:t>—</w:t>
      </w:r>
      <w:r>
        <w:rPr>
          <w:rStyle w:val="CharSDivText"/>
        </w:rPr>
        <w:t> </w:t>
      </w:r>
      <w:r>
        <w:rPr>
          <w:rStyle w:val="CharSchText"/>
        </w:rPr>
        <w:t>Prescribed offences and modified penalties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77" w:name="_Toc409431068"/>
      <w:bookmarkStart w:id="178" w:name="_Toc414976472"/>
      <w:bookmarkStart w:id="179" w:name="_Toc414976522"/>
      <w:bookmarkStart w:id="180" w:name="_Toc414978249"/>
      <w:bookmarkStart w:id="181" w:name="_Toc427923924"/>
      <w:bookmarkStart w:id="182" w:name="_Toc427930328"/>
      <w:bookmarkStart w:id="183" w:name="_Toc427933590"/>
      <w:bookmarkStart w:id="184" w:name="_Toc429390769"/>
      <w:bookmarkStart w:id="185" w:name="_Toc429390821"/>
      <w:bookmarkStart w:id="186" w:name="_Toc429390873"/>
      <w:bookmarkStart w:id="187" w:name="_Toc429390925"/>
      <w:bookmarkStart w:id="188" w:name="_Toc430099307"/>
      <w:bookmarkStart w:id="189" w:name="_Toc430180280"/>
      <w:bookmarkStart w:id="190" w:name="_Toc430180742"/>
      <w:bookmarkStart w:id="191" w:name="_Toc433092552"/>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2" w:name="_Toc409431069"/>
      <w:bookmarkStart w:id="193" w:name="_Toc433092553"/>
      <w:r>
        <w:rPr>
          <w:snapToGrid w:val="0"/>
        </w:rPr>
        <w:t>Compilation table</w:t>
      </w:r>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tcBorders>
              <w:bottom w:val="single" w:sz="4" w:space="0" w:color="auto"/>
            </w:tcBorders>
            <w:shd w:val="clear" w:color="auto" w:fill="auto"/>
          </w:tcPr>
          <w:p>
            <w:pPr>
              <w:pStyle w:val="nTable"/>
              <w:spacing w:before="30" w:after="30"/>
            </w:pPr>
            <w:r>
              <w:rPr>
                <w:i/>
              </w:rPr>
              <w:t>Residential Tenancies Amendment Regulations 2015</w:t>
            </w:r>
            <w:r>
              <w:t xml:space="preserve"> </w:t>
            </w:r>
          </w:p>
        </w:tc>
        <w:tc>
          <w:tcPr>
            <w:tcW w:w="1276" w:type="dxa"/>
            <w:tcBorders>
              <w:bottom w:val="single" w:sz="4" w:space="0" w:color="auto"/>
            </w:tcBorders>
            <w:shd w:val="clear" w:color="auto" w:fill="auto"/>
          </w:tcPr>
          <w:p>
            <w:pPr>
              <w:pStyle w:val="nTable"/>
              <w:spacing w:before="30" w:after="30"/>
            </w:pPr>
            <w:r>
              <w:t>21 Aug 2015 p. 3311</w:t>
            </w:r>
            <w:r>
              <w:noBreakHyphen/>
              <w:t>16</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 w:name="_Toc409431070"/>
      <w:bookmarkStart w:id="195" w:name="_Toc433092554"/>
      <w:r>
        <w:t>Provisions that have not come into operation</w:t>
      </w:r>
      <w:bookmarkEnd w:id="194"/>
      <w:bookmarkEnd w:id="19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bottom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bottom w:val="single" w:sz="4" w:space="0" w:color="auto"/>
            </w:tcBorders>
          </w:tcPr>
          <w:p>
            <w:pPr>
              <w:pStyle w:val="nTable"/>
              <w:spacing w:after="40"/>
            </w:pPr>
            <w:r>
              <w:t>21 Mar 2014 p. 730</w:t>
            </w:r>
            <w:r>
              <w:noBreakHyphen/>
              <w:t>1</w:t>
            </w:r>
          </w:p>
        </w:tc>
        <w:tc>
          <w:tcPr>
            <w:tcW w:w="2693" w:type="dxa"/>
            <w:tcBorders>
              <w:top w:val="single" w:sz="4" w:space="0" w:color="auto"/>
              <w:bottom w:val="single" w:sz="4" w:space="0" w:color="auto"/>
            </w:tcBorders>
          </w:tcPr>
          <w:p>
            <w:pPr>
              <w:pStyle w:val="nTable"/>
              <w:spacing w:after="40"/>
              <w:rPr>
                <w:rFonts w:ascii="Arial" w:hAnsi="Arial"/>
                <w:b/>
              </w:rPr>
            </w:pPr>
            <w:r>
              <w:t>1 Feb 2016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197" w:name="_Toc429390772"/>
      <w:bookmarkStart w:id="198" w:name="_Toc429390824"/>
      <w:bookmarkStart w:id="199" w:name="_Toc429390876"/>
      <w:bookmarkStart w:id="200" w:name="_Toc429390928"/>
      <w:bookmarkStart w:id="201" w:name="_Toc430099310"/>
      <w:bookmarkStart w:id="202" w:name="_Toc430180283"/>
      <w:bookmarkStart w:id="203" w:name="_Toc430180745"/>
      <w:bookmarkStart w:id="204" w:name="_Toc433092555"/>
      <w:r>
        <w:rPr>
          <w:sz w:val="28"/>
        </w:rPr>
        <w:t>Defined terms</w:t>
      </w:r>
      <w:bookmarkEnd w:id="197"/>
      <w:bookmarkEnd w:id="198"/>
      <w:bookmarkEnd w:id="199"/>
      <w:bookmarkEnd w:id="200"/>
      <w:bookmarkEnd w:id="201"/>
      <w:bookmarkEnd w:id="202"/>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Unclaimed Security Bond Account</w:t>
      </w:r>
      <w:r>
        <w:tab/>
        <w:t>15(7)</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0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B72A-35C4-4C70-AA40-032C0148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28349</Words>
  <Characters>144013</Characters>
  <Application>Microsoft Office Word</Application>
  <DocSecurity>0</DocSecurity>
  <Lines>4364</Lines>
  <Paragraphs>2361</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1989 - 04-j0-01</dc:title>
  <dc:subject/>
  <dc:creator/>
  <cp:keywords/>
  <dc:description/>
  <cp:lastModifiedBy>svcMRProcess</cp:lastModifiedBy>
  <cp:revision>4</cp:revision>
  <cp:lastPrinted>2013-07-23T23:36:00Z</cp:lastPrinted>
  <dcterms:created xsi:type="dcterms:W3CDTF">2015-11-27T08:43:00Z</dcterms:created>
  <dcterms:modified xsi:type="dcterms:W3CDTF">2015-11-27T08:43:00Z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AsAtDate">
    <vt:lpwstr>20 Oct 2015</vt:lpwstr>
  </property>
  <property fmtid="{D5CDD505-2E9C-101B-9397-08002B2CF9AE}" pid="8" name="Suffix">
    <vt:lpwstr>04-j0-01</vt:lpwstr>
  </property>
  <property fmtid="{D5CDD505-2E9C-101B-9397-08002B2CF9AE}" pid="9" name="CommencementDate">
    <vt:lpwstr>20151020</vt:lpwstr>
  </property>
</Properties>
</file>