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Corporations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Corporations (Electricity Generation and Retail Corporation Area of Operation)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(Electricity Generation and Retail Corporation Area of Operation)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_Toc433017794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_Toc433017795 \h </w:instrText>
      </w:r>
      <w:r>
        <w:fldChar w:fldCharType="separate"/>
      </w:r>
      <w:r>
        <w:t>1</w:t>
      </w:r>
      <w:r>
        <w:fldChar w:fldCharType="end"/>
      </w:r>
    </w:p>
    <w:p>
      <w:pPr>
        <w:pStyle w:val="TOC8"/>
        <w:rPr>
          <w:rFonts w:asciiTheme="minorHAnsi" w:eastAsiaTheme="minorEastAsia" w:hAnsiTheme="minorHAnsi" w:cstheme="minorBidi"/>
          <w:szCs w:val="22"/>
        </w:rPr>
      </w:pPr>
      <w:r>
        <w:t>3.</w:t>
      </w:r>
      <w:r>
        <w:tab/>
        <w:t>Supply of gas to parts of the State not served by South West interconnected system</w:t>
      </w:r>
      <w:r>
        <w:tab/>
      </w:r>
      <w:r>
        <w:fldChar w:fldCharType="begin"/>
      </w:r>
      <w:r>
        <w:instrText xml:space="preserve"> PAGEREF _Toc433017796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_Toc433017798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jc w:val="center"/>
      </w:pPr>
    </w:p>
    <w:p>
      <w:pPr>
        <w:pStyle w:val="PrincipalActReg"/>
      </w:pPr>
      <w:r>
        <w:t>Electricity Corporations Act 2005</w:t>
      </w:r>
    </w:p>
    <w:p>
      <w:pPr>
        <w:pStyle w:val="NameofActReg"/>
      </w:pPr>
      <w:r>
        <w:t>Electricity Corporations (Electricity Generation and Retail Corporation Area of Operation) Regulations 2015</w:t>
      </w:r>
    </w:p>
    <w:p>
      <w:pPr>
        <w:pStyle w:val="Heading5"/>
      </w:pPr>
      <w:bookmarkStart w:id="3" w:name="_Toc43301779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Electricity Corporations (Electricity Generation and Retail Corporation Area of Operation) Regulations 2015</w:t>
      </w:r>
      <w:r>
        <w:t>.</w:t>
      </w:r>
    </w:p>
    <w:p>
      <w:pPr>
        <w:pStyle w:val="Heading5"/>
        <w:rPr>
          <w:spacing w:val="-2"/>
        </w:rPr>
      </w:pPr>
      <w:bookmarkStart w:id="5" w:name="_Toc43301779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33017796"/>
      <w:r>
        <w:t>3.</w:t>
      </w:r>
      <w:r>
        <w:tab/>
        <w:t>Supply of gas to parts of the State not served by South West interconnected system</w:t>
      </w:r>
      <w:bookmarkEnd w:id="6"/>
    </w:p>
    <w:p>
      <w:pPr>
        <w:pStyle w:val="Subsection"/>
      </w:pPr>
      <w:r>
        <w:tab/>
      </w:r>
      <w:r>
        <w:tab/>
        <w:t>The Electricity Generation and Retail Corporation is authorised under section 37(5) of the Act to perform its function of supplying gas under section 35(b)(i) of the Act in all parts of the State not served by the South West interconnected system.</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7" w:name="_Toc433016843"/>
      <w:bookmarkStart w:id="8" w:name="_Toc433016937"/>
      <w:bookmarkStart w:id="9" w:name="_Toc433017035"/>
      <w:bookmarkStart w:id="10" w:name="_Toc433017044"/>
      <w:bookmarkStart w:id="11" w:name="_Toc433017273"/>
      <w:bookmarkStart w:id="12" w:name="_Toc433017797"/>
      <w:r>
        <w:t>Notes</w:t>
      </w:r>
      <w:bookmarkEnd w:id="7"/>
      <w:bookmarkEnd w:id="8"/>
      <w:bookmarkEnd w:id="9"/>
      <w:bookmarkEnd w:id="10"/>
      <w:bookmarkEnd w:id="11"/>
      <w:bookmarkEnd w:id="12"/>
    </w:p>
    <w:p>
      <w:pPr>
        <w:pStyle w:val="nSubsection"/>
      </w:pPr>
      <w:r>
        <w:rPr>
          <w:vertAlign w:val="superscript"/>
        </w:rPr>
        <w:t>1</w:t>
      </w:r>
      <w:r>
        <w:tab/>
        <w:t xml:space="preserve">This is a compilation of the </w:t>
      </w:r>
      <w:r>
        <w:rPr>
          <w:i/>
          <w:noProof/>
        </w:rPr>
        <w:t>Electricity Corporations (Electricity Generation and Retail Corporation Area of Operation) Regulations 2015</w:t>
      </w:r>
      <w:r>
        <w:t>.  The following table contains information about those regulations.</w:t>
      </w:r>
    </w:p>
    <w:p>
      <w:pPr>
        <w:pStyle w:val="nHeading3"/>
      </w:pPr>
      <w:bookmarkStart w:id="13" w:name="_Toc433017798"/>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Electricity Corporations (Electricity Generation and Retail Corporation Area of Operation) Regulations 2015</w:t>
            </w:r>
          </w:p>
        </w:tc>
        <w:tc>
          <w:tcPr>
            <w:tcW w:w="1276" w:type="dxa"/>
          </w:tcPr>
          <w:p>
            <w:pPr>
              <w:pStyle w:val="nTable"/>
              <w:spacing w:after="40"/>
            </w:pPr>
            <w:r>
              <w:t>20 Oct 2015 p. 4293</w:t>
            </w:r>
          </w:p>
        </w:tc>
        <w:tc>
          <w:tcPr>
            <w:tcW w:w="2693" w:type="dxa"/>
          </w:tcPr>
          <w:p>
            <w:pPr>
              <w:pStyle w:val="nTable"/>
              <w:tabs>
                <w:tab w:val="left" w:pos="1745"/>
              </w:tabs>
              <w:spacing w:after="40"/>
            </w:pPr>
            <w:r>
              <w:rPr>
                <w:rFonts w:ascii="Times" w:hAnsi="Times"/>
                <w:bCs/>
                <w:snapToGrid w:val="0"/>
                <w:spacing w:val="-2"/>
              </w:rPr>
              <w:t>r. 1 and 2: 20 Oct 2015 (see r. 2(a));</w:t>
            </w:r>
            <w:r>
              <w:rPr>
                <w:rFonts w:ascii="Times" w:hAnsi="Times"/>
                <w:bCs/>
                <w:snapToGrid w:val="0"/>
                <w:spacing w:val="-2"/>
              </w:rPr>
              <w:br/>
              <w:t>Regulations other than r. 1 and 2: 21 Oct 2015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Area of Operation)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Area of Operation)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Area of Operation)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Area of Operation)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Area of Operation)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Area of Operation)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627"/>
    <w:docVar w:name="WAFER_20150206084300" w:val="ResetPageSize"/>
    <w:docVar w:name="WAFER_20150206084300_GUID" w:val="de2fbc3d-acf0-43f4-a0fa-d2631ba8b5df"/>
    <w:docVar w:name="WAFER_20150501155334" w:val="RemoveTocBookmarks,RemoveUnusedBookmarks,RemoveLanguageTags,UsedStyles,ResetPageSize"/>
    <w:docVar w:name="WAFER_20150501155334_GUID" w:val="7f456cbf-6550-4661-851b-01a9c17bd391"/>
    <w:docVar w:name="WAFER_20150505160548" w:val="RemoveTocBookmarks,RemoveUnusedBookmarks,RemoveLanguageTags,UsedStyles,ResetPageSize"/>
    <w:docVar w:name="WAFER_20150505160548_GUID" w:val="3ad0d847-f023-4b35-acf9-66621f029b68"/>
    <w:docVar w:name="WAFER_20150505161157" w:val="RemoveTocBookmarks,RemoveUnusedBookmarks,RemoveLanguageTags,UsedStyles,ResetPageSize"/>
    <w:docVar w:name="WAFER_20150505161157_GUID" w:val="6e9206f1-ba06-4d36-bea0-1f675c1d1ce6"/>
    <w:docVar w:name="WAFER_20150506155306" w:val="RemoveTocBookmarks,RemoveUnusedBookmarks,RemoveLanguageTags,UsedStyles,ResetPageSize"/>
    <w:docVar w:name="WAFER_20150506155306_GUID" w:val="c97e148c-8877-4432-b9d8-43e2a487edfc"/>
    <w:docVar w:name="WAFER_20151105115627" w:val="UpdateStyles,UsedStyles"/>
    <w:docVar w:name="WAFER_20151105115627_GUID" w:val="0b1f2d7b-dccd-42ff-a4cc-9f9b34ea5f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2722-7B24-4D93-9454-1D31B92B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345</Words>
  <Characters>1989</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(Electricity Generation and Retail Corporation Area of Operation) Regulations 2015 - 00-a0-02</dc:title>
  <dc:subject/>
  <dc:creator/>
  <cp:keywords/>
  <dc:description/>
  <cp:lastModifiedBy>svcMRProcess</cp:lastModifiedBy>
  <cp:revision>4</cp:revision>
  <cp:lastPrinted>2015-05-08T02:12:00Z</cp:lastPrinted>
  <dcterms:created xsi:type="dcterms:W3CDTF">2019-01-16T03:46:00Z</dcterms:created>
  <dcterms:modified xsi:type="dcterms:W3CDTF">2019-01-16T03:46:00Z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20151021</vt:lpwstr>
  </property>
  <property fmtid="{D5CDD505-2E9C-101B-9397-08002B2CF9AE}" pid="4" name="ID">
    <vt:lpwstr>20 Oct 2015 p 4293</vt:lpwstr>
  </property>
  <property fmtid="{D5CDD505-2E9C-101B-9397-08002B2CF9AE}" pid="5" name="AsAtDate">
    <vt:lpwstr>21 Oct 2015</vt:lpwstr>
  </property>
  <property fmtid="{D5CDD505-2E9C-101B-9397-08002B2CF9AE}" pid="6" name="Suffix">
    <vt:lpwstr>00-a0-02</vt:lpwstr>
  </property>
</Properties>
</file>