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Cremation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_Toc434504352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_Toc434504353 \h </w:instrText>
      </w:r>
      <w:r>
        <w:fldChar w:fldCharType="separate"/>
      </w:r>
      <w:r>
        <w:t>1</w:t>
      </w:r>
      <w:r>
        <w:fldChar w:fldCharType="end"/>
      </w:r>
    </w:p>
    <w:p>
      <w:pPr>
        <w:pStyle w:val="TOC8"/>
        <w:rPr>
          <w:rFonts w:asciiTheme="minorHAnsi" w:eastAsiaTheme="minorEastAsia" w:hAnsiTheme="minorHAnsi" w:cstheme="minorBidi"/>
          <w:szCs w:val="22"/>
        </w:rPr>
      </w:pPr>
      <w:r>
        <w:t>3.</w:t>
      </w:r>
      <w:r>
        <w:tab/>
        <w:t>Cremation without licence prohibited</w:t>
      </w:r>
      <w:r>
        <w:tab/>
      </w:r>
      <w:r>
        <w:fldChar w:fldCharType="begin"/>
      </w:r>
      <w:r>
        <w:instrText xml:space="preserve"> PAGEREF _Toc434504354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licences</w:t>
      </w:r>
      <w:r>
        <w:tab/>
      </w:r>
      <w:r>
        <w:fldChar w:fldCharType="begin"/>
      </w:r>
      <w:r>
        <w:instrText xml:space="preserve"> PAGEREF _Toc434504355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Portion of a cemetery may be set aside as a site for a crematorium</w:t>
      </w:r>
      <w:r>
        <w:tab/>
      </w:r>
      <w:r>
        <w:fldChar w:fldCharType="begin"/>
      </w:r>
      <w:r>
        <w:instrText xml:space="preserve"> PAGEREF _Toc434504356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Site of a crematorium which is not included in a cemetery shall be deemed to be a cemetery for certain purposes</w:t>
      </w:r>
      <w:r>
        <w:tab/>
      </w:r>
      <w:r>
        <w:fldChar w:fldCharType="begin"/>
      </w:r>
      <w:r>
        <w:instrText xml:space="preserve"> PAGEREF _Toc434504357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ashes otherwise than by burial on a site of a crematorium</w:t>
      </w:r>
      <w:r>
        <w:tab/>
      </w:r>
      <w:r>
        <w:fldChar w:fldCharType="begin"/>
      </w:r>
      <w:r>
        <w:instrText xml:space="preserve"> PAGEREF _Toc434504358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medical referees</w:t>
      </w:r>
      <w:r>
        <w:tab/>
      </w:r>
      <w:r>
        <w:fldChar w:fldCharType="begin"/>
      </w:r>
      <w:r>
        <w:instrText xml:space="preserve"> PAGEREF _Toc434504359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Permits</w:t>
      </w:r>
      <w:r>
        <w:tab/>
      </w:r>
      <w:r>
        <w:fldChar w:fldCharType="begin"/>
      </w:r>
      <w:r>
        <w:instrText xml:space="preserve"> PAGEREF _Toc434504360 \h </w:instrText>
      </w:r>
      <w:r>
        <w:fldChar w:fldCharType="separate"/>
      </w:r>
      <w:r>
        <w:t>7</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Permit to cremate still</w:t>
      </w:r>
      <w:r>
        <w:rPr>
          <w:snapToGrid w:val="0"/>
        </w:rPr>
        <w:noBreakHyphen/>
        <w:t>born child</w:t>
      </w:r>
      <w:r>
        <w:tab/>
      </w:r>
      <w:r>
        <w:fldChar w:fldCharType="begin"/>
      </w:r>
      <w:r>
        <w:instrText xml:space="preserve"> PAGEREF _Toc434504361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Permit to be sufficient authority to cremate body</w:t>
      </w:r>
      <w:r>
        <w:tab/>
      </w:r>
      <w:r>
        <w:fldChar w:fldCharType="begin"/>
      </w:r>
      <w:r>
        <w:instrText xml:space="preserve"> PAGEREF _Toc434504362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Medical referee not to issue permit improperly; and no person to cremate body without permit</w:t>
      </w:r>
      <w:r>
        <w:tab/>
      </w:r>
      <w:r>
        <w:fldChar w:fldCharType="begin"/>
      </w:r>
      <w:r>
        <w:instrText xml:space="preserve"> PAGEREF _Toc434504363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Interested persons not to give certificates</w:t>
      </w:r>
      <w:r>
        <w:tab/>
      </w:r>
      <w:r>
        <w:fldChar w:fldCharType="begin"/>
      </w:r>
      <w:r>
        <w:instrText xml:space="preserve"> PAGEREF _Toc434504364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Cremation not permitted if objected to by deceased’s spouse, de facto partner or next of kin, unless directed by will or other writing signed by deceased</w:t>
      </w:r>
      <w:r>
        <w:tab/>
      </w:r>
      <w:r>
        <w:fldChar w:fldCharType="begin"/>
      </w:r>
      <w:r>
        <w:instrText xml:space="preserve"> PAGEREF _Toc434504365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Attorney General or coroner may forbid cremation</w:t>
      </w:r>
      <w:r>
        <w:tab/>
      </w:r>
      <w:r>
        <w:fldChar w:fldCharType="begin"/>
      </w:r>
      <w:r>
        <w:instrText xml:space="preserve"> PAGEREF _Toc434504366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_Toc434504367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of licences</w:t>
      </w:r>
      <w:r>
        <w:tab/>
      </w:r>
      <w:r>
        <w:fldChar w:fldCharType="begin"/>
      </w:r>
      <w:r>
        <w:instrText xml:space="preserve"> PAGEREF _Toc434504368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_Toc434504369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_Toc434504371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_Toc434504372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3" w:name="_Toc378152579"/>
      <w:bookmarkStart w:id="4" w:name="_Toc43450435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378152580"/>
      <w:bookmarkStart w:id="6" w:name="_Toc434504353"/>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w:t>
      </w:r>
    </w:p>
    <w:p>
      <w:pPr>
        <w:pStyle w:val="Heading5"/>
      </w:pPr>
      <w:bookmarkStart w:id="7" w:name="_Toc378152581"/>
      <w:bookmarkStart w:id="8" w:name="_Toc434504354"/>
      <w:r>
        <w:rPr>
          <w:rStyle w:val="CharSectno"/>
        </w:rPr>
        <w:t>3</w:t>
      </w:r>
      <w:r>
        <w:t>.</w:t>
      </w:r>
      <w:r>
        <w:tab/>
        <w:t>Cremation without licence prohibited</w:t>
      </w:r>
      <w:bookmarkEnd w:id="7"/>
      <w:bookmarkEnd w:id="8"/>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9" w:name="_Toc378152582"/>
      <w:bookmarkStart w:id="10" w:name="_Toc434504355"/>
      <w:r>
        <w:rPr>
          <w:rStyle w:val="CharSectno"/>
        </w:rPr>
        <w:t>4</w:t>
      </w:r>
      <w:r>
        <w:rPr>
          <w:snapToGrid w:val="0"/>
        </w:rPr>
        <w:t>.</w:t>
      </w:r>
      <w:r>
        <w:rPr>
          <w:snapToGrid w:val="0"/>
        </w:rPr>
        <w:tab/>
        <w:t>Issue of licences</w:t>
      </w:r>
      <w:bookmarkEnd w:id="9"/>
      <w:bookmarkEnd w:id="10"/>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1" w:name="_Toc378152583"/>
      <w:bookmarkStart w:id="12" w:name="_Toc434504356"/>
      <w:r>
        <w:rPr>
          <w:rStyle w:val="CharSectno"/>
        </w:rPr>
        <w:t>5</w:t>
      </w:r>
      <w:r>
        <w:rPr>
          <w:snapToGrid w:val="0"/>
        </w:rPr>
        <w:t>.</w:t>
      </w:r>
      <w:r>
        <w:rPr>
          <w:snapToGrid w:val="0"/>
        </w:rPr>
        <w:tab/>
        <w:t>Portion of a cemetery may be set aside as a site for a crematorium</w:t>
      </w:r>
      <w:bookmarkEnd w:id="11"/>
      <w:bookmarkEnd w:id="12"/>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13" w:name="_Toc378152584"/>
      <w:bookmarkStart w:id="14" w:name="_Toc434504357"/>
      <w:r>
        <w:rPr>
          <w:rStyle w:val="CharSectno"/>
        </w:rPr>
        <w:t>6</w:t>
      </w:r>
      <w:r>
        <w:rPr>
          <w:snapToGrid w:val="0"/>
        </w:rPr>
        <w:t>.</w:t>
      </w:r>
      <w:r>
        <w:rPr>
          <w:snapToGrid w:val="0"/>
        </w:rPr>
        <w:tab/>
        <w:t>Site of a crematorium which is not included in a cemetery shall be deemed to be a cemetery for certain purposes</w:t>
      </w:r>
      <w:bookmarkEnd w:id="13"/>
      <w:bookmarkEnd w:id="1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15" w:name="_Toc378152585"/>
      <w:bookmarkStart w:id="16" w:name="_Toc434504358"/>
      <w:r>
        <w:rPr>
          <w:rStyle w:val="CharSectno"/>
        </w:rPr>
        <w:t>7</w:t>
      </w:r>
      <w:r>
        <w:rPr>
          <w:snapToGrid w:val="0"/>
        </w:rPr>
        <w:t>.</w:t>
      </w:r>
      <w:r>
        <w:rPr>
          <w:snapToGrid w:val="0"/>
        </w:rPr>
        <w:tab/>
        <w:t>Disposal of ashes otherwise than by burial on a site of a crematorium</w:t>
      </w:r>
      <w:bookmarkEnd w:id="15"/>
      <w:bookmarkEnd w:id="16"/>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17" w:name="_Toc378152586"/>
      <w:bookmarkStart w:id="18" w:name="_Toc434504359"/>
      <w:r>
        <w:rPr>
          <w:rStyle w:val="CharSectno"/>
        </w:rPr>
        <w:t>8</w:t>
      </w:r>
      <w:r>
        <w:rPr>
          <w:snapToGrid w:val="0"/>
        </w:rPr>
        <w:t>.</w:t>
      </w:r>
      <w:r>
        <w:rPr>
          <w:snapToGrid w:val="0"/>
        </w:rPr>
        <w:tab/>
        <w:t>Appointment of medical referees</w:t>
      </w:r>
      <w:bookmarkEnd w:id="17"/>
      <w:bookmarkEnd w:id="18"/>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19" w:name="_Toc378152587"/>
      <w:bookmarkStart w:id="20" w:name="_Toc434504360"/>
      <w:r>
        <w:rPr>
          <w:rStyle w:val="CharSectno"/>
        </w:rPr>
        <w:t>8A</w:t>
      </w:r>
      <w:r>
        <w:rPr>
          <w:snapToGrid w:val="0"/>
        </w:rPr>
        <w:t>.</w:t>
      </w:r>
      <w:r>
        <w:rPr>
          <w:snapToGrid w:val="0"/>
        </w:rPr>
        <w:tab/>
        <w:t>Permits</w:t>
      </w:r>
      <w:bookmarkEnd w:id="19"/>
      <w:bookmarkEnd w:id="20"/>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21" w:name="_Toc378152588"/>
      <w:bookmarkStart w:id="22" w:name="_Toc434504361"/>
      <w:r>
        <w:rPr>
          <w:rStyle w:val="CharSectno"/>
        </w:rPr>
        <w:t>8B</w:t>
      </w:r>
      <w:r>
        <w:rPr>
          <w:snapToGrid w:val="0"/>
        </w:rPr>
        <w:t>.</w:t>
      </w:r>
      <w:r>
        <w:rPr>
          <w:snapToGrid w:val="0"/>
        </w:rPr>
        <w:tab/>
        <w:t>Permit to cremate still</w:t>
      </w:r>
      <w:r>
        <w:rPr>
          <w:snapToGrid w:val="0"/>
        </w:rPr>
        <w:noBreakHyphen/>
        <w:t>born child</w:t>
      </w:r>
      <w:bookmarkEnd w:id="21"/>
      <w:bookmarkEnd w:id="22"/>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23" w:name="_Toc378152589"/>
      <w:bookmarkStart w:id="24" w:name="_Toc434504362"/>
      <w:r>
        <w:rPr>
          <w:rStyle w:val="CharSectno"/>
        </w:rPr>
        <w:t>9</w:t>
      </w:r>
      <w:r>
        <w:rPr>
          <w:snapToGrid w:val="0"/>
        </w:rPr>
        <w:t>.</w:t>
      </w:r>
      <w:r>
        <w:rPr>
          <w:snapToGrid w:val="0"/>
        </w:rPr>
        <w:tab/>
        <w:t>Permit to be sufficient authority to cremate body</w:t>
      </w:r>
      <w:bookmarkEnd w:id="23"/>
      <w:bookmarkEnd w:id="2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25" w:name="_Toc378152590"/>
      <w:bookmarkStart w:id="26" w:name="_Toc434504363"/>
      <w:r>
        <w:rPr>
          <w:rStyle w:val="CharSectno"/>
        </w:rPr>
        <w:t>10</w:t>
      </w:r>
      <w:r>
        <w:rPr>
          <w:snapToGrid w:val="0"/>
        </w:rPr>
        <w:t>.</w:t>
      </w:r>
      <w:r>
        <w:rPr>
          <w:snapToGrid w:val="0"/>
        </w:rPr>
        <w:tab/>
        <w:t>Medical referee not to issue permit improperly; and no person to cremate body without permit</w:t>
      </w:r>
      <w:bookmarkEnd w:id="25"/>
      <w:bookmarkEnd w:id="26"/>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27" w:name="_Toc378152591"/>
      <w:bookmarkStart w:id="28" w:name="_Toc434504364"/>
      <w:r>
        <w:rPr>
          <w:rStyle w:val="CharSectno"/>
        </w:rPr>
        <w:t>12</w:t>
      </w:r>
      <w:r>
        <w:rPr>
          <w:snapToGrid w:val="0"/>
        </w:rPr>
        <w:t>.</w:t>
      </w:r>
      <w:r>
        <w:rPr>
          <w:snapToGrid w:val="0"/>
        </w:rPr>
        <w:tab/>
        <w:t>Interested persons not to give certificates</w:t>
      </w:r>
      <w:bookmarkEnd w:id="27"/>
      <w:bookmarkEnd w:id="28"/>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29" w:name="_Toc378152592"/>
      <w:bookmarkStart w:id="30" w:name="_Toc434504365"/>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29"/>
      <w:bookmarkEnd w:id="30"/>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31" w:name="_Toc378152593"/>
      <w:bookmarkStart w:id="32" w:name="_Toc434504366"/>
      <w:r>
        <w:rPr>
          <w:rStyle w:val="CharSectno"/>
        </w:rPr>
        <w:t>14</w:t>
      </w:r>
      <w:r>
        <w:rPr>
          <w:snapToGrid w:val="0"/>
        </w:rPr>
        <w:t>.</w:t>
      </w:r>
      <w:r>
        <w:rPr>
          <w:snapToGrid w:val="0"/>
        </w:rPr>
        <w:tab/>
        <w:t>Attorney General or coroner may forbid cremation</w:t>
      </w:r>
      <w:bookmarkEnd w:id="31"/>
      <w:bookmarkEnd w:id="32"/>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33" w:name="_Toc378152594"/>
      <w:bookmarkStart w:id="34" w:name="_Toc434504367"/>
      <w:r>
        <w:rPr>
          <w:rStyle w:val="CharSectno"/>
        </w:rPr>
        <w:t>15</w:t>
      </w:r>
      <w:r>
        <w:rPr>
          <w:snapToGrid w:val="0"/>
        </w:rPr>
        <w:t>.</w:t>
      </w:r>
      <w:r>
        <w:rPr>
          <w:snapToGrid w:val="0"/>
        </w:rPr>
        <w:tab/>
        <w:t>Offences</w:t>
      </w:r>
      <w:bookmarkEnd w:id="33"/>
      <w:bookmarkEnd w:id="3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35" w:name="_Toc378152595"/>
      <w:bookmarkStart w:id="36" w:name="_Toc434504368"/>
      <w:r>
        <w:rPr>
          <w:rStyle w:val="CharSectno"/>
        </w:rPr>
        <w:t>16</w:t>
      </w:r>
      <w:r>
        <w:rPr>
          <w:snapToGrid w:val="0"/>
        </w:rPr>
        <w:t>.</w:t>
      </w:r>
      <w:r>
        <w:rPr>
          <w:snapToGrid w:val="0"/>
        </w:rPr>
        <w:tab/>
        <w:t>Revocation of licences</w:t>
      </w:r>
      <w:bookmarkEnd w:id="35"/>
      <w:bookmarkEnd w:id="36"/>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37" w:name="_Toc378152596"/>
      <w:bookmarkStart w:id="38" w:name="_Toc434504369"/>
      <w:r>
        <w:rPr>
          <w:rStyle w:val="CharSectno"/>
        </w:rPr>
        <w:t>17</w:t>
      </w:r>
      <w:r>
        <w:rPr>
          <w:snapToGrid w:val="0"/>
        </w:rPr>
        <w:t>.</w:t>
      </w:r>
      <w:r>
        <w:rPr>
          <w:snapToGrid w:val="0"/>
        </w:rPr>
        <w:tab/>
        <w:t>Regulations</w:t>
      </w:r>
      <w:bookmarkEnd w:id="37"/>
      <w:bookmarkEnd w:id="38"/>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9" w:name="_Toc378152597"/>
      <w:bookmarkStart w:id="40" w:name="_Toc415646255"/>
      <w:bookmarkStart w:id="41" w:name="_Toc415646286"/>
      <w:bookmarkStart w:id="42" w:name="_Toc434504370"/>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3</w:t>
      </w:r>
      <w:r>
        <w:rPr>
          <w:snapToGrid w:val="0"/>
        </w:rPr>
        <w:t>.  The table also contains information about any reprint.</w:t>
      </w:r>
    </w:p>
    <w:p>
      <w:pPr>
        <w:pStyle w:val="nHeading3"/>
        <w:rPr>
          <w:snapToGrid w:val="0"/>
        </w:rPr>
      </w:pPr>
      <w:bookmarkStart w:id="43" w:name="_Toc378152598"/>
      <w:bookmarkStart w:id="44" w:name="_Toc434504371"/>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13"/>
            </w:pPr>
            <w:r>
              <w:rPr>
                <w:i/>
              </w:rPr>
              <w:t>Cremation Act 1929</w:t>
            </w:r>
          </w:p>
        </w:tc>
        <w:tc>
          <w:tcPr>
            <w:tcW w:w="1138"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273" w:type="dxa"/>
          </w:tcPr>
          <w:p>
            <w:pPr>
              <w:pStyle w:val="nTable"/>
              <w:spacing w:after="40"/>
              <w:ind w:right="113"/>
            </w:pPr>
            <w:r>
              <w:rPr>
                <w:i/>
              </w:rPr>
              <w:t>Cremation Act Amendment Act 1935</w:t>
            </w:r>
          </w:p>
        </w:tc>
        <w:tc>
          <w:tcPr>
            <w:tcW w:w="1138"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273" w:type="dxa"/>
          </w:tcPr>
          <w:p>
            <w:pPr>
              <w:pStyle w:val="nTable"/>
              <w:spacing w:after="40"/>
              <w:ind w:right="113"/>
            </w:pPr>
            <w:r>
              <w:rPr>
                <w:i/>
              </w:rPr>
              <w:t>Cremation Act Amendment Act 1953</w:t>
            </w:r>
          </w:p>
        </w:tc>
        <w:tc>
          <w:tcPr>
            <w:tcW w:w="1138"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273" w:type="dxa"/>
          </w:tcPr>
          <w:p>
            <w:pPr>
              <w:pStyle w:val="nTable"/>
              <w:spacing w:after="40"/>
              <w:ind w:right="113"/>
              <w:rPr>
                <w:i/>
              </w:rPr>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Cremation Act Amendment Act 1967</w:t>
            </w:r>
          </w:p>
        </w:tc>
        <w:tc>
          <w:tcPr>
            <w:tcW w:w="1138"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273" w:type="dxa"/>
          </w:tcPr>
          <w:p>
            <w:pPr>
              <w:pStyle w:val="nTable"/>
              <w:spacing w:after="40"/>
              <w:ind w:right="113"/>
            </w:pPr>
            <w:r>
              <w:rPr>
                <w:i/>
              </w:rPr>
              <w:t>Cremation Act Amendment Act 1968</w:t>
            </w:r>
          </w:p>
        </w:tc>
        <w:tc>
          <w:tcPr>
            <w:tcW w:w="1138"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273" w:type="dxa"/>
          </w:tcPr>
          <w:p>
            <w:pPr>
              <w:pStyle w:val="nTable"/>
              <w:spacing w:after="40"/>
              <w:ind w:right="113"/>
            </w:pPr>
            <w:r>
              <w:rPr>
                <w:i/>
              </w:rPr>
              <w:t>Health Legislation Amendment Act 1984</w:t>
            </w:r>
            <w:r>
              <w:t xml:space="preserve"> Pt. IV</w:t>
            </w:r>
          </w:p>
        </w:tc>
        <w:tc>
          <w:tcPr>
            <w:tcW w:w="1138"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273" w:type="dxa"/>
          </w:tcPr>
          <w:p>
            <w:pPr>
              <w:pStyle w:val="nTable"/>
              <w:spacing w:after="40"/>
              <w:ind w:right="113"/>
            </w:pPr>
            <w:r>
              <w:rPr>
                <w:i/>
              </w:rPr>
              <w:t>Cremation Amendment Act 1986</w:t>
            </w:r>
          </w:p>
        </w:tc>
        <w:tc>
          <w:tcPr>
            <w:tcW w:w="1138"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273" w:type="dxa"/>
          </w:tcPr>
          <w:p>
            <w:pPr>
              <w:pStyle w:val="nTable"/>
              <w:spacing w:after="40"/>
              <w:ind w:right="113"/>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273" w:type="dxa"/>
          </w:tcPr>
          <w:p>
            <w:pPr>
              <w:pStyle w:val="nTable"/>
              <w:spacing w:after="40"/>
              <w:ind w:right="113"/>
            </w:pPr>
            <w:r>
              <w:rPr>
                <w:i/>
              </w:rPr>
              <w:t>Statutes (Repeals and Minor Amendments) Act (No. 2) 1998</w:t>
            </w:r>
            <w:r>
              <w:t xml:space="preserve"> s. 25</w:t>
            </w:r>
          </w:p>
        </w:tc>
        <w:tc>
          <w:tcPr>
            <w:tcW w:w="1138"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273" w:type="dxa"/>
          </w:tcPr>
          <w:p>
            <w:pPr>
              <w:pStyle w:val="nTable"/>
              <w:spacing w:after="40"/>
              <w:ind w:right="113"/>
              <w:rPr>
                <w:i/>
              </w:rPr>
            </w:pPr>
            <w:r>
              <w:rPr>
                <w:i/>
              </w:rPr>
              <w:t xml:space="preserve">Acts Repeal and Amendment (Births, Deaths and Marriages Registration) Act 1998 </w:t>
            </w:r>
            <w:r>
              <w:t>s. 9</w:t>
            </w:r>
          </w:p>
        </w:tc>
        <w:tc>
          <w:tcPr>
            <w:tcW w:w="1138"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273" w:type="dxa"/>
          </w:tcPr>
          <w:p>
            <w:pPr>
              <w:pStyle w:val="nTable"/>
              <w:spacing w:after="40"/>
              <w:ind w:right="113"/>
              <w:rPr>
                <w:i/>
              </w:rPr>
            </w:pPr>
            <w:r>
              <w:rPr>
                <w:i/>
              </w:rPr>
              <w:t xml:space="preserve">Acts Amendment (Lesbian and Gay Law Reform) Act 2002 </w:t>
            </w:r>
            <w:r>
              <w:t>Pt. 6</w:t>
            </w:r>
          </w:p>
        </w:tc>
        <w:tc>
          <w:tcPr>
            <w:tcW w:w="1138"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273" w:type="dxa"/>
          </w:tcPr>
          <w:p>
            <w:pPr>
              <w:pStyle w:val="nTable"/>
              <w:spacing w:after="40"/>
              <w:ind w:right="113"/>
              <w:rPr>
                <w:i/>
              </w:rPr>
            </w:pPr>
            <w:r>
              <w:rPr>
                <w:i/>
                <w:snapToGrid w:val="0"/>
              </w:rPr>
              <w:t>Courts Legislation Amendment and Repeal Act 2004</w:t>
            </w:r>
            <w:r>
              <w:rPr>
                <w:snapToGrid w:val="0"/>
              </w:rPr>
              <w:t xml:space="preserve"> s. 141</w:t>
            </w:r>
          </w:p>
        </w:tc>
        <w:tc>
          <w:tcPr>
            <w:tcW w:w="1138"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73"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1138"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Sch. 3 cl. 13</w:t>
            </w:r>
          </w:p>
        </w:tc>
        <w:tc>
          <w:tcPr>
            <w:tcW w:w="1138"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1138" w:type="dxa"/>
            <w:tcBorders>
              <w:bottom w:val="single" w:sz="4" w:space="0" w:color="auto"/>
            </w:tcBorders>
          </w:tcPr>
          <w:p>
            <w:pPr>
              <w:pStyle w:val="nTable"/>
              <w:spacing w:after="40"/>
              <w:rPr>
                <w:snapToGrid w:val="0"/>
              </w:rPr>
            </w:pPr>
            <w:r>
              <w:rPr>
                <w:snapToGrid w:val="0"/>
              </w:rPr>
              <w:t>35 of 2010</w:t>
            </w:r>
          </w:p>
        </w:tc>
        <w:tc>
          <w:tcPr>
            <w:tcW w:w="1135" w:type="dxa"/>
            <w:tcBorders>
              <w:bottom w:val="single" w:sz="4" w:space="0" w:color="auto"/>
            </w:tcBorders>
          </w:tcPr>
          <w:p>
            <w:pPr>
              <w:pStyle w:val="nTable"/>
              <w:spacing w:after="40"/>
              <w:rPr>
                <w:snapToGrid w:val="0"/>
              </w:rPr>
            </w:pPr>
            <w:r>
              <w:rPr>
                <w:snapToGrid w:val="0"/>
              </w:rPr>
              <w:t>30 Aug 2010</w:t>
            </w:r>
          </w:p>
        </w:tc>
        <w:tc>
          <w:tcPr>
            <w:tcW w:w="2553" w:type="dxa"/>
            <w:gridSpan w:val="2"/>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spacing w:before="360"/>
      </w:pPr>
      <w:bookmarkStart w:id="45" w:name="_Toc434504372"/>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2"/>
        <w:gridCol w:w="3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7"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rPr>
          <w:gridAfter w:val="1"/>
          <w:wAfter w:w="30" w:type="dxa"/>
        </w:trPr>
        <w:tc>
          <w:tcPr>
            <w:tcW w:w="2273" w:type="dxa"/>
            <w:tcBorders>
              <w:top w:val="single" w:sz="4" w:space="0" w:color="auto"/>
              <w:bottom w:val="single" w:sz="4" w:space="0" w:color="auto"/>
            </w:tcBorders>
          </w:tcPr>
          <w:p>
            <w:pPr>
              <w:pStyle w:val="nTable"/>
              <w:spacing w:after="40"/>
              <w:rPr>
                <w:vertAlign w:val="superscript"/>
              </w:rPr>
            </w:pPr>
            <w:r>
              <w:rPr>
                <w:i/>
                <w:noProof/>
              </w:rPr>
              <w:t xml:space="preserve">Associations Incorporation Act 2015 </w:t>
            </w:r>
            <w:r>
              <w:rPr>
                <w:noProof/>
              </w:rPr>
              <w:t>s. 213 </w:t>
            </w:r>
            <w:r>
              <w:rPr>
                <w:noProof/>
                <w:vertAlign w:val="superscript"/>
              </w:rPr>
              <w:t>5</w:t>
            </w:r>
          </w:p>
        </w:tc>
        <w:tc>
          <w:tcPr>
            <w:tcW w:w="1134" w:type="dxa"/>
            <w:tcBorders>
              <w:top w:val="single" w:sz="4" w:space="0" w:color="auto"/>
              <w:bottom w:val="single" w:sz="4" w:space="0" w:color="auto"/>
            </w:tcBorders>
          </w:tcPr>
          <w:p>
            <w:pPr>
              <w:pStyle w:val="nTable"/>
              <w:spacing w:after="40"/>
            </w:pPr>
            <w:r>
              <w:t>30 of 2015</w:t>
            </w:r>
          </w:p>
        </w:tc>
        <w:tc>
          <w:tcPr>
            <w:tcW w:w="1135" w:type="dxa"/>
            <w:tcBorders>
              <w:top w:val="single" w:sz="4" w:space="0" w:color="auto"/>
              <w:bottom w:val="single" w:sz="4" w:space="0" w:color="auto"/>
            </w:tcBorders>
          </w:tcPr>
          <w:p>
            <w:pPr>
              <w:pStyle w:val="nTable"/>
              <w:spacing w:after="40"/>
            </w:pPr>
            <w:r>
              <w:t>2 Nov 2015</w:t>
            </w:r>
          </w:p>
        </w:tc>
        <w:tc>
          <w:tcPr>
            <w:tcW w:w="2552" w:type="dxa"/>
            <w:tcBorders>
              <w:top w:val="single" w:sz="4" w:space="0" w:color="auto"/>
              <w:bottom w:val="single" w:sz="4" w:space="0" w:color="auto"/>
            </w:tcBorders>
          </w:tcPr>
          <w:p>
            <w:pPr>
              <w:pStyle w:val="nTable"/>
              <w:spacing w:after="40"/>
            </w:pPr>
            <w:r>
              <w:t>To be proclaimed (see s. 2(b))</w:t>
            </w:r>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213 </w:t>
      </w:r>
      <w:r>
        <w:rPr>
          <w:snapToGrid w:val="0"/>
        </w:rPr>
        <w:t>had not come into operation.  It reads as follows:</w:t>
      </w:r>
    </w:p>
    <w:p>
      <w:pPr>
        <w:pStyle w:val="BlankOpen"/>
      </w:pPr>
    </w:p>
    <w:p>
      <w:pPr>
        <w:pStyle w:val="nzHeading5"/>
      </w:pPr>
      <w:bookmarkStart w:id="46" w:name="_Toc433273716"/>
      <w:bookmarkStart w:id="47" w:name="_Toc434319278"/>
      <w:bookmarkStart w:id="48" w:name="_Toc434321330"/>
      <w:r>
        <w:rPr>
          <w:rStyle w:val="CharSectno"/>
        </w:rPr>
        <w:t>213</w:t>
      </w:r>
      <w:r>
        <w:t>.</w:t>
      </w:r>
      <w:r>
        <w:tab/>
      </w:r>
      <w:r>
        <w:rPr>
          <w:i/>
        </w:rPr>
        <w:t>Cremation Act 1929</w:t>
      </w:r>
      <w:r>
        <w:t xml:space="preserve"> amended</w:t>
      </w:r>
      <w:bookmarkEnd w:id="46"/>
      <w:bookmarkEnd w:id="47"/>
      <w:bookmarkEnd w:id="48"/>
    </w:p>
    <w:p>
      <w:pPr>
        <w:pStyle w:val="nzSubsection"/>
      </w:pPr>
      <w:r>
        <w:tab/>
        <w:t>(1)</w:t>
      </w:r>
      <w:r>
        <w:tab/>
        <w:t xml:space="preserve">This section amends the </w:t>
      </w:r>
      <w:r>
        <w:rPr>
          <w:i/>
        </w:rPr>
        <w:t>Cremation Act 1929</w:t>
      </w:r>
      <w:r>
        <w:t>.</w:t>
      </w:r>
    </w:p>
    <w:p>
      <w:pPr>
        <w:pStyle w:val="nzSubsection"/>
      </w:pPr>
      <w:r>
        <w:tab/>
        <w:t>(2)</w:t>
      </w:r>
      <w:r>
        <w:tab/>
        <w:t>Before section 4(1) insert:</w:t>
      </w:r>
    </w:p>
    <w:p>
      <w:pPr>
        <w:pStyle w:val="BlankOpen"/>
      </w:pPr>
    </w:p>
    <w:p>
      <w:pPr>
        <w:pStyle w:val="nzSubsection"/>
      </w:pPr>
      <w:r>
        <w:tab/>
        <w:t>(1A)</w:t>
      </w:r>
      <w:r>
        <w:tab/>
        <w:t xml:space="preserve">In subsection (1)(b) — </w:t>
      </w:r>
    </w:p>
    <w:p>
      <w:pPr>
        <w:pStyle w:val="nzDefstart"/>
      </w:pPr>
      <w:r>
        <w:tab/>
      </w:r>
      <w:r>
        <w:rPr>
          <w:rStyle w:val="CharDefText"/>
        </w:rPr>
        <w:t>association</w:t>
      </w:r>
      <w:r>
        <w:t xml:space="preserve"> means an association incorporated, or taken to be incorporated, under the </w:t>
      </w:r>
      <w:r>
        <w:rPr>
          <w:i/>
        </w:rPr>
        <w:t>Associations Incorporation Act 2015</w:t>
      </w:r>
      <w:r>
        <w:t>.</w:t>
      </w:r>
    </w:p>
    <w:p>
      <w:pPr>
        <w:pStyle w:val="BlankClose"/>
      </w:pPr>
    </w:p>
    <w:p>
      <w:pPr>
        <w:pStyle w:val="nzSubsection"/>
      </w:pPr>
      <w:r>
        <w:tab/>
        <w:t>(3)</w:t>
      </w:r>
      <w:r>
        <w:tab/>
        <w:t xml:space="preserve">In section 4(1)(b) delete “incorporated under the </w:t>
      </w:r>
      <w:r>
        <w:rPr>
          <w:i/>
        </w:rPr>
        <w:t>Associations Incorporation Act 1895</w:t>
      </w:r>
      <w:r>
        <w:t>,”.</w:t>
      </w:r>
    </w:p>
    <w:p>
      <w:pPr>
        <w:pStyle w:val="BlankOpen"/>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50" w:name="_Toc415646288"/>
      <w:bookmarkStart w:id="51" w:name="_Toc434504373"/>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2</w:t>
      </w:r>
    </w:p>
    <w:p>
      <w:pPr>
        <w:pStyle w:val="DefinedTerms"/>
      </w:pPr>
      <w:r>
        <w:t>administrator</w:t>
      </w:r>
      <w:r>
        <w:tab/>
        <w:t>2</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3217"/>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4915</Words>
  <Characters>22757</Characters>
  <Application>Microsoft Office Word</Application>
  <DocSecurity>0</DocSecurity>
  <Lines>669</Lines>
  <Paragraphs>345</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27327</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1929 - 05-h0-01</dc:title>
  <dc:subject/>
  <dc:creator/>
  <cp:keywords/>
  <dc:description/>
  <cp:lastModifiedBy>svcMRProcess</cp:lastModifiedBy>
  <cp:revision>4</cp:revision>
  <cp:lastPrinted>2008-07-09T07:05:00Z</cp:lastPrinted>
  <dcterms:created xsi:type="dcterms:W3CDTF">2015-11-09T05:35:00Z</dcterms:created>
  <dcterms:modified xsi:type="dcterms:W3CDTF">2015-11-09T05:35:00Z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AsAtDate">
    <vt:lpwstr>02 Nov 2015</vt:lpwstr>
  </property>
  <property fmtid="{D5CDD505-2E9C-101B-9397-08002B2CF9AE}" pid="8" name="Suffix">
    <vt:lpwstr>05-h0-01</vt:lpwstr>
  </property>
</Properties>
</file>