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Gaming and Wagering Commission Act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Gaming and Wagering Commission Act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_Toc423529573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_Toc423529574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_Toc423529575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The Commission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Administration</w:t>
      </w:r>
    </w:p>
    <w:p>
      <w:pPr>
        <w:pStyle w:val="TOC8"/>
        <w:rPr>
          <w:rFonts w:asciiTheme="minorHAnsi" w:eastAsiaTheme="minorEastAsia" w:hAnsiTheme="minorHAnsi" w:cstheme="minorBidi"/>
          <w:szCs w:val="22"/>
        </w:rPr>
      </w:pPr>
      <w:r>
        <w:t>4</w:t>
      </w:r>
      <w:r>
        <w:rPr>
          <w:snapToGrid w:val="0"/>
        </w:rPr>
        <w:t>.</w:t>
      </w:r>
      <w:r>
        <w:rPr>
          <w:snapToGrid w:val="0"/>
        </w:rPr>
        <w:tab/>
        <w:t>Gaming and Wagering Commission established</w:t>
      </w:r>
      <w:r>
        <w:tab/>
      </w:r>
      <w:r>
        <w:fldChar w:fldCharType="begin"/>
      </w:r>
      <w:r>
        <w:instrText xml:space="preserve"> PAGEREF _Toc423529578 \h </w:instrText>
      </w:r>
      <w:r>
        <w:fldChar w:fldCharType="separate"/>
      </w:r>
      <w:r>
        <w:t>10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Trading name or symbol, use of by Commission</w:t>
      </w:r>
      <w:r>
        <w:tab/>
      </w:r>
      <w:r>
        <w:fldChar w:fldCharType="begin"/>
      </w:r>
      <w:r>
        <w:instrText xml:space="preserve"> PAGEREF _Toc423529579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Minister and Commission, relationship between</w:t>
      </w:r>
      <w:r>
        <w:tab/>
      </w:r>
      <w:r>
        <w:fldChar w:fldCharType="begin"/>
      </w:r>
      <w:r>
        <w:instrText xml:space="preserve"> PAGEREF _Toc423529580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Duties and powers</w:t>
      </w:r>
    </w:p>
    <w:p>
      <w:pPr>
        <w:pStyle w:val="TOC8"/>
        <w:rPr>
          <w:rFonts w:asciiTheme="minorHAnsi" w:eastAsiaTheme="minorEastAsia" w:hAnsiTheme="minorHAnsi" w:cstheme="minorBidi"/>
          <w:szCs w:val="22"/>
        </w:rPr>
      </w:pPr>
      <w:r>
        <w:t>7</w:t>
      </w:r>
      <w:r>
        <w:rPr>
          <w:snapToGrid w:val="0"/>
        </w:rPr>
        <w:t>.</w:t>
      </w:r>
      <w:r>
        <w:rPr>
          <w:snapToGrid w:val="0"/>
        </w:rPr>
        <w:tab/>
        <w:t>Duties of Commission</w:t>
      </w:r>
      <w:r>
        <w:tab/>
      </w:r>
      <w:r>
        <w:fldChar w:fldCharType="begin"/>
      </w:r>
      <w:r>
        <w:instrText xml:space="preserve"> PAGEREF _Toc423529582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Powers of Commission</w:t>
      </w:r>
      <w:r>
        <w:tab/>
      </w:r>
      <w:r>
        <w:fldChar w:fldCharType="begin"/>
      </w:r>
      <w:r>
        <w:instrText xml:space="preserve"> PAGEREF _Toc423529583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Finance</w:t>
      </w:r>
    </w:p>
    <w:p>
      <w:pPr>
        <w:pStyle w:val="TOC8"/>
        <w:rPr>
          <w:rFonts w:asciiTheme="minorHAnsi" w:eastAsiaTheme="minorEastAsia" w:hAnsiTheme="minorHAnsi" w:cstheme="minorBidi"/>
          <w:szCs w:val="22"/>
        </w:rPr>
      </w:pPr>
      <w:r>
        <w:t>9</w:t>
      </w:r>
      <w:r>
        <w:rPr>
          <w:snapToGrid w:val="0"/>
        </w:rPr>
        <w:t>.</w:t>
      </w:r>
      <w:r>
        <w:rPr>
          <w:snapToGrid w:val="0"/>
        </w:rPr>
        <w:tab/>
        <w:t>Funds of Commission; financial provisions</w:t>
      </w:r>
      <w:r>
        <w:tab/>
      </w:r>
      <w:r>
        <w:fldChar w:fldCharType="begin"/>
      </w:r>
      <w:r>
        <w:instrText xml:space="preserve"> PAGEREF _Toc423529585 \h </w:instrText>
      </w:r>
      <w:r>
        <w:fldChar w:fldCharType="separate"/>
      </w:r>
      <w:r>
        <w:t>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r>
      <w:r>
        <w:rPr>
          <w:i/>
          <w:iCs/>
        </w:rPr>
        <w:t>Financial Management Act 2006</w:t>
      </w:r>
      <w:r>
        <w:t xml:space="preserve"> and </w:t>
      </w:r>
      <w:r>
        <w:rPr>
          <w:i/>
          <w:iCs/>
        </w:rPr>
        <w:t>Auditor General Act 2006</w:t>
      </w:r>
      <w:r>
        <w:rPr>
          <w:iCs/>
        </w:rPr>
        <w:t xml:space="preserve"> apply to Commission</w:t>
      </w:r>
      <w:r>
        <w:tab/>
      </w:r>
      <w:r>
        <w:fldChar w:fldCharType="begin"/>
      </w:r>
      <w:r>
        <w:instrText xml:space="preserve"> PAGEREF _Toc423529586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Some dealings by Commission need Treasurer’s approval</w:t>
      </w:r>
      <w:r>
        <w:tab/>
      </w:r>
      <w:r>
        <w:fldChar w:fldCharType="begin"/>
      </w:r>
      <w:r>
        <w:instrText xml:space="preserve"> PAGEREF _Toc423529587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Membership, co</w:t>
      </w:r>
      <w:r>
        <w:noBreakHyphen/>
        <w:t>option, consultation and committees</w:t>
      </w:r>
    </w:p>
    <w:p>
      <w:pPr>
        <w:pStyle w:val="TOC8"/>
        <w:rPr>
          <w:rFonts w:asciiTheme="minorHAnsi" w:eastAsiaTheme="minorEastAsia" w:hAnsiTheme="minorHAnsi" w:cstheme="minorBidi"/>
          <w:szCs w:val="22"/>
        </w:rPr>
      </w:pPr>
      <w:r>
        <w:t>12</w:t>
      </w:r>
      <w:r>
        <w:rPr>
          <w:snapToGrid w:val="0"/>
        </w:rPr>
        <w:t>.</w:t>
      </w:r>
      <w:r>
        <w:rPr>
          <w:snapToGrid w:val="0"/>
        </w:rPr>
        <w:tab/>
        <w:t>Members of Commission, attendance at meetings etc.</w:t>
      </w:r>
      <w:r>
        <w:tab/>
      </w:r>
      <w:r>
        <w:fldChar w:fldCharType="begin"/>
      </w:r>
      <w:r>
        <w:instrText xml:space="preserve"> PAGEREF _Toc423529589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Remuneration of members; effect of service with Commission on public servants</w:t>
      </w:r>
      <w:r>
        <w:tab/>
      </w:r>
      <w:r>
        <w:fldChar w:fldCharType="begin"/>
      </w:r>
      <w:r>
        <w:instrText xml:space="preserve"> PAGEREF _Toc423529590 \h </w:instrText>
      </w:r>
      <w:r>
        <w:fldChar w:fldCharType="separate"/>
      </w:r>
      <w:r>
        <w:t>21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w:t>
      </w:r>
      <w:r>
        <w:rPr>
          <w:snapToGrid w:val="0"/>
        </w:rPr>
        <w:noBreakHyphen/>
        <w:t>option, consultation etc., Commission’s powers as to</w:t>
      </w:r>
      <w:r>
        <w:tab/>
      </w:r>
      <w:r>
        <w:fldChar w:fldCharType="begin"/>
      </w:r>
      <w:r>
        <w:instrText xml:space="preserve"> PAGEREF _Toc423529591 \h </w:instrText>
      </w:r>
      <w:r>
        <w:fldChar w:fldCharType="separate"/>
      </w:r>
      <w:r>
        <w:t>22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Committees, appointment of etc.</w:t>
      </w:r>
      <w:r>
        <w:tab/>
      </w:r>
      <w:r>
        <w:fldChar w:fldCharType="begin"/>
      </w:r>
      <w:r>
        <w:instrText xml:space="preserve"> PAGEREF _Toc423529592 \h </w:instrText>
      </w:r>
      <w:r>
        <w:fldChar w:fldCharType="separate"/>
      </w:r>
      <w:r>
        <w:t>22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Delegation powers</w:t>
      </w:r>
      <w:r>
        <w:tab/>
      </w:r>
      <w:r>
        <w:fldChar w:fldCharType="begin"/>
      </w:r>
      <w:r>
        <w:instrText xml:space="preserve"> PAGEREF _Toc423529593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Proceedings</w:t>
      </w:r>
    </w:p>
    <w:p>
      <w:pPr>
        <w:pStyle w:val="TOC8"/>
        <w:rPr>
          <w:rFonts w:asciiTheme="minorHAnsi" w:eastAsiaTheme="minorEastAsia" w:hAnsiTheme="minorHAnsi" w:cstheme="minorBidi"/>
          <w:szCs w:val="22"/>
        </w:rPr>
      </w:pPr>
      <w:r>
        <w:t>17</w:t>
      </w:r>
      <w:r>
        <w:rPr>
          <w:snapToGrid w:val="0"/>
        </w:rPr>
        <w:t>.</w:t>
      </w:r>
      <w:r>
        <w:rPr>
          <w:snapToGrid w:val="0"/>
        </w:rPr>
        <w:tab/>
        <w:t>Proceedings, meetings, declaring interests etc.</w:t>
      </w:r>
      <w:r>
        <w:tab/>
      </w:r>
      <w:r>
        <w:fldChar w:fldCharType="begin"/>
      </w:r>
      <w:r>
        <w:instrText xml:space="preserve"> PAGEREF _Toc423529595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Staff, etc.</w:t>
      </w:r>
    </w:p>
    <w:p>
      <w:pPr>
        <w:pStyle w:val="TOC8"/>
        <w:rPr>
          <w:rFonts w:asciiTheme="minorHAnsi" w:eastAsiaTheme="minorEastAsia" w:hAnsiTheme="minorHAnsi" w:cstheme="minorBidi"/>
          <w:szCs w:val="22"/>
        </w:rPr>
      </w:pPr>
      <w:r>
        <w:t>18</w:t>
      </w:r>
      <w:r>
        <w:rPr>
          <w:snapToGrid w:val="0"/>
        </w:rPr>
        <w:t>.</w:t>
      </w:r>
      <w:r>
        <w:rPr>
          <w:snapToGrid w:val="0"/>
        </w:rPr>
        <w:tab/>
        <w:t>Staff, contractors etc.; Commission may ask Commissioner of Police to inquire etc. into various matters</w:t>
      </w:r>
      <w:r>
        <w:tab/>
      </w:r>
      <w:r>
        <w:fldChar w:fldCharType="begin"/>
      </w:r>
      <w:r>
        <w:instrText xml:space="preserve"> PAGEREF _Toc423529597 \h </w:instrText>
      </w:r>
      <w:r>
        <w:fldChar w:fldCharType="separate"/>
      </w:r>
      <w:r>
        <w:t>26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Government departments, statutory bodies etc. to assist Commission</w:t>
      </w:r>
      <w:r>
        <w:tab/>
      </w:r>
      <w:r>
        <w:fldChar w:fldCharType="begin"/>
      </w:r>
      <w:r>
        <w:instrText xml:space="preserve"> PAGEREF _Toc423529598 \h </w:instrText>
      </w:r>
      <w:r>
        <w:fldChar w:fldCharType="separate"/>
      </w:r>
      <w:r>
        <w:t>28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Reports, effect of and privilege attached to; official information, disclosure of etc.</w:t>
      </w:r>
      <w:r>
        <w:tab/>
      </w:r>
      <w:r>
        <w:fldChar w:fldCharType="begin"/>
      </w:r>
      <w:r>
        <w:instrText xml:space="preserve"> PAGEREF _Toc423529599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7 — Confidential police information</w:t>
      </w:r>
    </w:p>
    <w:p>
      <w:pPr>
        <w:pStyle w:val="TOC8"/>
        <w:rPr>
          <w:rFonts w:asciiTheme="minorHAnsi" w:eastAsiaTheme="minorEastAsia" w:hAnsiTheme="minorHAnsi" w:cstheme="minorBidi"/>
          <w:szCs w:val="22"/>
        </w:rPr>
      </w:pPr>
      <w:r>
        <w:t>20A.</w:t>
      </w:r>
      <w:r>
        <w:tab/>
        <w:t>Certain information provided by police to be kept confidential</w:t>
      </w:r>
      <w:r>
        <w:tab/>
      </w:r>
      <w:r>
        <w:fldChar w:fldCharType="begin"/>
      </w:r>
      <w:r>
        <w:instrText xml:space="preserve"> PAGEREF _Toc423529601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III — Enforcement</w:t>
      </w:r>
    </w:p>
    <w:p>
      <w:pPr>
        <w:pStyle w:val="TOC8"/>
        <w:rPr>
          <w:rFonts w:asciiTheme="minorHAnsi" w:eastAsiaTheme="minorEastAsia" w:hAnsiTheme="minorHAnsi" w:cstheme="minorBidi"/>
          <w:szCs w:val="22"/>
        </w:rPr>
      </w:pPr>
      <w:r>
        <w:t>21</w:t>
      </w:r>
      <w:r>
        <w:rPr>
          <w:snapToGrid w:val="0"/>
        </w:rPr>
        <w:t>.</w:t>
      </w:r>
      <w:r>
        <w:rPr>
          <w:snapToGrid w:val="0"/>
        </w:rPr>
        <w:tab/>
        <w:t>Authorised officers, appointment and duties of and reports by</w:t>
      </w:r>
      <w:r>
        <w:tab/>
      </w:r>
      <w:r>
        <w:fldChar w:fldCharType="begin"/>
      </w:r>
      <w:r>
        <w:instrText xml:space="preserve"> PAGEREF _Toc423529603 \h </w:instrText>
      </w:r>
      <w:r>
        <w:fldChar w:fldCharType="separate"/>
      </w:r>
      <w:r>
        <w:t>33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Permitted gaming and social gambling, powers to scrutinize etc.</w:t>
      </w:r>
      <w:r>
        <w:tab/>
      </w:r>
      <w:r>
        <w:fldChar w:fldCharType="begin"/>
      </w:r>
      <w:r>
        <w:instrText xml:space="preserve"> PAGEREF _Toc423529604 \h </w:instrText>
      </w:r>
      <w:r>
        <w:fldChar w:fldCharType="separate"/>
      </w:r>
      <w:r>
        <w:t>34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Other police powers not limited by this Act</w:t>
      </w:r>
      <w:r>
        <w:tab/>
      </w:r>
      <w:r>
        <w:fldChar w:fldCharType="begin"/>
      </w:r>
      <w:r>
        <w:instrText xml:space="preserve"> PAGEREF _Toc423529605 \h </w:instrText>
      </w:r>
      <w:r>
        <w:fldChar w:fldCharType="separate"/>
      </w:r>
      <w:r>
        <w:t>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Commissioner of Police, directions by to police officers</w:t>
      </w:r>
      <w:r>
        <w:tab/>
      </w:r>
      <w:r>
        <w:fldChar w:fldCharType="begin"/>
      </w:r>
      <w:r>
        <w:instrText xml:space="preserve"> PAGEREF _Toc423529606 \h </w:instrText>
      </w:r>
      <w:r>
        <w:fldChar w:fldCharType="separate"/>
      </w:r>
      <w:r>
        <w:t>35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Entry to premises, arrest etc., warrant authorising</w:t>
      </w:r>
      <w:r>
        <w:tab/>
      </w:r>
      <w:r>
        <w:fldChar w:fldCharType="begin"/>
      </w:r>
      <w:r>
        <w:instrText xml:space="preserve"> PAGEREF _Toc423529607 \h </w:instrText>
      </w:r>
      <w:r>
        <w:fldChar w:fldCharType="separate"/>
      </w:r>
      <w:r>
        <w:t>36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Evidence, information etc., powers to seize, obtain etc.</w:t>
      </w:r>
      <w:r>
        <w:tab/>
      </w:r>
      <w:r>
        <w:fldChar w:fldCharType="begin"/>
      </w:r>
      <w:r>
        <w:instrText xml:space="preserve"> PAGEREF _Toc423529608 \h </w:instrText>
      </w:r>
      <w:r>
        <w:fldChar w:fldCharType="separate"/>
      </w:r>
      <w:r>
        <w:t>37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Information, production of books, accounts etc., powers to require</w:t>
      </w:r>
      <w:r>
        <w:tab/>
      </w:r>
      <w:r>
        <w:fldChar w:fldCharType="begin"/>
      </w:r>
      <w:r>
        <w:instrText xml:space="preserve"> PAGEREF _Toc423529609 \h </w:instrText>
      </w:r>
      <w:r>
        <w:fldChar w:fldCharType="separate"/>
      </w:r>
      <w:r>
        <w:t>38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Recovering moneys payable to Commission</w:t>
      </w:r>
      <w:r>
        <w:tab/>
      </w:r>
      <w:r>
        <w:fldChar w:fldCharType="begin"/>
      </w:r>
      <w:r>
        <w:instrText xml:space="preserve"> PAGEREF _Toc423529610 \h </w:instrText>
      </w:r>
      <w:r>
        <w:fldChar w:fldCharType="separate"/>
      </w:r>
      <w:r>
        <w:t>40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Hindering etc. Commission etc. and false etc. answers, offences as to</w:t>
      </w:r>
      <w:r>
        <w:tab/>
      </w:r>
      <w:r>
        <w:fldChar w:fldCharType="begin"/>
      </w:r>
      <w:r>
        <w:instrText xml:space="preserve"> PAGEREF _Toc423529611 \h </w:instrText>
      </w:r>
      <w:r>
        <w:fldChar w:fldCharType="separate"/>
      </w:r>
      <w:r>
        <w:t>41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Incriminating information to be provided but is not admissible</w:t>
      </w:r>
      <w:r>
        <w:tab/>
      </w:r>
      <w:r>
        <w:fldChar w:fldCharType="begin"/>
      </w:r>
      <w:r>
        <w:instrText xml:space="preserve"> PAGEREF _Toc423529612 \h </w:instrText>
      </w:r>
      <w:r>
        <w:fldChar w:fldCharType="separate"/>
      </w:r>
      <w:r>
        <w:t>42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Seizure without warrant</w:t>
      </w:r>
      <w:r>
        <w:tab/>
      </w:r>
      <w:r>
        <w:fldChar w:fldCharType="begin"/>
      </w:r>
      <w:r>
        <w:instrText xml:space="preserve"> PAGEREF _Toc423529613 \h </w:instrText>
      </w:r>
      <w:r>
        <w:fldChar w:fldCharType="separate"/>
      </w:r>
      <w:r>
        <w:t>43</w:t>
      </w:r>
      <w:r>
        <w:fldChar w:fldCharType="end"/>
      </w:r>
    </w:p>
    <w:p>
      <w:pPr>
        <w:pStyle w:val="TOC8"/>
        <w:rPr>
          <w:rFonts w:asciiTheme="minorHAnsi" w:eastAsiaTheme="minorEastAsia" w:hAnsiTheme="minorHAnsi" w:cstheme="minorBidi"/>
          <w:szCs w:val="22"/>
        </w:rPr>
      </w:pPr>
      <w:r>
        <w:t>31A.</w:t>
      </w:r>
      <w:r>
        <w:tab/>
        <w:t>Powers to assist seizing things</w:t>
      </w:r>
      <w:r>
        <w:tab/>
      </w:r>
      <w:r>
        <w:fldChar w:fldCharType="begin"/>
      </w:r>
      <w:r>
        <w:instrText xml:space="preserve"> PAGEREF _Toc423529614 \h </w:instrText>
      </w:r>
      <w:r>
        <w:fldChar w:fldCharType="separate"/>
      </w:r>
      <w:r>
        <w:t>43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Certain seized things to be forfeited to Crown</w:t>
      </w:r>
      <w:r>
        <w:tab/>
      </w:r>
      <w:r>
        <w:fldChar w:fldCharType="begin"/>
      </w:r>
      <w:r>
        <w:instrText xml:space="preserve"> PAGEREF _Toc423529615 \h </w:instrText>
      </w:r>
      <w:r>
        <w:fldChar w:fldCharType="separate"/>
      </w:r>
      <w:r>
        <w:t>43</w:t>
      </w:r>
      <w:r>
        <w:fldChar w:fldCharType="end"/>
      </w:r>
    </w:p>
    <w:p>
      <w:pPr>
        <w:pStyle w:val="TOC8"/>
        <w:rPr>
          <w:rFonts w:asciiTheme="minorHAnsi" w:eastAsiaTheme="minorEastAsia" w:hAnsiTheme="minorHAnsi" w:cstheme="minorBidi"/>
          <w:szCs w:val="22"/>
        </w:rPr>
      </w:pPr>
      <w:r>
        <w:t>32A.</w:t>
      </w:r>
      <w:r>
        <w:tab/>
        <w:t>Disposing of seized or forfeited things</w:t>
      </w:r>
      <w:r>
        <w:tab/>
      </w:r>
      <w:r>
        <w:fldChar w:fldCharType="begin"/>
      </w:r>
      <w:r>
        <w:instrText xml:space="preserve"> PAGEREF _Toc423529616 \h </w:instrText>
      </w:r>
      <w:r>
        <w:fldChar w:fldCharType="separate"/>
      </w:r>
      <w:r>
        <w:t>44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Prosecuting offences</w:t>
      </w:r>
      <w:r>
        <w:tab/>
      </w:r>
      <w:r>
        <w:fldChar w:fldCharType="begin"/>
      </w:r>
      <w:r>
        <w:instrText xml:space="preserve"> PAGEREF _Toc423529617 \h </w:instrText>
      </w:r>
      <w:r>
        <w:fldChar w:fldCharType="separate"/>
      </w:r>
      <w:r>
        <w:t>44</w:t>
      </w:r>
      <w:r>
        <w:fldChar w:fldCharType="end"/>
      </w:r>
    </w:p>
    <w:p>
      <w:pPr>
        <w:pStyle w:val="TOC8"/>
        <w:rPr>
          <w:rFonts w:asciiTheme="minorHAnsi" w:eastAsiaTheme="minorEastAsia" w:hAnsiTheme="minorHAnsi" w:cstheme="minorBidi"/>
          <w:szCs w:val="22"/>
        </w:rPr>
      </w:pPr>
      <w:r>
        <w:t>34</w:t>
      </w:r>
      <w:r>
        <w:rPr>
          <w:bCs/>
        </w:rPr>
        <w:t>.</w:t>
      </w:r>
      <w:r>
        <w:rPr>
          <w:bCs/>
        </w:rPr>
        <w:tab/>
        <w:t>Offences to be dealt with by magistrate</w:t>
      </w:r>
      <w:r>
        <w:tab/>
      </w:r>
      <w:r>
        <w:fldChar w:fldCharType="begin"/>
      </w:r>
      <w:r>
        <w:instrText xml:space="preserve"> PAGEREF _Toc423529618 \h </w:instrText>
      </w:r>
      <w:r>
        <w:fldChar w:fldCharType="separate"/>
      </w:r>
      <w:r>
        <w:t>45</w:t>
      </w:r>
      <w:r>
        <w:fldChar w:fldCharType="end"/>
      </w:r>
    </w:p>
    <w:p>
      <w:pPr>
        <w:pStyle w:val="TOC8"/>
        <w:rPr>
          <w:rFonts w:asciiTheme="minorHAnsi" w:eastAsiaTheme="minorEastAsia" w:hAnsiTheme="minorHAnsi" w:cstheme="minorBidi"/>
          <w:szCs w:val="22"/>
        </w:rPr>
      </w:pPr>
      <w:r>
        <w:t>35.</w:t>
      </w:r>
      <w:r>
        <w:tab/>
        <w:t>General penalty</w:t>
      </w:r>
      <w:r>
        <w:tab/>
      </w:r>
      <w:r>
        <w:fldChar w:fldCharType="begin"/>
      </w:r>
      <w:r>
        <w:instrText xml:space="preserve"> PAGEREF _Toc423529619 \h </w:instrText>
      </w:r>
      <w:r>
        <w:fldChar w:fldCharType="separate"/>
      </w:r>
      <w:r>
        <w:t>45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Infringement notices</w:t>
      </w:r>
      <w:r>
        <w:tab/>
      </w:r>
      <w:r>
        <w:fldChar w:fldCharType="begin"/>
      </w:r>
      <w:r>
        <w:instrText xml:space="preserve"> PAGEREF _Toc423529620 \h </w:instrText>
      </w:r>
      <w:r>
        <w:fldChar w:fldCharType="separate"/>
      </w:r>
      <w:r>
        <w:t>45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Criminal liability of directors etc.</w:t>
      </w:r>
      <w:r>
        <w:tab/>
      </w:r>
      <w:r>
        <w:fldChar w:fldCharType="begin"/>
      </w:r>
      <w:r>
        <w:instrText xml:space="preserve"> PAGEREF _Toc423529621 \h </w:instrText>
      </w:r>
      <w:r>
        <w:fldChar w:fldCharType="separate"/>
      </w:r>
      <w:r>
        <w:t>47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Service of notices</w:t>
      </w:r>
      <w:r>
        <w:tab/>
      </w:r>
      <w:r>
        <w:fldChar w:fldCharType="begin"/>
      </w:r>
      <w:r>
        <w:instrText xml:space="preserve"> PAGEREF _Toc423529622 \h </w:instrText>
      </w:r>
      <w:r>
        <w:fldChar w:fldCharType="separate"/>
      </w:r>
      <w:r>
        <w:t>47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Evidentiary provisions for charges of offences</w:t>
      </w:r>
      <w:r>
        <w:tab/>
      </w:r>
      <w:r>
        <w:fldChar w:fldCharType="begin"/>
      </w:r>
      <w:r>
        <w:instrText xml:space="preserve"> PAGEREF _Toc423529623 \h </w:instrText>
      </w:r>
      <w:r>
        <w:fldChar w:fldCharType="separate"/>
      </w:r>
      <w:r>
        <w:t>48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Evidentiary provisions for charges involving common gaming houses</w:t>
      </w:r>
      <w:r>
        <w:tab/>
      </w:r>
      <w:r>
        <w:fldChar w:fldCharType="begin"/>
      </w:r>
      <w:r>
        <w:instrText xml:space="preserve"> PAGEREF _Toc423529624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IV — Common gaming houses, unlawful gaming, cheating etc.</w:t>
      </w:r>
    </w:p>
    <w:p>
      <w:pPr>
        <w:pStyle w:val="TOC8"/>
        <w:rPr>
          <w:rFonts w:asciiTheme="minorHAnsi" w:eastAsiaTheme="minorEastAsia" w:hAnsiTheme="minorHAnsi" w:cstheme="minorBidi"/>
          <w:szCs w:val="22"/>
        </w:rPr>
      </w:pPr>
      <w:r>
        <w:t>40A.</w:t>
      </w:r>
      <w:r>
        <w:tab/>
        <w:t>Part does not apply to gambling under other written laws</w:t>
      </w:r>
      <w:r>
        <w:tab/>
      </w:r>
      <w:r>
        <w:fldChar w:fldCharType="begin"/>
      </w:r>
      <w:r>
        <w:instrText xml:space="preserve"> PAGEREF _Toc423529626 \h </w:instrText>
      </w:r>
      <w:r>
        <w:fldChar w:fldCharType="separate"/>
      </w:r>
      <w:r>
        <w:t>56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Common gaming house, meaning of and offences as to</w:t>
      </w:r>
      <w:r>
        <w:tab/>
      </w:r>
      <w:r>
        <w:fldChar w:fldCharType="begin"/>
      </w:r>
      <w:r>
        <w:instrText xml:space="preserve"> PAGEREF _Toc423529627 \h </w:instrText>
      </w:r>
      <w:r>
        <w:fldChar w:fldCharType="separate"/>
      </w:r>
      <w:r>
        <w:t>56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Prohibited gaming and unlawful games defined and offences as to</w:t>
      </w:r>
      <w:r>
        <w:tab/>
      </w:r>
      <w:r>
        <w:fldChar w:fldCharType="begin"/>
      </w:r>
      <w:r>
        <w:instrText xml:space="preserve"> PAGEREF _Toc423529628 \h </w:instrText>
      </w:r>
      <w:r>
        <w:fldChar w:fldCharType="separate"/>
      </w:r>
      <w:r>
        <w:t>58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Defence of restricted access not available to charge of s. 41 or 42 offence</w:t>
      </w:r>
      <w:r>
        <w:tab/>
      </w:r>
      <w:r>
        <w:fldChar w:fldCharType="begin"/>
      </w:r>
      <w:r>
        <w:instrText xml:space="preserve"> PAGEREF _Toc423529629 \h </w:instrText>
      </w:r>
      <w:r>
        <w:fldChar w:fldCharType="separate"/>
      </w:r>
      <w:r>
        <w:t>60</w:t>
      </w:r>
      <w:r>
        <w:fldChar w:fldCharType="end"/>
      </w:r>
    </w:p>
    <w:p>
      <w:pPr>
        <w:pStyle w:val="TOC8"/>
        <w:rPr>
          <w:rFonts w:asciiTheme="minorHAnsi" w:eastAsiaTheme="minorEastAsia" w:hAnsiTheme="minorHAnsi" w:cstheme="minorBidi"/>
          <w:szCs w:val="22"/>
        </w:rPr>
      </w:pPr>
      <w:r>
        <w:t>43A.</w:t>
      </w:r>
      <w:r>
        <w:tab/>
        <w:t xml:space="preserve">Advertising </w:t>
      </w:r>
      <w:r>
        <w:rPr>
          <w:snapToGrid w:val="0"/>
        </w:rPr>
        <w:t>unlawful</w:t>
      </w:r>
      <w:r>
        <w:t xml:space="preserve"> gambling</w:t>
      </w:r>
      <w:r>
        <w:tab/>
      </w:r>
      <w:r>
        <w:fldChar w:fldCharType="begin"/>
      </w:r>
      <w:r>
        <w:instrText xml:space="preserve"> PAGEREF _Toc423529630 \h </w:instrText>
      </w:r>
      <w:r>
        <w:fldChar w:fldCharType="separate"/>
      </w:r>
      <w:r>
        <w:t>60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Cheating in games etc. to obtain prize etc., offence</w:t>
      </w:r>
      <w:r>
        <w:tab/>
      </w:r>
      <w:r>
        <w:fldChar w:fldCharType="begin"/>
      </w:r>
      <w:r>
        <w:instrText xml:space="preserve"> PAGEREF _Toc423529631 \h </w:instrText>
      </w:r>
      <w:r>
        <w:fldChar w:fldCharType="separate"/>
      </w:r>
      <w:r>
        <w:t>62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Permitted gaming, offences as to</w:t>
      </w:r>
      <w:r>
        <w:tab/>
      </w:r>
      <w:r>
        <w:fldChar w:fldCharType="begin"/>
      </w:r>
      <w:r>
        <w:instrText xml:space="preserve"> PAGEREF _Toc423529632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V — Permitted gambling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Gaming generally</w:t>
      </w:r>
    </w:p>
    <w:p>
      <w:pPr>
        <w:pStyle w:val="TOC8"/>
        <w:rPr>
          <w:rFonts w:asciiTheme="minorHAnsi" w:eastAsiaTheme="minorEastAsia" w:hAnsiTheme="minorHAnsi" w:cstheme="minorBidi"/>
          <w:szCs w:val="22"/>
        </w:rPr>
      </w:pPr>
      <w:r>
        <w:t>46</w:t>
      </w:r>
      <w:r>
        <w:rPr>
          <w:snapToGrid w:val="0"/>
        </w:rPr>
        <w:t>.</w:t>
      </w:r>
      <w:r>
        <w:rPr>
          <w:snapToGrid w:val="0"/>
        </w:rPr>
        <w:tab/>
        <w:t>Permitted gaming defined</w:t>
      </w:r>
      <w:r>
        <w:tab/>
      </w:r>
      <w:r>
        <w:fldChar w:fldCharType="begin"/>
      </w:r>
      <w:r>
        <w:instrText xml:space="preserve"> PAGEREF _Toc423529635 \h </w:instrText>
      </w:r>
      <w:r>
        <w:fldChar w:fldCharType="separate"/>
      </w:r>
      <w:r>
        <w:t>65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Gaming permits, types, issue and effect of</w:t>
      </w:r>
      <w:r>
        <w:tab/>
      </w:r>
      <w:r>
        <w:fldChar w:fldCharType="begin"/>
      </w:r>
      <w:r>
        <w:instrText xml:space="preserve"> PAGEREF _Toc423529636 \h </w:instrText>
      </w:r>
      <w:r>
        <w:fldChar w:fldCharType="separate"/>
      </w:r>
      <w:r>
        <w:t>66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Issue of permit on direction by Minister</w:t>
      </w:r>
      <w:r>
        <w:tab/>
      </w:r>
      <w:r>
        <w:fldChar w:fldCharType="begin"/>
      </w:r>
      <w:r>
        <w:instrText xml:space="preserve"> PAGEREF _Toc423529637 \h </w:instrText>
      </w:r>
      <w:r>
        <w:fldChar w:fldCharType="separate"/>
      </w:r>
      <w:r>
        <w:t>67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Applications for issue or renewal of permit, matters that may be considered when deciding</w:t>
      </w:r>
      <w:r>
        <w:tab/>
      </w:r>
      <w:r>
        <w:fldChar w:fldCharType="begin"/>
      </w:r>
      <w:r>
        <w:instrText xml:space="preserve"> PAGEREF _Toc423529638 \h </w:instrText>
      </w:r>
      <w:r>
        <w:fldChar w:fldCharType="separate"/>
      </w:r>
      <w:r>
        <w:t>68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Register of approvals, permit holders etc., Commission to keep and allow inspection of etc.</w:t>
      </w:r>
      <w:r>
        <w:tab/>
      </w:r>
      <w:r>
        <w:fldChar w:fldCharType="begin"/>
      </w:r>
      <w:r>
        <w:instrText xml:space="preserve"> PAGEREF _Toc423529639 \h </w:instrText>
      </w:r>
      <w:r>
        <w:fldChar w:fldCharType="separate"/>
      </w:r>
      <w:r>
        <w:t>70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Persons eligible to hold gaming permits, approval of</w:t>
      </w:r>
      <w:r>
        <w:tab/>
      </w:r>
      <w:r>
        <w:fldChar w:fldCharType="begin"/>
      </w:r>
      <w:r>
        <w:instrText xml:space="preserve"> PAGEREF _Toc423529640 \h </w:instrText>
      </w:r>
      <w:r>
        <w:fldChar w:fldCharType="separate"/>
      </w:r>
      <w:r>
        <w:t>71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Applications for gaming permits</w:t>
      </w:r>
      <w:r>
        <w:tab/>
      </w:r>
      <w:r>
        <w:fldChar w:fldCharType="begin"/>
      </w:r>
      <w:r>
        <w:instrText xml:space="preserve"> PAGEREF _Toc423529641 \h </w:instrText>
      </w:r>
      <w:r>
        <w:fldChar w:fldCharType="separate"/>
      </w:r>
      <w:r>
        <w:t>73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Fees and charges for gaming permits</w:t>
      </w:r>
      <w:r>
        <w:tab/>
      </w:r>
      <w:r>
        <w:fldChar w:fldCharType="begin"/>
      </w:r>
      <w:r>
        <w:instrText xml:space="preserve"> PAGEREF _Toc423529642 \h </w:instrText>
      </w:r>
      <w:r>
        <w:fldChar w:fldCharType="separate"/>
      </w:r>
      <w:r>
        <w:t>74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Charging people to take part in permitted gaming</w:t>
      </w:r>
      <w:r>
        <w:tab/>
      </w:r>
      <w:r>
        <w:fldChar w:fldCharType="begin"/>
      </w:r>
      <w:r>
        <w:instrText xml:space="preserve"> PAGEREF _Toc423529643 \h </w:instrText>
      </w:r>
      <w:r>
        <w:fldChar w:fldCharType="separate"/>
      </w:r>
      <w:r>
        <w:t>75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Approving premises for gaming</w:t>
      </w:r>
      <w:r>
        <w:tab/>
      </w:r>
      <w:r>
        <w:fldChar w:fldCharType="begin"/>
      </w:r>
      <w:r>
        <w:instrText xml:space="preserve"> PAGEREF _Toc423529644 \h </w:instrText>
      </w:r>
      <w:r>
        <w:fldChar w:fldCharType="separate"/>
      </w:r>
      <w:r>
        <w:t>77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Renewing approvals, permits and certificates</w:t>
      </w:r>
      <w:r>
        <w:tab/>
      </w:r>
      <w:r>
        <w:fldChar w:fldCharType="begin"/>
      </w:r>
      <w:r>
        <w:instrText xml:space="preserve"> PAGEREF _Toc423529645 \h </w:instrText>
      </w:r>
      <w:r>
        <w:fldChar w:fldCharType="separate"/>
      </w:r>
      <w:r>
        <w:t>80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Reports by permit holders, when required, content of etc.</w:t>
      </w:r>
      <w:r>
        <w:tab/>
      </w:r>
      <w:r>
        <w:fldChar w:fldCharType="begin"/>
      </w:r>
      <w:r>
        <w:instrText xml:space="preserve"> PAGEREF _Toc423529646 \h </w:instrText>
      </w:r>
      <w:r>
        <w:fldChar w:fldCharType="separate"/>
      </w:r>
      <w:r>
        <w:t>81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Gaming permit may regulate use of proceeds from permitted gaming etc.</w:t>
      </w:r>
      <w:r>
        <w:tab/>
      </w:r>
      <w:r>
        <w:fldChar w:fldCharType="begin"/>
      </w:r>
      <w:r>
        <w:instrText xml:space="preserve"> PAGEREF _Toc423529647 \h </w:instrText>
      </w:r>
      <w:r>
        <w:fldChar w:fldCharType="separate"/>
      </w:r>
      <w:r>
        <w:t>82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Approvals etc. may require security to be given</w:t>
      </w:r>
      <w:r>
        <w:tab/>
      </w:r>
      <w:r>
        <w:fldChar w:fldCharType="begin"/>
      </w:r>
      <w:r>
        <w:instrText xml:space="preserve"> PAGEREF _Toc423529648 \h </w:instrText>
      </w:r>
      <w:r>
        <w:fldChar w:fldCharType="separate"/>
      </w:r>
      <w:r>
        <w:t>83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Revoking and amending permits and certain approvals</w:t>
      </w:r>
      <w:r>
        <w:tab/>
      </w:r>
      <w:r>
        <w:fldChar w:fldCharType="begin"/>
      </w:r>
      <w:r>
        <w:instrText xml:space="preserve"> PAGEREF _Toc423529649 \h </w:instrText>
      </w:r>
      <w:r>
        <w:fldChar w:fldCharType="separate"/>
      </w:r>
      <w:r>
        <w:t>85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Revocation or amendment of current approval etc., Commission to report to Minister; appeals to Minister</w:t>
      </w:r>
      <w:r>
        <w:tab/>
      </w:r>
      <w:r>
        <w:fldChar w:fldCharType="begin"/>
      </w:r>
      <w:r>
        <w:instrText xml:space="preserve"> PAGEREF _Toc423529650 \h </w:instrText>
      </w:r>
      <w:r>
        <w:fldChar w:fldCharType="separate"/>
      </w:r>
      <w:r>
        <w:t>87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No credit to be given to person for permitted gaming; cheques for permitted gaming</w:t>
      </w:r>
      <w:r>
        <w:tab/>
      </w:r>
      <w:r>
        <w:fldChar w:fldCharType="begin"/>
      </w:r>
      <w:r>
        <w:instrText xml:space="preserve"> PAGEREF _Toc423529651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Social gambling</w:t>
      </w:r>
    </w:p>
    <w:p>
      <w:pPr>
        <w:pStyle w:val="TOC8"/>
        <w:rPr>
          <w:rFonts w:asciiTheme="minorHAnsi" w:eastAsiaTheme="minorEastAsia" w:hAnsiTheme="minorHAnsi" w:cstheme="minorBidi"/>
          <w:szCs w:val="22"/>
        </w:rPr>
      </w:pPr>
      <w:r>
        <w:t>64</w:t>
      </w:r>
      <w:r>
        <w:rPr>
          <w:snapToGrid w:val="0"/>
        </w:rPr>
        <w:t>.</w:t>
      </w:r>
      <w:r>
        <w:rPr>
          <w:snapToGrid w:val="0"/>
        </w:rPr>
        <w:tab/>
        <w:t>Social gambling defined</w:t>
      </w:r>
      <w:r>
        <w:tab/>
      </w:r>
      <w:r>
        <w:fldChar w:fldCharType="begin"/>
      </w:r>
      <w:r>
        <w:instrText xml:space="preserve"> PAGEREF _Toc423529653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Permitted two</w:t>
      </w:r>
      <w:r>
        <w:noBreakHyphen/>
        <w:t>up</w:t>
      </w:r>
    </w:p>
    <w:p>
      <w:pPr>
        <w:pStyle w:val="TOC8"/>
        <w:rPr>
          <w:rFonts w:asciiTheme="minorHAnsi" w:eastAsiaTheme="minorEastAsia" w:hAnsiTheme="minorHAnsi" w:cstheme="minorBidi"/>
          <w:szCs w:val="22"/>
        </w:rPr>
      </w:pPr>
      <w:r>
        <w:t>80</w:t>
      </w:r>
      <w:r>
        <w:rPr>
          <w:snapToGrid w:val="0"/>
        </w:rPr>
        <w:t>.</w:t>
      </w:r>
      <w:r>
        <w:rPr>
          <w:snapToGrid w:val="0"/>
        </w:rPr>
        <w:tab/>
        <w:t>Two</w:t>
      </w:r>
      <w:r>
        <w:rPr>
          <w:snapToGrid w:val="0"/>
        </w:rPr>
        <w:noBreakHyphen/>
        <w:t>up at country race meetings</w:t>
      </w:r>
      <w:r>
        <w:tab/>
      </w:r>
      <w:r>
        <w:fldChar w:fldCharType="begin"/>
      </w:r>
      <w:r>
        <w:instrText xml:space="preserve"> PAGEREF _Toc423529655 \h </w:instrText>
      </w:r>
      <w:r>
        <w:fldChar w:fldCharType="separate"/>
      </w:r>
      <w:r>
        <w:t>92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Two</w:t>
      </w:r>
      <w:r>
        <w:rPr>
          <w:snapToGrid w:val="0"/>
        </w:rPr>
        <w:noBreakHyphen/>
        <w:t>up at other places</w:t>
      </w:r>
      <w:r>
        <w:tab/>
      </w:r>
      <w:r>
        <w:fldChar w:fldCharType="begin"/>
      </w:r>
      <w:r>
        <w:instrText xml:space="preserve"> PAGEREF _Toc423529656 \h </w:instrText>
      </w:r>
      <w:r>
        <w:fldChar w:fldCharType="separate"/>
      </w:r>
      <w:r>
        <w:t>94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Conditions deemed in certain permits</w:t>
      </w:r>
      <w:r>
        <w:tab/>
      </w:r>
      <w:r>
        <w:fldChar w:fldCharType="begin"/>
      </w:r>
      <w:r>
        <w:instrText xml:space="preserve"> PAGEREF _Toc423529657 \h </w:instrText>
      </w:r>
      <w:r>
        <w:fldChar w:fldCharType="separate"/>
      </w:r>
      <w:r>
        <w:t>95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Regulations for this Division</w:t>
      </w:r>
      <w:r>
        <w:tab/>
      </w:r>
      <w:r>
        <w:fldChar w:fldCharType="begin"/>
      </w:r>
      <w:r>
        <w:instrText xml:space="preserve"> PAGEREF _Toc423529658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Gaming machines and other gaming equipment and its operation</w:t>
      </w:r>
    </w:p>
    <w:p>
      <w:pPr>
        <w:pStyle w:val="TOC8"/>
        <w:rPr>
          <w:rFonts w:asciiTheme="minorHAnsi" w:eastAsiaTheme="minorEastAsia" w:hAnsiTheme="minorHAnsi" w:cstheme="minorBidi"/>
          <w:szCs w:val="22"/>
        </w:rPr>
      </w:pPr>
      <w:r>
        <w:t>84</w:t>
      </w:r>
      <w:r>
        <w:rPr>
          <w:snapToGrid w:val="0"/>
        </w:rPr>
        <w:t>.</w:t>
      </w:r>
      <w:r>
        <w:rPr>
          <w:snapToGrid w:val="0"/>
        </w:rPr>
        <w:tab/>
        <w:t>Terms used</w:t>
      </w:r>
      <w:r>
        <w:tab/>
      </w:r>
      <w:r>
        <w:fldChar w:fldCharType="begin"/>
      </w:r>
      <w:r>
        <w:instrText xml:space="preserve"> PAGEREF _Toc423529660 \h </w:instrText>
      </w:r>
      <w:r>
        <w:fldChar w:fldCharType="separate"/>
      </w:r>
      <w:r>
        <w:t>97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Unlawful gaming machines etc., use and possession of prohibited</w:t>
      </w:r>
      <w:r>
        <w:tab/>
      </w:r>
      <w:r>
        <w:fldChar w:fldCharType="begin"/>
      </w:r>
      <w:r>
        <w:instrText xml:space="preserve"> PAGEREF _Toc423529661 \h </w:instrText>
      </w:r>
      <w:r>
        <w:fldChar w:fldCharType="separate"/>
      </w:r>
      <w:r>
        <w:t>98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Use of unlawful cash or tokens in gaming machines</w:t>
      </w:r>
      <w:r>
        <w:tab/>
      </w:r>
      <w:r>
        <w:fldChar w:fldCharType="begin"/>
      </w:r>
      <w:r>
        <w:instrText xml:space="preserve"> PAGEREF _Toc423529662 \h </w:instrText>
      </w:r>
      <w:r>
        <w:fldChar w:fldCharType="separate"/>
      </w:r>
      <w:r>
        <w:t>101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Records about gaming equipment, powers to require keeping of</w:t>
      </w:r>
      <w:r>
        <w:tab/>
      </w:r>
      <w:r>
        <w:fldChar w:fldCharType="begin"/>
      </w:r>
      <w:r>
        <w:instrText xml:space="preserve"> PAGEREF _Toc423529663 \h </w:instrText>
      </w:r>
      <w:r>
        <w:fldChar w:fldCharType="separate"/>
      </w:r>
      <w:r>
        <w:t>101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Prescribed gaming equipment, regulations about, certificates for sellers etc. of</w:t>
      </w:r>
      <w:r>
        <w:tab/>
      </w:r>
      <w:r>
        <w:fldChar w:fldCharType="begin"/>
      </w:r>
      <w:r>
        <w:instrText xml:space="preserve"> PAGEREF _Toc423529664 \h </w:instrText>
      </w:r>
      <w:r>
        <w:fldChar w:fldCharType="separate"/>
      </w:r>
      <w:r>
        <w:t>102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Prescribed gaming equipment, sale etc. of</w:t>
      </w:r>
      <w:r>
        <w:tab/>
      </w:r>
      <w:r>
        <w:fldChar w:fldCharType="begin"/>
      </w:r>
      <w:r>
        <w:instrText xml:space="preserve"> PAGEREF _Toc423529665 \h </w:instrText>
      </w:r>
      <w:r>
        <w:fldChar w:fldCharType="separate"/>
      </w:r>
      <w:r>
        <w:t>105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Application of s. 88 and 89 to concessionaires</w:t>
      </w:r>
      <w:r>
        <w:tab/>
      </w:r>
      <w:r>
        <w:fldChar w:fldCharType="begin"/>
      </w:r>
      <w:r>
        <w:instrText xml:space="preserve"> PAGEREF _Toc423529666 \h </w:instrText>
      </w:r>
      <w:r>
        <w:fldChar w:fldCharType="separate"/>
      </w:r>
      <w:r>
        <w:t>105</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Permitted gaming, restrictions on certain people in relation to</w:t>
      </w:r>
      <w:r>
        <w:tab/>
      </w:r>
      <w:r>
        <w:fldChar w:fldCharType="begin"/>
      </w:r>
      <w:r>
        <w:instrText xml:space="preserve"> PAGEREF _Toc423529667 \h </w:instrText>
      </w:r>
      <w:r>
        <w:fldChar w:fldCharType="separate"/>
      </w:r>
      <w:r>
        <w:t>105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Certificates for s. 91</w:t>
      </w:r>
      <w:r>
        <w:tab/>
      </w:r>
      <w:r>
        <w:fldChar w:fldCharType="begin"/>
      </w:r>
      <w:r>
        <w:instrText xml:space="preserve"> PAGEREF _Toc423529668 \h </w:instrText>
      </w:r>
      <w:r>
        <w:fldChar w:fldCharType="separate"/>
      </w:r>
      <w:r>
        <w:t>108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Offences in relation to s. 91</w:t>
      </w:r>
      <w:r>
        <w:tab/>
      </w:r>
      <w:r>
        <w:fldChar w:fldCharType="begin"/>
      </w:r>
      <w:r>
        <w:instrText xml:space="preserve"> PAGEREF _Toc423529669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Permitted bingo</w:t>
      </w:r>
    </w:p>
    <w:p>
      <w:pPr>
        <w:pStyle w:val="TOC8"/>
        <w:rPr>
          <w:rFonts w:asciiTheme="minorHAnsi" w:eastAsiaTheme="minorEastAsia" w:hAnsiTheme="minorHAnsi" w:cstheme="minorBidi"/>
          <w:szCs w:val="22"/>
        </w:rPr>
      </w:pPr>
      <w:r>
        <w:t>94</w:t>
      </w:r>
      <w:r>
        <w:rPr>
          <w:snapToGrid w:val="0"/>
        </w:rPr>
        <w:t>.</w:t>
      </w:r>
      <w:r>
        <w:rPr>
          <w:snapToGrid w:val="0"/>
        </w:rPr>
        <w:tab/>
        <w:t>Terms used</w:t>
      </w:r>
      <w:r>
        <w:tab/>
      </w:r>
      <w:r>
        <w:fldChar w:fldCharType="begin"/>
      </w:r>
      <w:r>
        <w:instrText xml:space="preserve"> PAGEREF _Toc423529671 \h </w:instrText>
      </w:r>
      <w:r>
        <w:fldChar w:fldCharType="separate"/>
      </w:r>
      <w:r>
        <w:t>109</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Permits to conduct bingo; who may play permitted bingo</w:t>
      </w:r>
      <w:r>
        <w:tab/>
      </w:r>
      <w:r>
        <w:fldChar w:fldCharType="begin"/>
      </w:r>
      <w:r>
        <w:instrText xml:space="preserve"> PAGEREF _Toc423529672 \h </w:instrText>
      </w:r>
      <w:r>
        <w:fldChar w:fldCharType="separate"/>
      </w:r>
      <w:r>
        <w:t>110</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Multiple bingo</w:t>
      </w:r>
      <w:r>
        <w:tab/>
      </w:r>
      <w:r>
        <w:fldChar w:fldCharType="begin"/>
      </w:r>
      <w:r>
        <w:instrText xml:space="preserve"> PAGEREF _Toc423529673 \h </w:instrText>
      </w:r>
      <w:r>
        <w:fldChar w:fldCharType="separate"/>
      </w:r>
      <w:r>
        <w:t>112</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Simultaneous bingo</w:t>
      </w:r>
      <w:r>
        <w:tab/>
      </w:r>
      <w:r>
        <w:fldChar w:fldCharType="begin"/>
      </w:r>
      <w:r>
        <w:instrText xml:space="preserve"> PAGEREF _Toc423529674 \h </w:instrText>
      </w:r>
      <w:r>
        <w:fldChar w:fldCharType="separate"/>
      </w:r>
      <w:r>
        <w:t>113</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Conduct of bingo</w:t>
      </w:r>
      <w:r>
        <w:tab/>
      </w:r>
      <w:r>
        <w:fldChar w:fldCharType="begin"/>
      </w:r>
      <w:r>
        <w:instrText xml:space="preserve"> PAGEREF _Toc423529675 \h </w:instrText>
      </w:r>
      <w:r>
        <w:fldChar w:fldCharType="separate"/>
      </w:r>
      <w:r>
        <w:t>114</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Recovering moneys payable to Commission for bingo</w:t>
      </w:r>
      <w:r>
        <w:tab/>
      </w:r>
      <w:r>
        <w:fldChar w:fldCharType="begin"/>
      </w:r>
      <w:r>
        <w:instrText xml:space="preserve"> PAGEREF _Toc423529676 \h </w:instrText>
      </w:r>
      <w:r>
        <w:fldChar w:fldCharType="separate"/>
      </w:r>
      <w:r>
        <w:t>115</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Regulations as to bingo</w:t>
      </w:r>
      <w:r>
        <w:tab/>
      </w:r>
      <w:r>
        <w:fldChar w:fldCharType="begin"/>
      </w:r>
      <w:r>
        <w:instrText xml:space="preserve"> PAGEREF _Toc423529677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Lotteries, and amusements with prizes etc.</w:t>
      </w:r>
    </w:p>
    <w:p>
      <w:pPr>
        <w:pStyle w:val="TOC8"/>
        <w:rPr>
          <w:rFonts w:asciiTheme="minorHAnsi" w:eastAsiaTheme="minorEastAsia" w:hAnsiTheme="minorHAnsi" w:cstheme="minorBidi"/>
          <w:szCs w:val="22"/>
        </w:rPr>
      </w:pPr>
      <w:r>
        <w:t>101</w:t>
      </w:r>
      <w:r>
        <w:rPr>
          <w:snapToGrid w:val="0"/>
        </w:rPr>
        <w:t>.</w:t>
      </w:r>
      <w:r>
        <w:rPr>
          <w:snapToGrid w:val="0"/>
        </w:rPr>
        <w:tab/>
        <w:t>Terms used</w:t>
      </w:r>
      <w:r>
        <w:tab/>
      </w:r>
      <w:r>
        <w:fldChar w:fldCharType="begin"/>
      </w:r>
      <w:r>
        <w:instrText xml:space="preserve"> PAGEREF _Toc423529679 \h </w:instrText>
      </w:r>
      <w:r>
        <w:fldChar w:fldCharType="separate"/>
      </w:r>
      <w:r>
        <w:t>117</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Certain lotteries unlawful</w:t>
      </w:r>
      <w:r>
        <w:tab/>
      </w:r>
      <w:r>
        <w:fldChar w:fldCharType="begin"/>
      </w:r>
      <w:r>
        <w:instrText xml:space="preserve"> PAGEREF _Toc423529680 \h </w:instrText>
      </w:r>
      <w:r>
        <w:fldChar w:fldCharType="separate"/>
      </w:r>
      <w:r>
        <w:t>119</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Permitted lotteries (deemed)</w:t>
      </w:r>
      <w:r>
        <w:tab/>
      </w:r>
      <w:r>
        <w:fldChar w:fldCharType="begin"/>
      </w:r>
      <w:r>
        <w:instrText xml:space="preserve"> PAGEREF _Toc423529681 \h </w:instrText>
      </w:r>
      <w:r>
        <w:fldChar w:fldCharType="separate"/>
      </w:r>
      <w:r>
        <w:t>119</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Permits for lotteries; duties of holders of permit for standard lottery</w:t>
      </w:r>
      <w:r>
        <w:tab/>
      </w:r>
      <w:r>
        <w:fldChar w:fldCharType="begin"/>
      </w:r>
      <w:r>
        <w:instrText xml:space="preserve"> PAGEREF _Toc423529682 \h </w:instrText>
      </w:r>
      <w:r>
        <w:fldChar w:fldCharType="separate"/>
      </w:r>
      <w:r>
        <w:t>121</w:t>
      </w:r>
      <w:r>
        <w:fldChar w:fldCharType="end"/>
      </w:r>
    </w:p>
    <w:p>
      <w:pPr>
        <w:pStyle w:val="TOC8"/>
        <w:rPr>
          <w:rFonts w:asciiTheme="minorHAnsi" w:eastAsiaTheme="minorEastAsia" w:hAnsiTheme="minorHAnsi" w:cstheme="minorBidi"/>
          <w:szCs w:val="22"/>
        </w:rPr>
      </w:pPr>
      <w:r>
        <w:t>104A.</w:t>
      </w:r>
      <w:r>
        <w:tab/>
        <w:t>Commission not liable for unpaid lottery prizes</w:t>
      </w:r>
      <w:r>
        <w:tab/>
      </w:r>
      <w:r>
        <w:fldChar w:fldCharType="begin"/>
      </w:r>
      <w:r>
        <w:instrText xml:space="preserve"> PAGEREF _Toc423529683 \h </w:instrText>
      </w:r>
      <w:r>
        <w:fldChar w:fldCharType="separate"/>
      </w:r>
      <w:r>
        <w:t>124</w:t>
      </w:r>
      <w:r>
        <w:fldChar w:fldCharType="end"/>
      </w:r>
    </w:p>
    <w:p>
      <w:pPr>
        <w:pStyle w:val="TOC8"/>
        <w:rPr>
          <w:rFonts w:asciiTheme="minorHAnsi" w:eastAsiaTheme="minorEastAsia" w:hAnsiTheme="minorHAnsi" w:cstheme="minorBidi"/>
          <w:szCs w:val="22"/>
        </w:rPr>
      </w:pPr>
      <w:r>
        <w:t>104B.</w:t>
      </w:r>
      <w:r>
        <w:tab/>
        <w:t>Licensing of suppliers of lottery tickets</w:t>
      </w:r>
      <w:r>
        <w:tab/>
      </w:r>
      <w:r>
        <w:fldChar w:fldCharType="begin"/>
      </w:r>
      <w:r>
        <w:instrText xml:space="preserve"> PAGEREF _Toc423529684 \h </w:instrText>
      </w:r>
      <w:r>
        <w:fldChar w:fldCharType="separate"/>
      </w:r>
      <w:r>
        <w:t>124</w:t>
      </w:r>
      <w:r>
        <w:fldChar w:fldCharType="end"/>
      </w:r>
    </w:p>
    <w:p>
      <w:pPr>
        <w:pStyle w:val="TOC8"/>
        <w:rPr>
          <w:rFonts w:asciiTheme="minorHAnsi" w:eastAsiaTheme="minorEastAsia" w:hAnsiTheme="minorHAnsi" w:cstheme="minorBidi"/>
          <w:szCs w:val="22"/>
        </w:rPr>
      </w:pPr>
      <w:r>
        <w:t>104C.</w:t>
      </w:r>
      <w:r>
        <w:tab/>
        <w:t>Licences of licensed suppliers, cancelling etc.</w:t>
      </w:r>
      <w:r>
        <w:tab/>
      </w:r>
      <w:r>
        <w:fldChar w:fldCharType="begin"/>
      </w:r>
      <w:r>
        <w:instrText xml:space="preserve"> PAGEREF _Toc423529685 \h </w:instrText>
      </w:r>
      <w:r>
        <w:fldChar w:fldCharType="separate"/>
      </w:r>
      <w:r>
        <w:t>125</w:t>
      </w:r>
      <w:r>
        <w:fldChar w:fldCharType="end"/>
      </w:r>
    </w:p>
    <w:p>
      <w:pPr>
        <w:pStyle w:val="TOC8"/>
        <w:rPr>
          <w:rFonts w:asciiTheme="minorHAnsi" w:eastAsiaTheme="minorEastAsia" w:hAnsiTheme="minorHAnsi" w:cstheme="minorBidi"/>
          <w:szCs w:val="22"/>
        </w:rPr>
      </w:pPr>
      <w:r>
        <w:t>104D.</w:t>
      </w:r>
      <w:r>
        <w:tab/>
        <w:t>Refusal or cancellation of supplier’s licence, Commission to report to Minister; appeals to Minister</w:t>
      </w:r>
      <w:r>
        <w:tab/>
      </w:r>
      <w:r>
        <w:fldChar w:fldCharType="begin"/>
      </w:r>
      <w:r>
        <w:instrText xml:space="preserve"> PAGEREF _Toc423529686 \h </w:instrText>
      </w:r>
      <w:r>
        <w:fldChar w:fldCharType="separate"/>
      </w:r>
      <w:r>
        <w:t>127</w:t>
      </w:r>
      <w:r>
        <w:fldChar w:fldCharType="end"/>
      </w:r>
    </w:p>
    <w:p>
      <w:pPr>
        <w:pStyle w:val="TOC8"/>
        <w:rPr>
          <w:rFonts w:asciiTheme="minorHAnsi" w:eastAsiaTheme="minorEastAsia" w:hAnsiTheme="minorHAnsi" w:cstheme="minorBidi"/>
          <w:szCs w:val="22"/>
        </w:rPr>
      </w:pPr>
      <w:r>
        <w:t>104E.</w:t>
      </w:r>
      <w:r>
        <w:tab/>
        <w:t>Suppliers to give Commission tickets if licence cancelled etc.</w:t>
      </w:r>
      <w:r>
        <w:tab/>
      </w:r>
      <w:r>
        <w:fldChar w:fldCharType="begin"/>
      </w:r>
      <w:r>
        <w:instrText xml:space="preserve"> PAGEREF _Toc423529687 \h </w:instrText>
      </w:r>
      <w:r>
        <w:fldChar w:fldCharType="separate"/>
      </w:r>
      <w:r>
        <w:t>127</w:t>
      </w:r>
      <w:r>
        <w:fldChar w:fldCharType="end"/>
      </w:r>
    </w:p>
    <w:p>
      <w:pPr>
        <w:pStyle w:val="TOC8"/>
        <w:rPr>
          <w:rFonts w:asciiTheme="minorHAnsi" w:eastAsiaTheme="minorEastAsia" w:hAnsiTheme="minorHAnsi" w:cstheme="minorBidi"/>
          <w:szCs w:val="22"/>
        </w:rPr>
      </w:pPr>
      <w:r>
        <w:t>104F.</w:t>
      </w:r>
      <w:r>
        <w:tab/>
        <w:t>Licensed suppliers to lodge returns and pay continuing lotteries levy</w:t>
      </w:r>
      <w:r>
        <w:tab/>
      </w:r>
      <w:r>
        <w:fldChar w:fldCharType="begin"/>
      </w:r>
      <w:r>
        <w:instrText xml:space="preserve"> PAGEREF _Toc423529688 \h </w:instrText>
      </w:r>
      <w:r>
        <w:fldChar w:fldCharType="separate"/>
      </w:r>
      <w:r>
        <w:t>129</w:t>
      </w:r>
      <w:r>
        <w:fldChar w:fldCharType="end"/>
      </w:r>
    </w:p>
    <w:p>
      <w:pPr>
        <w:pStyle w:val="TOC8"/>
        <w:rPr>
          <w:rFonts w:asciiTheme="minorHAnsi" w:eastAsiaTheme="minorEastAsia" w:hAnsiTheme="minorHAnsi" w:cstheme="minorBidi"/>
          <w:szCs w:val="22"/>
        </w:rPr>
      </w:pPr>
      <w:r>
        <w:t>104G.</w:t>
      </w:r>
      <w:r>
        <w:tab/>
        <w:t>Continuing lotteries levy, application of</w:t>
      </w:r>
      <w:r>
        <w:tab/>
      </w:r>
      <w:r>
        <w:fldChar w:fldCharType="begin"/>
      </w:r>
      <w:r>
        <w:instrText xml:space="preserve"> PAGEREF _Toc423529689 \h </w:instrText>
      </w:r>
      <w:r>
        <w:fldChar w:fldCharType="separate"/>
      </w:r>
      <w:r>
        <w:t>130</w:t>
      </w:r>
      <w:r>
        <w:fldChar w:fldCharType="end"/>
      </w:r>
    </w:p>
    <w:p>
      <w:pPr>
        <w:pStyle w:val="TOC8"/>
        <w:rPr>
          <w:rFonts w:asciiTheme="minorHAnsi" w:eastAsiaTheme="minorEastAsia" w:hAnsiTheme="minorHAnsi" w:cstheme="minorBidi"/>
          <w:szCs w:val="22"/>
        </w:rPr>
      </w:pPr>
      <w:r>
        <w:t>104H.</w:t>
      </w:r>
      <w:r>
        <w:tab/>
        <w:t>Exemption from levy</w:t>
      </w:r>
      <w:r>
        <w:tab/>
      </w:r>
      <w:r>
        <w:fldChar w:fldCharType="begin"/>
      </w:r>
      <w:r>
        <w:instrText xml:space="preserve"> PAGEREF _Toc423529690 \h </w:instrText>
      </w:r>
      <w:r>
        <w:fldChar w:fldCharType="separate"/>
      </w:r>
      <w:r>
        <w:t>131</w:t>
      </w:r>
      <w:r>
        <w:fldChar w:fldCharType="end"/>
      </w:r>
    </w:p>
    <w:p>
      <w:pPr>
        <w:pStyle w:val="TOC8"/>
        <w:rPr>
          <w:rFonts w:asciiTheme="minorHAnsi" w:eastAsiaTheme="minorEastAsia" w:hAnsiTheme="minorHAnsi" w:cstheme="minorBidi"/>
          <w:szCs w:val="22"/>
        </w:rPr>
      </w:pPr>
      <w:r>
        <w:t>104I.</w:t>
      </w:r>
      <w:r>
        <w:tab/>
        <w:t>Refund of levy</w:t>
      </w:r>
      <w:r>
        <w:tab/>
      </w:r>
      <w:r>
        <w:fldChar w:fldCharType="begin"/>
      </w:r>
      <w:r>
        <w:instrText xml:space="preserve"> PAGEREF _Toc423529691 \h </w:instrText>
      </w:r>
      <w:r>
        <w:fldChar w:fldCharType="separate"/>
      </w:r>
      <w:r>
        <w:t>131</w:t>
      </w:r>
      <w:r>
        <w:fldChar w:fldCharType="end"/>
      </w:r>
    </w:p>
    <w:p>
      <w:pPr>
        <w:pStyle w:val="TOC8"/>
        <w:rPr>
          <w:rFonts w:asciiTheme="minorHAnsi" w:eastAsiaTheme="minorEastAsia" w:hAnsiTheme="minorHAnsi" w:cstheme="minorBidi"/>
          <w:szCs w:val="22"/>
        </w:rPr>
      </w:pPr>
      <w:r>
        <w:t>104J.</w:t>
      </w:r>
      <w:r>
        <w:tab/>
        <w:t>Tickets, protecting and accounting for; estimating levy for lost etc. tickets</w:t>
      </w:r>
      <w:r>
        <w:tab/>
      </w:r>
      <w:r>
        <w:fldChar w:fldCharType="begin"/>
      </w:r>
      <w:r>
        <w:instrText xml:space="preserve"> PAGEREF _Toc423529692 \h </w:instrText>
      </w:r>
      <w:r>
        <w:fldChar w:fldCharType="separate"/>
      </w:r>
      <w:r>
        <w:t>132</w:t>
      </w:r>
      <w:r>
        <w:fldChar w:fldCharType="end"/>
      </w:r>
    </w:p>
    <w:p>
      <w:pPr>
        <w:pStyle w:val="TOC8"/>
        <w:rPr>
          <w:rFonts w:asciiTheme="minorHAnsi" w:eastAsiaTheme="minorEastAsia" w:hAnsiTheme="minorHAnsi" w:cstheme="minorBidi"/>
          <w:szCs w:val="22"/>
        </w:rPr>
      </w:pPr>
      <w:r>
        <w:t>104K.</w:t>
      </w:r>
      <w:r>
        <w:tab/>
        <w:t>Tickets may be given to Commission for destruction</w:t>
      </w:r>
      <w:r>
        <w:tab/>
      </w:r>
      <w:r>
        <w:fldChar w:fldCharType="begin"/>
      </w:r>
      <w:r>
        <w:instrText xml:space="preserve"> PAGEREF _Toc423529693 \h </w:instrText>
      </w:r>
      <w:r>
        <w:fldChar w:fldCharType="separate"/>
      </w:r>
      <w:r>
        <w:t>133</w:t>
      </w:r>
      <w:r>
        <w:fldChar w:fldCharType="end"/>
      </w:r>
    </w:p>
    <w:p>
      <w:pPr>
        <w:pStyle w:val="TOC8"/>
        <w:rPr>
          <w:rFonts w:asciiTheme="minorHAnsi" w:eastAsiaTheme="minorEastAsia" w:hAnsiTheme="minorHAnsi" w:cstheme="minorBidi"/>
          <w:szCs w:val="22"/>
        </w:rPr>
      </w:pPr>
      <w:r>
        <w:t>104L.</w:t>
      </w:r>
      <w:r>
        <w:tab/>
        <w:t>Offences by licensed suppliers</w:t>
      </w:r>
      <w:r>
        <w:tab/>
      </w:r>
      <w:r>
        <w:fldChar w:fldCharType="begin"/>
      </w:r>
      <w:r>
        <w:instrText xml:space="preserve"> PAGEREF _Toc423529694 \h </w:instrText>
      </w:r>
      <w:r>
        <w:fldChar w:fldCharType="separate"/>
      </w:r>
      <w:r>
        <w:t>133</w:t>
      </w:r>
      <w:r>
        <w:fldChar w:fldCharType="end"/>
      </w:r>
    </w:p>
    <w:p>
      <w:pPr>
        <w:pStyle w:val="TOC8"/>
        <w:rPr>
          <w:rFonts w:asciiTheme="minorHAnsi" w:eastAsiaTheme="minorEastAsia" w:hAnsiTheme="minorHAnsi" w:cstheme="minorBidi"/>
          <w:szCs w:val="22"/>
        </w:rPr>
      </w:pPr>
      <w:r>
        <w:t>104M.</w:t>
      </w:r>
      <w:r>
        <w:tab/>
        <w:t>Offences involving continuing lottery tickets</w:t>
      </w:r>
      <w:r>
        <w:tab/>
      </w:r>
      <w:r>
        <w:fldChar w:fldCharType="begin"/>
      </w:r>
      <w:r>
        <w:instrText xml:space="preserve"> PAGEREF _Toc423529695 \h </w:instrText>
      </w:r>
      <w:r>
        <w:fldChar w:fldCharType="separate"/>
      </w:r>
      <w:r>
        <w:t>135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Continuing lotteries, use of vending machines to sell tickets for</w:t>
      </w:r>
      <w:r>
        <w:tab/>
      </w:r>
      <w:r>
        <w:fldChar w:fldCharType="begin"/>
      </w:r>
      <w:r>
        <w:instrText xml:space="preserve"> PAGEREF _Toc423529696 \h </w:instrText>
      </w:r>
      <w:r>
        <w:fldChar w:fldCharType="separate"/>
      </w:r>
      <w:r>
        <w:t>135</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Offences involving lotteries</w:t>
      </w:r>
      <w:r>
        <w:tab/>
      </w:r>
      <w:r>
        <w:fldChar w:fldCharType="begin"/>
      </w:r>
      <w:r>
        <w:instrText xml:space="preserve"> PAGEREF _Toc423529697 \h </w:instrText>
      </w:r>
      <w:r>
        <w:fldChar w:fldCharType="separate"/>
      </w:r>
      <w:r>
        <w:t>136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Amusements with prizes, which are permitted</w:t>
      </w:r>
      <w:r>
        <w:tab/>
      </w:r>
      <w:r>
        <w:fldChar w:fldCharType="begin"/>
      </w:r>
      <w:r>
        <w:instrText xml:space="preserve"> PAGEREF _Toc423529698 \h </w:instrText>
      </w:r>
      <w:r>
        <w:fldChar w:fldCharType="separate"/>
      </w:r>
      <w:r>
        <w:t>137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Some fund raising activities deemed permitted amusement with prizes</w:t>
      </w:r>
      <w:r>
        <w:tab/>
      </w:r>
      <w:r>
        <w:fldChar w:fldCharType="begin"/>
      </w:r>
      <w:r>
        <w:instrText xml:space="preserve"> PAGEREF _Toc423529699 \h </w:instrText>
      </w:r>
      <w:r>
        <w:fldChar w:fldCharType="separate"/>
      </w:r>
      <w:r>
        <w:t>139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Regulations for this Division</w:t>
      </w:r>
      <w:r>
        <w:tab/>
      </w:r>
      <w:r>
        <w:fldChar w:fldCharType="begin"/>
      </w:r>
      <w:r>
        <w:instrText xml:space="preserve"> PAGEREF _Toc423529700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Unclaimed winnings</w:t>
      </w:r>
    </w:p>
    <w:p>
      <w:pPr>
        <w:pStyle w:val="TOC8"/>
        <w:rPr>
          <w:rFonts w:asciiTheme="minorHAnsi" w:eastAsiaTheme="minorEastAsia" w:hAnsiTheme="minorHAnsi" w:cstheme="minorBidi"/>
          <w:szCs w:val="22"/>
        </w:rPr>
      </w:pPr>
      <w:r>
        <w:t>109A.</w:t>
      </w:r>
      <w:r>
        <w:tab/>
        <w:t>Terms used</w:t>
      </w:r>
      <w:r>
        <w:tab/>
      </w:r>
      <w:r>
        <w:fldChar w:fldCharType="begin"/>
      </w:r>
      <w:r>
        <w:instrText xml:space="preserve"> PAGEREF _Toc423529702 \h </w:instrText>
      </w:r>
      <w:r>
        <w:fldChar w:fldCharType="separate"/>
      </w:r>
      <w:r>
        <w:t>141</w:t>
      </w:r>
      <w:r>
        <w:fldChar w:fldCharType="end"/>
      </w:r>
    </w:p>
    <w:p>
      <w:pPr>
        <w:pStyle w:val="TOC8"/>
        <w:rPr>
          <w:rFonts w:asciiTheme="minorHAnsi" w:eastAsiaTheme="minorEastAsia" w:hAnsiTheme="minorHAnsi" w:cstheme="minorBidi"/>
          <w:szCs w:val="22"/>
        </w:rPr>
      </w:pPr>
      <w:r>
        <w:t>109B.</w:t>
      </w:r>
      <w:r>
        <w:tab/>
        <w:t>Unclaimed winnings, Commission to be notified of etc.</w:t>
      </w:r>
      <w:r>
        <w:tab/>
      </w:r>
      <w:r>
        <w:fldChar w:fldCharType="begin"/>
      </w:r>
      <w:r>
        <w:instrText xml:space="preserve"> PAGEREF _Toc423529703 \h </w:instrText>
      </w:r>
      <w:r>
        <w:fldChar w:fldCharType="separate"/>
      </w:r>
      <w:r>
        <w:t>141</w:t>
      </w:r>
      <w:r>
        <w:fldChar w:fldCharType="end"/>
      </w:r>
    </w:p>
    <w:p>
      <w:pPr>
        <w:pStyle w:val="TOC8"/>
        <w:rPr>
          <w:rFonts w:asciiTheme="minorHAnsi" w:eastAsiaTheme="minorEastAsia" w:hAnsiTheme="minorHAnsi" w:cstheme="minorBidi"/>
          <w:szCs w:val="22"/>
        </w:rPr>
      </w:pPr>
      <w:r>
        <w:t>109C.</w:t>
      </w:r>
      <w:r>
        <w:tab/>
        <w:t>Gaming Community Trust Account</w:t>
      </w:r>
      <w:r>
        <w:tab/>
      </w:r>
      <w:r>
        <w:fldChar w:fldCharType="begin"/>
      </w:r>
      <w:r>
        <w:instrText xml:space="preserve"> PAGEREF _Toc423529704 \h </w:instrText>
      </w:r>
      <w:r>
        <w:fldChar w:fldCharType="separate"/>
      </w:r>
      <w:r>
        <w:t>143</w:t>
      </w:r>
      <w:r>
        <w:fldChar w:fldCharType="end"/>
      </w:r>
    </w:p>
    <w:p>
      <w:pPr>
        <w:pStyle w:val="TOC8"/>
        <w:rPr>
          <w:rFonts w:asciiTheme="minorHAnsi" w:eastAsiaTheme="minorEastAsia" w:hAnsiTheme="minorHAnsi" w:cstheme="minorBidi"/>
          <w:szCs w:val="22"/>
        </w:rPr>
      </w:pPr>
      <w:r>
        <w:t>109D.</w:t>
      </w:r>
      <w:r>
        <w:tab/>
        <w:t>Gaming Community Trust</w:t>
      </w:r>
      <w:r>
        <w:tab/>
      </w:r>
      <w:r>
        <w:fldChar w:fldCharType="begin"/>
      </w:r>
      <w:r>
        <w:instrText xml:space="preserve"> PAGEREF _Toc423529705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VA — Supervision of RWWA</w:t>
      </w:r>
    </w:p>
    <w:p>
      <w:pPr>
        <w:pStyle w:val="TOC8"/>
        <w:rPr>
          <w:rFonts w:asciiTheme="minorHAnsi" w:eastAsiaTheme="minorEastAsia" w:hAnsiTheme="minorHAnsi" w:cstheme="minorBidi"/>
          <w:szCs w:val="22"/>
        </w:rPr>
      </w:pPr>
      <w:r>
        <w:t>109E.</w:t>
      </w:r>
      <w:r>
        <w:tab/>
        <w:t>Gambling operations of RWWA, meaning of</w:t>
      </w:r>
      <w:r>
        <w:tab/>
      </w:r>
      <w:r>
        <w:fldChar w:fldCharType="begin"/>
      </w:r>
      <w:r>
        <w:instrText xml:space="preserve"> PAGEREF _Toc423529707 \h </w:instrText>
      </w:r>
      <w:r>
        <w:fldChar w:fldCharType="separate"/>
      </w:r>
      <w:r>
        <w:t>145</w:t>
      </w:r>
      <w:r>
        <w:fldChar w:fldCharType="end"/>
      </w:r>
    </w:p>
    <w:p>
      <w:pPr>
        <w:pStyle w:val="TOC8"/>
        <w:rPr>
          <w:rFonts w:asciiTheme="minorHAnsi" w:eastAsiaTheme="minorEastAsia" w:hAnsiTheme="minorHAnsi" w:cstheme="minorBidi"/>
          <w:szCs w:val="22"/>
        </w:rPr>
      </w:pPr>
      <w:r>
        <w:t>109F.</w:t>
      </w:r>
      <w:r>
        <w:tab/>
        <w:t>Supervision of RWWA by Commission etc.</w:t>
      </w:r>
      <w:r>
        <w:tab/>
      </w:r>
      <w:r>
        <w:fldChar w:fldCharType="begin"/>
      </w:r>
      <w:r>
        <w:instrText xml:space="preserve"> PAGEREF _Toc423529708 \h </w:instrText>
      </w:r>
      <w:r>
        <w:fldChar w:fldCharType="separate"/>
      </w:r>
      <w:r>
        <w:t>145</w:t>
      </w:r>
      <w:r>
        <w:fldChar w:fldCharType="end"/>
      </w:r>
    </w:p>
    <w:p>
      <w:pPr>
        <w:pStyle w:val="TOC8"/>
        <w:rPr>
          <w:rFonts w:asciiTheme="minorHAnsi" w:eastAsiaTheme="minorEastAsia" w:hAnsiTheme="minorHAnsi" w:cstheme="minorBidi"/>
          <w:szCs w:val="22"/>
        </w:rPr>
      </w:pPr>
      <w:r>
        <w:t>109G.</w:t>
      </w:r>
      <w:r>
        <w:tab/>
        <w:t>Directions to RWWA, Commission may give</w:t>
      </w:r>
      <w:r>
        <w:tab/>
      </w:r>
      <w:r>
        <w:fldChar w:fldCharType="begin"/>
      </w:r>
      <w:r>
        <w:instrText xml:space="preserve"> PAGEREF _Toc423529709 \h </w:instrText>
      </w:r>
      <w:r>
        <w:fldChar w:fldCharType="separate"/>
      </w:r>
      <w:r>
        <w:t>146</w:t>
      </w:r>
      <w:r>
        <w:fldChar w:fldCharType="end"/>
      </w:r>
    </w:p>
    <w:p>
      <w:pPr>
        <w:pStyle w:val="TOC8"/>
        <w:rPr>
          <w:rFonts w:asciiTheme="minorHAnsi" w:eastAsiaTheme="minorEastAsia" w:hAnsiTheme="minorHAnsi" w:cstheme="minorBidi"/>
          <w:szCs w:val="22"/>
        </w:rPr>
      </w:pPr>
      <w:r>
        <w:t>109H.</w:t>
      </w:r>
      <w:r>
        <w:tab/>
        <w:t>RWWA must comply with directions</w:t>
      </w:r>
      <w:r>
        <w:tab/>
      </w:r>
      <w:r>
        <w:fldChar w:fldCharType="begin"/>
      </w:r>
      <w:r>
        <w:instrText xml:space="preserve"> PAGEREF _Toc423529710 \h </w:instrText>
      </w:r>
      <w:r>
        <w:fldChar w:fldCharType="separate"/>
      </w:r>
      <w:r>
        <w:t>146</w:t>
      </w:r>
      <w:r>
        <w:fldChar w:fldCharType="end"/>
      </w:r>
    </w:p>
    <w:p>
      <w:pPr>
        <w:pStyle w:val="TOC8"/>
        <w:rPr>
          <w:rFonts w:asciiTheme="minorHAnsi" w:eastAsiaTheme="minorEastAsia" w:hAnsiTheme="minorHAnsi" w:cstheme="minorBidi"/>
          <w:szCs w:val="22"/>
        </w:rPr>
      </w:pPr>
      <w:r>
        <w:t>109I.</w:t>
      </w:r>
      <w:r>
        <w:tab/>
        <w:t>Complaints about RWWA, Commission’s functions as to</w:t>
      </w:r>
      <w:r>
        <w:tab/>
      </w:r>
      <w:r>
        <w:fldChar w:fldCharType="begin"/>
      </w:r>
      <w:r>
        <w:instrText xml:space="preserve"> PAGEREF _Toc423529711 \h </w:instrText>
      </w:r>
      <w:r>
        <w:fldChar w:fldCharType="separate"/>
      </w:r>
      <w:r>
        <w:t>147</w:t>
      </w:r>
      <w:r>
        <w:fldChar w:fldCharType="end"/>
      </w:r>
    </w:p>
    <w:p>
      <w:pPr>
        <w:pStyle w:val="TOC8"/>
        <w:rPr>
          <w:rFonts w:asciiTheme="minorHAnsi" w:eastAsiaTheme="minorEastAsia" w:hAnsiTheme="minorHAnsi" w:cstheme="minorBidi"/>
          <w:szCs w:val="22"/>
        </w:rPr>
      </w:pPr>
      <w:r>
        <w:t>109J.</w:t>
      </w:r>
      <w:r>
        <w:tab/>
        <w:t>Reports on and inquiries into RWWA</w:t>
      </w:r>
      <w:r>
        <w:tab/>
      </w:r>
      <w:r>
        <w:fldChar w:fldCharType="begin"/>
      </w:r>
      <w:r>
        <w:instrText xml:space="preserve"> PAGEREF _Toc423529712 \h </w:instrText>
      </w:r>
      <w:r>
        <w:fldChar w:fldCharType="separate"/>
      </w:r>
      <w:r>
        <w:t>147</w:t>
      </w:r>
      <w:r>
        <w:fldChar w:fldCharType="end"/>
      </w:r>
    </w:p>
    <w:p>
      <w:pPr>
        <w:pStyle w:val="TOC8"/>
        <w:rPr>
          <w:rFonts w:asciiTheme="minorHAnsi" w:eastAsiaTheme="minorEastAsia" w:hAnsiTheme="minorHAnsi" w:cstheme="minorBidi"/>
          <w:szCs w:val="22"/>
        </w:rPr>
      </w:pPr>
      <w:r>
        <w:t>109K.</w:t>
      </w:r>
      <w:r>
        <w:tab/>
        <w:t>Report or inquiry under s. 109J, Minister’s powers following</w:t>
      </w:r>
      <w:r>
        <w:tab/>
      </w:r>
      <w:r>
        <w:fldChar w:fldCharType="begin"/>
      </w:r>
      <w:r>
        <w:instrText xml:space="preserve"> PAGEREF _Toc423529713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Part VI — Ancillary</w:t>
      </w:r>
    </w:p>
    <w:p>
      <w:pPr>
        <w:pStyle w:val="TOC8"/>
        <w:rPr>
          <w:rFonts w:asciiTheme="minorHAnsi" w:eastAsiaTheme="minorEastAsia" w:hAnsiTheme="minorHAnsi" w:cstheme="minorBidi"/>
          <w:szCs w:val="22"/>
        </w:rPr>
      </w:pPr>
      <w:r>
        <w:t>110</w:t>
      </w:r>
      <w:r>
        <w:rPr>
          <w:snapToGrid w:val="0"/>
        </w:rPr>
        <w:t>.</w:t>
      </w:r>
      <w:r>
        <w:rPr>
          <w:snapToGrid w:val="0"/>
        </w:rPr>
        <w:tab/>
        <w:t>Gambling on premises licensed for retail sale of liquor</w:t>
      </w:r>
      <w:r>
        <w:tab/>
      </w:r>
      <w:r>
        <w:fldChar w:fldCharType="begin"/>
      </w:r>
      <w:r>
        <w:instrText xml:space="preserve"> PAGEREF _Toc423529715 \h </w:instrText>
      </w:r>
      <w:r>
        <w:fldChar w:fldCharType="separate"/>
      </w:r>
      <w:r>
        <w:t>151</w:t>
      </w:r>
      <w:r>
        <w:fldChar w:fldCharType="end"/>
      </w:r>
    </w:p>
    <w:p>
      <w:pPr>
        <w:pStyle w:val="TOC8"/>
        <w:rPr>
          <w:rFonts w:asciiTheme="minorHAnsi" w:eastAsiaTheme="minorEastAsia" w:hAnsiTheme="minorHAnsi" w:cstheme="minorBidi"/>
          <w:szCs w:val="22"/>
        </w:rPr>
      </w:pPr>
      <w:r>
        <w:t>110A.</w:t>
      </w:r>
      <w:r>
        <w:tab/>
        <w:t>Sports Wagering Account</w:t>
      </w:r>
      <w:r>
        <w:tab/>
      </w:r>
      <w:r>
        <w:fldChar w:fldCharType="begin"/>
      </w:r>
      <w:r>
        <w:instrText xml:space="preserve"> PAGEREF _Toc423529716 \h </w:instrText>
      </w:r>
      <w:r>
        <w:fldChar w:fldCharType="separate"/>
      </w:r>
      <w:r>
        <w:t>152</w:t>
      </w:r>
      <w:r>
        <w:fldChar w:fldCharType="end"/>
      </w:r>
    </w:p>
    <w:p>
      <w:pPr>
        <w:pStyle w:val="TOC8"/>
        <w:rPr>
          <w:rFonts w:asciiTheme="minorHAnsi" w:eastAsiaTheme="minorEastAsia" w:hAnsiTheme="minorHAnsi" w:cstheme="minorBidi"/>
          <w:szCs w:val="22"/>
        </w:rPr>
      </w:pPr>
      <w:r>
        <w:t>110B.</w:t>
      </w:r>
      <w:r>
        <w:tab/>
        <w:t>Racing Bets Levy Account</w:t>
      </w:r>
      <w:r>
        <w:tab/>
      </w:r>
      <w:r>
        <w:fldChar w:fldCharType="begin"/>
      </w:r>
      <w:r>
        <w:instrText xml:space="preserve"> PAGEREF _Toc423529717 \h </w:instrText>
      </w:r>
      <w:r>
        <w:fldChar w:fldCharType="separate"/>
      </w:r>
      <w:r>
        <w:t>153</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Burswood Casino Agreement cl. 22, when Commission may decide questions as to</w:t>
      </w:r>
      <w:r>
        <w:tab/>
      </w:r>
      <w:r>
        <w:fldChar w:fldCharType="begin"/>
      </w:r>
      <w:r>
        <w:instrText xml:space="preserve"> PAGEREF _Toc423529718 \h </w:instrText>
      </w:r>
      <w:r>
        <w:fldChar w:fldCharType="separate"/>
      </w:r>
      <w:r>
        <w:t>154</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 xml:space="preserve">Transitional provisions as to </w:t>
      </w:r>
      <w:r>
        <w:rPr>
          <w:i/>
          <w:snapToGrid w:val="0"/>
        </w:rPr>
        <w:t>Casino Control Act 1984</w:t>
      </w:r>
      <w:r>
        <w:tab/>
      </w:r>
      <w:r>
        <w:fldChar w:fldCharType="begin"/>
      </w:r>
      <w:r>
        <w:instrText xml:space="preserve"> PAGEREF _Toc423529719 \h </w:instrText>
      </w:r>
      <w:r>
        <w:fldChar w:fldCharType="separate"/>
      </w:r>
      <w:r>
        <w:t>154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Regulations</w:t>
      </w:r>
      <w:r>
        <w:tab/>
      </w:r>
      <w:r>
        <w:fldChar w:fldCharType="begin"/>
      </w:r>
      <w:r>
        <w:instrText xml:space="preserve"> PAGEREF _Toc423529720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_Toc423529722 \h </w:instrText>
      </w:r>
      <w:r>
        <w:fldChar w:fldCharType="separate"/>
      </w:r>
      <w:r>
        <w:t>157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_Toc423529723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after="480"/>
        <w:rPr>
          <w:i/>
        </w:rPr>
      </w:pPr>
      <w:r>
        <w:t>Western Australia</w:t>
      </w:r>
    </w:p>
    <w:p>
      <w:pPr>
        <w:pStyle w:val="NameofActReg"/>
      </w:pPr>
      <w:r>
        <w:t>Gaming and Wagering Commission Act 1987</w:t>
      </w:r>
    </w:p>
    <w:p>
      <w:pPr>
        <w:pStyle w:val="LongTitle"/>
        <w:spacing w:before="360"/>
        <w:rPr>
          <w:snapToGrid w:val="0"/>
        </w:rPr>
      </w:pPr>
      <w:r>
        <w:rPr>
          <w:snapToGrid w:val="0"/>
        </w:rPr>
        <w:t xml:space="preserve">An Act to constitute the Gaming and Wagering Commission of </w:t>
      </w:r>
      <w:smartTag w:uri="urn:schemas-microsoft-com:office:smarttags" w:element="place">
        <w:smartTag w:uri="urn:schemas-microsoft-com:office:smarttags" w:element="State">
          <w:r>
            <w:rPr>
              <w:snapToGrid w:val="0"/>
            </w:rPr>
            <w:t>Western Australia</w:t>
          </w:r>
        </w:smartTag>
      </w:smartTag>
      <w:r>
        <w:rPr>
          <w:snapToGrid w:val="0"/>
        </w:rPr>
        <w:t>, to consolidate and amend the law relating to gaming and wagering, and for related purposes.</w:t>
      </w:r>
    </w:p>
    <w:p>
      <w:pPr>
        <w:pStyle w:val="Footnotelongtitle"/>
      </w:pPr>
      <w:r>
        <w:tab/>
        <w:t>[Long title amended by No. 35 of 2003 s. 121.]</w:t>
      </w:r>
    </w:p>
    <w:p>
      <w:pPr>
        <w:pStyle w:val="Heading2"/>
      </w:pPr>
      <w:bookmarkStart w:id="3" w:name="_Toc402969346"/>
      <w:bookmarkStart w:id="4" w:name="_Toc406075155"/>
      <w:bookmarkStart w:id="5" w:name="_Toc406075596"/>
      <w:bookmarkStart w:id="6" w:name="_Toc406079819"/>
      <w:bookmarkStart w:id="7" w:name="_Toc418677639"/>
      <w:bookmarkStart w:id="8" w:name="_Toc418677791"/>
      <w:bookmarkStart w:id="9" w:name="_Toc423529572"/>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rPr>
          <w:snapToGrid w:val="0"/>
        </w:rPr>
      </w:pPr>
      <w:bookmarkStart w:id="10" w:name="_Toc406079820"/>
      <w:bookmarkStart w:id="11" w:name="_Toc423529573"/>
      <w:r>
        <w:rPr>
          <w:rStyle w:val="CharSectno"/>
        </w:rPr>
        <w:t>1</w:t>
      </w:r>
      <w:r>
        <w:rPr>
          <w:snapToGrid w:val="0"/>
        </w:rPr>
        <w:t>.</w:t>
      </w:r>
      <w:r>
        <w:rPr>
          <w:snapToGrid w:val="0"/>
        </w:rPr>
        <w:tab/>
        <w:t>Short title</w:t>
      </w:r>
      <w:bookmarkEnd w:id="10"/>
      <w:bookmarkEnd w:id="11"/>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 by No. 35 of 2003 s. 122.]</w:t>
      </w:r>
    </w:p>
    <w:p>
      <w:pPr>
        <w:pStyle w:val="Heading5"/>
        <w:rPr>
          <w:snapToGrid w:val="0"/>
        </w:rPr>
      </w:pPr>
      <w:bookmarkStart w:id="12" w:name="_Toc406079821"/>
      <w:bookmarkStart w:id="13" w:name="_Toc423529574"/>
      <w:r>
        <w:rPr>
          <w:rStyle w:val="CharSectno"/>
        </w:rPr>
        <w:t>2</w:t>
      </w:r>
      <w:r>
        <w:rPr>
          <w:snapToGrid w:val="0"/>
        </w:rPr>
        <w:t>.</w:t>
      </w:r>
      <w:r>
        <w:rPr>
          <w:snapToGrid w:val="0"/>
        </w:rPr>
        <w:tab/>
        <w:t>Commencement</w:t>
      </w:r>
      <w:bookmarkEnd w:id="12"/>
      <w:bookmarkEnd w:id="13"/>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4" w:name="_Toc406079822"/>
      <w:bookmarkStart w:id="15" w:name="_Toc423529575"/>
      <w:r>
        <w:rPr>
          <w:rStyle w:val="CharSectno"/>
        </w:rPr>
        <w:t>3</w:t>
      </w:r>
      <w:r>
        <w:rPr>
          <w:snapToGrid w:val="0"/>
        </w:rPr>
        <w:t>.</w:t>
      </w:r>
      <w:r>
        <w:rPr>
          <w:snapToGrid w:val="0"/>
        </w:rPr>
        <w:tab/>
        <w:t>Terms used</w:t>
      </w:r>
      <w:bookmarkEnd w:id="14"/>
      <w:bookmarkEnd w:id="1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approved</w:t>
      </w:r>
      <w:r>
        <w:t xml:space="preserve"> means approved by the Commission;</w:t>
      </w:r>
    </w:p>
    <w:p>
      <w:pPr>
        <w:pStyle w:val="Defstart"/>
      </w:pPr>
      <w:r>
        <w:rPr>
          <w:b/>
        </w:rPr>
        <w:tab/>
      </w:r>
      <w:r>
        <w:rPr>
          <w:rStyle w:val="CharDefText"/>
        </w:rPr>
        <w:t>approved premises</w:t>
      </w:r>
      <w:r>
        <w:t xml:space="preserve"> means premises approved under section 55;</w:t>
      </w:r>
    </w:p>
    <w:p>
      <w:pPr>
        <w:pStyle w:val="Defstart"/>
      </w:pPr>
      <w:r>
        <w:tab/>
      </w:r>
      <w:r>
        <w:rPr>
          <w:rStyle w:val="CharDefText"/>
        </w:rPr>
        <w:t>authorised officer</w:t>
      </w:r>
      <w:r>
        <w:t xml:space="preserve"> means —</w:t>
      </w:r>
    </w:p>
    <w:p>
      <w:pPr>
        <w:pStyle w:val="Defpara"/>
      </w:pPr>
      <w:r>
        <w:tab/>
        <w:t>(a)</w:t>
      </w:r>
      <w:r>
        <w:tab/>
        <w:t>a member of the Commission; or</w:t>
      </w:r>
    </w:p>
    <w:p>
      <w:pPr>
        <w:pStyle w:val="Defpara"/>
      </w:pPr>
      <w:r>
        <w:tab/>
        <w:t>(b)</w:t>
      </w:r>
      <w:r>
        <w:tab/>
        <w:t xml:space="preserve">the Chief Casino Officer, a government inspector or any other person appointed for the purposes of section 9(1) of the </w:t>
      </w:r>
      <w:r>
        <w:rPr>
          <w:i/>
        </w:rPr>
        <w:t>Casino Control Act 1984</w:t>
      </w:r>
      <w:r>
        <w:t>; or</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r>
      <w:r>
        <w:rPr>
          <w:rStyle w:val="CharDefText"/>
        </w:rPr>
        <w:t>books</w:t>
      </w:r>
      <w:r>
        <w:t xml:space="preserve"> includes any register or other record of information and accounts or accounting records, however compiled, recorded or stored, and also any document;</w:t>
      </w:r>
    </w:p>
    <w:p>
      <w:pPr>
        <w:pStyle w:val="Defstart"/>
      </w:pPr>
      <w:r>
        <w:rPr>
          <w:b/>
        </w:rPr>
        <w:tab/>
      </w:r>
      <w:r>
        <w:rPr>
          <w:rStyle w:val="CharDefText"/>
        </w:rPr>
        <w:t>casino</w:t>
      </w:r>
      <w:r>
        <w:t xml:space="preserve"> means a building or room in which games are conducted and played, or in which money counting, surveillance, storage and other activities related to the conduct and playing of games are carried on, pursuant to a casino gaming licence granted under section 21 of the </w:t>
      </w:r>
      <w:r>
        <w:rPr>
          <w:i/>
        </w:rPr>
        <w:t>Casino Control Act 1984</w:t>
      </w:r>
      <w:r>
        <w:t>;</w:t>
      </w:r>
    </w:p>
    <w:p>
      <w:pPr>
        <w:pStyle w:val="Defstart"/>
      </w:pPr>
      <w:r>
        <w:rPr>
          <w:b/>
        </w:rPr>
        <w:tab/>
      </w:r>
      <w:r>
        <w:rPr>
          <w:rStyle w:val="CharDefText"/>
        </w:rPr>
        <w:t>casino complex agreement</w:t>
      </w:r>
      <w:r>
        <w:t xml:space="preserve"> means agreement entered into by the Minister with a public company under section 19(1) of the </w:t>
      </w:r>
      <w:r>
        <w:rPr>
          <w:i/>
        </w:rPr>
        <w:t>Casino Control Act 1984</w:t>
      </w:r>
      <w:r>
        <w:t>;</w:t>
      </w:r>
    </w:p>
    <w:p>
      <w:pPr>
        <w:pStyle w:val="Defstart"/>
      </w:pPr>
      <w:r>
        <w:rPr>
          <w:b/>
        </w:rPr>
        <w:tab/>
      </w:r>
      <w:r>
        <w:rPr>
          <w:rStyle w:val="CharDefText"/>
        </w:rPr>
        <w:t>certificate</w:t>
      </w:r>
      <w:r>
        <w:t xml:space="preserve"> means a certificate issued under Part V Division 5;</w:t>
      </w:r>
    </w:p>
    <w:p>
      <w:pPr>
        <w:pStyle w:val="Defstart"/>
      </w:pPr>
      <w:r>
        <w:rPr>
          <w:b/>
        </w:rPr>
        <w:tab/>
      </w:r>
      <w:r>
        <w:rPr>
          <w:rStyle w:val="CharDefText"/>
        </w:rPr>
        <w:t>Commission</w:t>
      </w:r>
      <w:r>
        <w:t xml:space="preserve"> means the Gaming and Wagering Commission of Western Australia established under section 4;</w:t>
      </w:r>
    </w:p>
    <w:p>
      <w:pPr>
        <w:pStyle w:val="Defstart"/>
      </w:pPr>
      <w:r>
        <w:rPr>
          <w:b/>
        </w:rPr>
        <w:tab/>
      </w:r>
      <w:r>
        <w:rPr>
          <w:rStyle w:val="CharDefText"/>
        </w:rPr>
        <w:t>condition</w:t>
      </w:r>
      <w:r>
        <w:t xml:space="preserve"> includes a term, requirement, limitation or restriction;</w:t>
      </w:r>
    </w:p>
    <w:p>
      <w:pPr>
        <w:pStyle w:val="Defstart"/>
      </w:pPr>
      <w:r>
        <w:rPr>
          <w:b/>
        </w:rPr>
        <w:tab/>
      </w:r>
      <w:r>
        <w:rPr>
          <w:rStyle w:val="CharDefText"/>
        </w:rPr>
        <w:t>conduct</w:t>
      </w:r>
      <w:r>
        <w:t xml:space="preserve"> includes promote, organise, manage or operate;</w:t>
      </w:r>
    </w:p>
    <w:p>
      <w:pPr>
        <w:pStyle w:val="Defstart"/>
      </w:pPr>
      <w:r>
        <w:rPr>
          <w:b/>
        </w:rPr>
        <w:tab/>
      </w:r>
      <w:r>
        <w:rPr>
          <w:rStyle w:val="CharDefText"/>
        </w:rPr>
        <w:t>continuing lotteries levy</w:t>
      </w:r>
      <w:r>
        <w:t xml:space="preserve"> means the levy imposed by the </w:t>
      </w:r>
      <w:r>
        <w:rPr>
          <w:i/>
        </w:rPr>
        <w:t>Gaming and Wagering Commission (Continuing Lotteries Levy) Act 2000</w:t>
      </w:r>
      <w:r>
        <w:t>;</w:t>
      </w:r>
    </w:p>
    <w:p>
      <w:pPr>
        <w:pStyle w:val="Defstart"/>
      </w:pPr>
      <w:r>
        <w:rPr>
          <w:b/>
        </w:rPr>
        <w:tab/>
      </w:r>
      <w:r>
        <w:rPr>
          <w:rStyle w:val="CharDefText"/>
        </w:rPr>
        <w:t>credit card</w:t>
      </w:r>
      <w:r>
        <w:t xml:space="preserve"> includes any card or other article intended for use by a person in obtaining cash, goods or services on credit;</w:t>
      </w:r>
    </w:p>
    <w:p>
      <w:pPr>
        <w:pStyle w:val="Defstart"/>
      </w:pPr>
      <w:r>
        <w:rPr>
          <w:b/>
        </w:rPr>
        <w:tab/>
      </w:r>
      <w:r>
        <w:rPr>
          <w:rStyle w:val="CharDefText"/>
        </w:rPr>
        <w:t>debit card</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gambling</w:t>
      </w:r>
      <w:r>
        <w:t xml:space="preserve"> means gaming or wagering;</w:t>
      </w:r>
    </w:p>
    <w:p>
      <w:pPr>
        <w:pStyle w:val="Defstart"/>
      </w:pPr>
      <w:r>
        <w:rPr>
          <w:b/>
        </w:rPr>
        <w:tab/>
      </w:r>
      <w:r>
        <w:rPr>
          <w:rStyle w:val="CharDefText"/>
        </w:rPr>
        <w:t>game of chance</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r>
      <w:r>
        <w:rPr>
          <w:rStyle w:val="CharDefText"/>
        </w:rPr>
        <w:t>gaming</w:t>
      </w:r>
      <w:r>
        <w:t>, subject to section 39(2)(d) and (e), means the playing of a game of chance for winnings in money or money’s worth, whether any person playing the game is at risk of losing any money or money’s worth or not;</w:t>
      </w:r>
    </w:p>
    <w:p>
      <w:pPr>
        <w:pStyle w:val="Defstart"/>
      </w:pPr>
      <w:r>
        <w:rPr>
          <w:b/>
        </w:rPr>
        <w:tab/>
      </w:r>
      <w:r>
        <w:rPr>
          <w:rStyle w:val="CharDefText"/>
        </w:rPr>
        <w:t>gaming equipment</w:t>
      </w:r>
      <w:r>
        <w:t xml:space="preserve"> includes any machine used in the course of, or in relation to, gaming;</w:t>
      </w:r>
    </w:p>
    <w:p>
      <w:pPr>
        <w:pStyle w:val="Defstart"/>
      </w:pPr>
      <w:r>
        <w:rPr>
          <w:b/>
        </w:rPr>
        <w:tab/>
      </w:r>
      <w:r>
        <w:rPr>
          <w:rStyle w:val="CharDefText"/>
        </w:rPr>
        <w:t>house</w:t>
      </w:r>
      <w:r>
        <w:t xml:space="preserve">, in relation to the interpretation of the term </w:t>
      </w:r>
      <w:r>
        <w:rPr>
          <w:b/>
          <w:i/>
        </w:rPr>
        <w:t>common gaming house</w:t>
      </w:r>
      <w:r>
        <w:t>, includes any premises;</w:t>
      </w:r>
    </w:p>
    <w:p>
      <w:pPr>
        <w:pStyle w:val="Defstart"/>
      </w:pPr>
      <w:r>
        <w:rPr>
          <w:b/>
        </w:rPr>
        <w:tab/>
      </w:r>
      <w:r>
        <w:rPr>
          <w:rStyle w:val="CharDefText"/>
        </w:rPr>
        <w:t>imposed</w:t>
      </w:r>
      <w:r>
        <w:t>, in relation to a condition, includes implied by or prescribed under this Act;</w:t>
      </w:r>
    </w:p>
    <w:p>
      <w:pPr>
        <w:pStyle w:val="Defstart"/>
      </w:pPr>
      <w:r>
        <w:rPr>
          <w:b/>
        </w:rPr>
        <w:tab/>
      </w:r>
      <w:r>
        <w:rPr>
          <w:rStyle w:val="CharDefText"/>
        </w:rPr>
        <w:t>instruments of gaming</w:t>
      </w:r>
      <w:r>
        <w:t xml:space="preserve"> includes any cards, dice, board, kip, tables, tokens or other thing used in the course and for the purposes of gaming;</w:t>
      </w:r>
    </w:p>
    <w:p>
      <w:pPr>
        <w:pStyle w:val="Defstart"/>
      </w:pPr>
      <w:r>
        <w:rPr>
          <w:b/>
        </w:rPr>
        <w:tab/>
      </w:r>
      <w:r>
        <w:rPr>
          <w:rStyle w:val="CharDefText"/>
        </w:rPr>
        <w:t>licence</w:t>
      </w:r>
      <w:r>
        <w:t xml:space="preserve"> means a licence issued under Part V Division 7;</w:t>
      </w:r>
    </w:p>
    <w:p>
      <w:pPr>
        <w:pStyle w:val="Defstart"/>
      </w:pPr>
      <w:r>
        <w:tab/>
      </w:r>
      <w:r>
        <w:rPr>
          <w:rStyle w:val="CharDefText"/>
        </w:rPr>
        <w:t>licensed supplier</w:t>
      </w:r>
      <w:r>
        <w:t xml:space="preserve"> means a person licensed under Part V Division 7 as a licensed supplier;</w:t>
      </w:r>
    </w:p>
    <w:p>
      <w:pPr>
        <w:pStyle w:val="Defstart"/>
      </w:pPr>
      <w:r>
        <w:rPr>
          <w:b/>
        </w:rPr>
        <w:tab/>
      </w:r>
      <w:r>
        <w:rPr>
          <w:rStyle w:val="CharDefText"/>
        </w:rPr>
        <w:t>lottery</w:t>
      </w:r>
      <w:r>
        <w:t xml:space="preserve"> includes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 and</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 and</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r>
      <w:r>
        <w:rPr>
          <w:rStyle w:val="CharDefText"/>
        </w:rPr>
        <w:t>machine</w:t>
      </w:r>
      <w:r>
        <w:t xml:space="preserve"> includes any apparatus or device;</w:t>
      </w:r>
    </w:p>
    <w:p>
      <w:pPr>
        <w:pStyle w:val="Defstart"/>
      </w:pPr>
      <w:r>
        <w:rPr>
          <w:b/>
        </w:rPr>
        <w:tab/>
      </w:r>
      <w:r>
        <w:rPr>
          <w:rStyle w:val="CharDefText"/>
        </w:rPr>
        <w:t>minor fund raising activity</w:t>
      </w:r>
      <w:r>
        <w:t xml:space="preserve"> means an activity to which section 108 applies;</w:t>
      </w:r>
    </w:p>
    <w:p>
      <w:pPr>
        <w:pStyle w:val="Defstart"/>
      </w:pPr>
      <w:r>
        <w:rPr>
          <w:b/>
        </w:rPr>
        <w:tab/>
      </w:r>
      <w:r>
        <w:rPr>
          <w:rStyle w:val="CharDefText"/>
        </w:rPr>
        <w:t>money</w:t>
      </w:r>
      <w:r>
        <w:t xml:space="preserve"> includes any bank note, postal note, cheque, credit card, debit card, security or authority for money or the payment of money;</w:t>
      </w:r>
    </w:p>
    <w:p>
      <w:pPr>
        <w:pStyle w:val="Defstart"/>
      </w:pPr>
      <w:r>
        <w:rPr>
          <w:b/>
        </w:rPr>
        <w:tab/>
      </w:r>
      <w:r>
        <w:rPr>
          <w:rStyle w:val="CharDefText"/>
        </w:rPr>
        <w:t>multiple bingo</w:t>
      </w:r>
      <w:r>
        <w:t xml:space="preserve"> means bingo of the kind referred to in section 96(4);</w:t>
      </w:r>
    </w:p>
    <w:p>
      <w:pPr>
        <w:pStyle w:val="Defstart"/>
      </w:pPr>
      <w:r>
        <w:rPr>
          <w:b/>
        </w:rPr>
        <w:tab/>
      </w:r>
      <w:r>
        <w:rPr>
          <w:rStyle w:val="CharDefText"/>
        </w:rPr>
        <w:t>occupier</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r>
      <w:r>
        <w:rPr>
          <w:rStyle w:val="CharDefText"/>
        </w:rPr>
        <w:t>owner</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r>
      <w:r>
        <w:rPr>
          <w:rStyle w:val="CharDefText"/>
        </w:rPr>
        <w:t>permit</w:t>
      </w:r>
      <w:r>
        <w:t xml:space="preserve"> or </w:t>
      </w:r>
      <w:r>
        <w:rPr>
          <w:rStyle w:val="CharDefText"/>
        </w:rPr>
        <w:t>gaming permit</w:t>
      </w:r>
      <w:r>
        <w:t xml:space="preserve"> means a permit issued under this Act;</w:t>
      </w:r>
    </w:p>
    <w:p>
      <w:pPr>
        <w:pStyle w:val="Defstart"/>
      </w:pPr>
      <w:r>
        <w:rPr>
          <w:b/>
        </w:rPr>
        <w:tab/>
      </w:r>
      <w:r>
        <w:rPr>
          <w:rStyle w:val="CharDefText"/>
        </w:rPr>
        <w:t>permit holder</w:t>
      </w:r>
      <w:r>
        <w:t xml:space="preserve"> means a person to whom or which a permit is issued;</w:t>
      </w:r>
    </w:p>
    <w:p>
      <w:pPr>
        <w:pStyle w:val="Defstart"/>
        <w:keepNext/>
      </w:pPr>
      <w:r>
        <w:rPr>
          <w:b/>
        </w:rPr>
        <w:tab/>
      </w:r>
      <w:r>
        <w:rPr>
          <w:rStyle w:val="CharDefText"/>
        </w:rPr>
        <w:t>permitted amusement with prizes</w:t>
      </w:r>
      <w:r>
        <w:t xml:space="preserve"> means an amusement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r>
      <w:r>
        <w:rPr>
          <w:rStyle w:val="CharDefText"/>
        </w:rPr>
        <w:t>permitted bingo</w:t>
      </w:r>
      <w:r>
        <w:t xml:space="preserve"> means bingo conducted under, and which does not contravene, Part V Division 6;</w:t>
      </w:r>
    </w:p>
    <w:p>
      <w:pPr>
        <w:pStyle w:val="Defstart"/>
      </w:pPr>
      <w:r>
        <w:rPr>
          <w:b/>
        </w:rPr>
        <w:tab/>
      </w:r>
      <w:r>
        <w:rPr>
          <w:rStyle w:val="CharDefText"/>
        </w:rPr>
        <w:t>permitted gaming</w:t>
      </w:r>
      <w:r>
        <w:t xml:space="preserve"> means gaming which is conducted under, and in all respects in accordance with, a permit;</w:t>
      </w:r>
    </w:p>
    <w:p>
      <w:pPr>
        <w:pStyle w:val="Defstart"/>
      </w:pPr>
      <w:r>
        <w:rPr>
          <w:b/>
        </w:rPr>
        <w:tab/>
      </w:r>
      <w:r>
        <w:rPr>
          <w:rStyle w:val="CharDefText"/>
        </w:rPr>
        <w:t>permitted lottery</w:t>
      </w:r>
      <w:r>
        <w:t xml:space="preserve"> means a lottery conducted under and which does not contravene Part V Division 7;</w:t>
      </w:r>
    </w:p>
    <w:p>
      <w:pPr>
        <w:pStyle w:val="Defstart"/>
      </w:pPr>
      <w:r>
        <w:rPr>
          <w:b/>
        </w:rPr>
        <w:tab/>
      </w:r>
      <w:r>
        <w:rPr>
          <w:rStyle w:val="CharDefText"/>
        </w:rPr>
        <w:t>permitted two</w:t>
      </w:r>
      <w:r>
        <w:rPr>
          <w:rStyle w:val="CharDefText"/>
        </w:rPr>
        <w:noBreakHyphen/>
        <w:t>up</w:t>
      </w:r>
      <w:r>
        <w:t xml:space="preserve"> means two</w:t>
      </w:r>
      <w:r>
        <w:noBreakHyphen/>
        <w:t>up gaming conducted under, and which does not contravene, Part V Division 4;</w:t>
      </w:r>
    </w:p>
    <w:p>
      <w:pPr>
        <w:pStyle w:val="Defstart"/>
        <w:keepNext/>
      </w:pPr>
      <w:r>
        <w:rPr>
          <w:b/>
        </w:rPr>
        <w:tab/>
      </w:r>
      <w:r>
        <w:rPr>
          <w:rStyle w:val="CharDefText"/>
        </w:rPr>
        <w:t>player</w:t>
      </w:r>
      <w:r>
        <w:t>, in relation to a game of chance, includes any person taking part in the game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r>
      <w:r>
        <w:rPr>
          <w:rStyle w:val="CharDefText"/>
        </w:rPr>
        <w:t>playing</w:t>
      </w:r>
      <w:r>
        <w:t xml:space="preserve"> includes operating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r>
      <w:r>
        <w:rPr>
          <w:rStyle w:val="CharDefText"/>
        </w:rPr>
        <w:t>premises</w:t>
      </w:r>
      <w:r>
        <w:t xml:space="preserve"> means any place, whether or not enclosed or otherwise defined by boundaries, and includes any land, building, structure, vehicle, railway vehicle, vessel, or aircraft, or any part thereof;</w:t>
      </w:r>
    </w:p>
    <w:p>
      <w:pPr>
        <w:pStyle w:val="Defstart"/>
      </w:pPr>
      <w:r>
        <w:rPr>
          <w:b/>
        </w:rPr>
        <w:tab/>
      </w:r>
      <w:r>
        <w:rPr>
          <w:rStyle w:val="CharDefText"/>
        </w:rPr>
        <w:t>public place</w:t>
      </w:r>
      <w:r>
        <w:t xml:space="preserve"> includes the doorways or entrances abutting upon, or any ground adjoining and open to, such a place;</w:t>
      </w:r>
    </w:p>
    <w:p>
      <w:pPr>
        <w:pStyle w:val="Defstart"/>
      </w:pPr>
      <w:r>
        <w:rPr>
          <w:b/>
        </w:rPr>
        <w:tab/>
      </w:r>
      <w:r>
        <w:rPr>
          <w:rStyle w:val="CharDefText"/>
        </w:rPr>
        <w:t>race</w:t>
      </w:r>
      <w:r>
        <w:t xml:space="preserve"> means a race of any kind by horses, whether ridden or driven, or by greyhounds;</w:t>
      </w:r>
    </w:p>
    <w:p>
      <w:pPr>
        <w:pStyle w:val="Defstart"/>
      </w:pPr>
      <w:r>
        <w:rPr>
          <w:b/>
        </w:rPr>
        <w:tab/>
      </w:r>
      <w:r>
        <w:rPr>
          <w:rStyle w:val="CharDefText"/>
        </w:rPr>
        <w:t>race club</w:t>
      </w:r>
      <w:r>
        <w:t xml:space="preserve"> means a body which conducts race meetings;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related furnishings</w:t>
      </w:r>
      <w:r>
        <w:t xml:space="preserve"> means any furniture or furnishings or equipment used in, or ancillary to, the conduct of a common gaming house;</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rPr>
          <w:b/>
        </w:rPr>
        <w:tab/>
      </w:r>
      <w:r>
        <w:rPr>
          <w:rStyle w:val="CharDefText"/>
        </w:rPr>
        <w:t>simultaneous bingo</w:t>
      </w:r>
      <w:r>
        <w:t xml:space="preserve"> means bingo played in the circumstances referred to in section 97(1);</w:t>
      </w:r>
    </w:p>
    <w:p>
      <w:pPr>
        <w:pStyle w:val="Defstart"/>
      </w:pPr>
      <w:r>
        <w:rPr>
          <w:b/>
        </w:rPr>
        <w:tab/>
      </w:r>
      <w:r>
        <w:rPr>
          <w:rStyle w:val="CharDefText"/>
        </w:rPr>
        <w:t>social gambling</w:t>
      </w:r>
      <w:r>
        <w:t xml:space="preserve"> means gambling of a kind which by the operation of Part V Division 2 is to be taken to constitute social gambling;</w:t>
      </w:r>
    </w:p>
    <w:p>
      <w:pPr>
        <w:pStyle w:val="Defstart"/>
        <w:keepNext/>
      </w:pPr>
      <w:r>
        <w:rPr>
          <w:b/>
        </w:rPr>
        <w:tab/>
      </w:r>
      <w:r>
        <w:rPr>
          <w:rStyle w:val="CharDefText"/>
        </w:rPr>
        <w:t>token</w:t>
      </w:r>
      <w:r>
        <w:t xml:space="preserve"> means a gaming chip or other substitute for money which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r>
      <w:r>
        <w:rPr>
          <w:rStyle w:val="CharDefText"/>
        </w:rPr>
        <w:t>trade promotion lottery</w:t>
      </w:r>
      <w:r>
        <w:t xml:space="preserve"> means a lottery conducted to promote the sale of goods or the use of services, in which every participant takes part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rStyle w:val="CharDefText"/>
        </w:rPr>
        <w:t>two</w:t>
      </w:r>
      <w:r>
        <w:rPr>
          <w:rStyle w:val="CharDefText"/>
        </w:rPr>
        <w:noBreakHyphen/>
        <w:t>up</w:t>
      </w:r>
      <w:r>
        <w:t xml:space="preserve"> means two</w:t>
      </w:r>
      <w:r>
        <w:noBreakHyphen/>
        <w:t>up gaming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r>
      <w:r>
        <w:rPr>
          <w:rStyle w:val="CharDefText"/>
        </w:rPr>
        <w:t>unlawful game</w:t>
      </w:r>
      <w:r>
        <w:t xml:space="preserve"> means a game to which section 42(2) applies;</w:t>
      </w:r>
    </w:p>
    <w:p>
      <w:pPr>
        <w:pStyle w:val="Defstart"/>
      </w:pPr>
      <w:r>
        <w:rPr>
          <w:b/>
        </w:rPr>
        <w:tab/>
      </w:r>
      <w:r>
        <w:rPr>
          <w:rStyle w:val="CharDefText"/>
        </w:rPr>
        <w:t>vehicle</w:t>
      </w:r>
      <w:r>
        <w:t xml:space="preserve"> includes every description of vehicle, whether stationary or in motion;</w:t>
      </w:r>
    </w:p>
    <w:p>
      <w:pPr>
        <w:pStyle w:val="Defstart"/>
      </w:pPr>
      <w:r>
        <w:rPr>
          <w:b/>
        </w:rPr>
        <w:tab/>
      </w:r>
      <w:r>
        <w:rPr>
          <w:rStyle w:val="CharDefText"/>
        </w:rPr>
        <w:t>vessel</w:t>
      </w:r>
      <w:r>
        <w:t xml:space="preserve"> includes every description of craft used in navigation;</w:t>
      </w:r>
    </w:p>
    <w:p>
      <w:pPr>
        <w:pStyle w:val="Defstart"/>
      </w:pPr>
      <w:r>
        <w:rPr>
          <w:b/>
        </w:rPr>
        <w:tab/>
      </w:r>
      <w:r>
        <w:rPr>
          <w:rStyle w:val="CharDefText"/>
        </w:rPr>
        <w:t>wagering</w:t>
      </w:r>
      <w:r>
        <w:t xml:space="preserve"> includes the staking or hazarding of money or other value —</w:t>
      </w:r>
    </w:p>
    <w:p>
      <w:pPr>
        <w:pStyle w:val="Defpara"/>
      </w:pPr>
      <w:r>
        <w:tab/>
        <w:t>(a)</w:t>
      </w:r>
      <w:r>
        <w:tab/>
        <w:t>on some question to be decided; or</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t>and the collection or payment of winnings on a wager;</w:t>
      </w:r>
    </w:p>
    <w:p>
      <w:pPr>
        <w:pStyle w:val="Defstart"/>
      </w:pPr>
      <w:r>
        <w:rPr>
          <w:b/>
        </w:rPr>
        <w:tab/>
      </w:r>
      <w:r>
        <w:rPr>
          <w:rStyle w:val="CharDefText"/>
        </w:rPr>
        <w:t>winnings</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For the purposes of this Act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For removal of doubt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[Section 3 amended by No. 16 of 1990 s. 33; No. 14 of 1996 s. 4; No. 24 of 1998 s. 33; No. 6 of 2000 s. 9; No. 35 of 2003 s. 123, 166 and 167.]</w:t>
      </w:r>
    </w:p>
    <w:p>
      <w:pPr>
        <w:pStyle w:val="Heading2"/>
      </w:pPr>
      <w:bookmarkStart w:id="16" w:name="_Toc402969350"/>
      <w:bookmarkStart w:id="17" w:name="_Toc406075159"/>
      <w:bookmarkStart w:id="18" w:name="_Toc406075600"/>
      <w:bookmarkStart w:id="19" w:name="_Toc406079823"/>
      <w:bookmarkStart w:id="20" w:name="_Toc418677643"/>
      <w:bookmarkStart w:id="21" w:name="_Toc418677795"/>
      <w:bookmarkStart w:id="22" w:name="_Toc423529576"/>
      <w:r>
        <w:rPr>
          <w:rStyle w:val="CharPartNo"/>
        </w:rPr>
        <w:t>Part II</w:t>
      </w:r>
      <w:r>
        <w:t> — </w:t>
      </w:r>
      <w:r>
        <w:rPr>
          <w:rStyle w:val="CharPartText"/>
        </w:rPr>
        <w:t>The Commission</w:t>
      </w:r>
      <w:bookmarkEnd w:id="16"/>
      <w:bookmarkEnd w:id="17"/>
      <w:bookmarkEnd w:id="18"/>
      <w:bookmarkEnd w:id="19"/>
      <w:bookmarkEnd w:id="20"/>
      <w:bookmarkEnd w:id="21"/>
      <w:bookmarkEnd w:id="22"/>
    </w:p>
    <w:p>
      <w:pPr>
        <w:pStyle w:val="Heading3"/>
      </w:pPr>
      <w:bookmarkStart w:id="23" w:name="_Toc402969351"/>
      <w:bookmarkStart w:id="24" w:name="_Toc406075160"/>
      <w:bookmarkStart w:id="25" w:name="_Toc406075601"/>
      <w:bookmarkStart w:id="26" w:name="_Toc406079824"/>
      <w:bookmarkStart w:id="27" w:name="_Toc418677644"/>
      <w:bookmarkStart w:id="28" w:name="_Toc418677796"/>
      <w:bookmarkStart w:id="29" w:name="_Toc423529577"/>
      <w:r>
        <w:rPr>
          <w:rStyle w:val="CharDivNo"/>
        </w:rPr>
        <w:t>Division 1</w:t>
      </w:r>
      <w:r>
        <w:rPr>
          <w:snapToGrid w:val="0"/>
        </w:rPr>
        <w:t> — </w:t>
      </w:r>
      <w:r>
        <w:rPr>
          <w:rStyle w:val="CharDivText"/>
        </w:rPr>
        <w:t>Administration</w:t>
      </w:r>
      <w:bookmarkEnd w:id="23"/>
      <w:bookmarkEnd w:id="24"/>
      <w:bookmarkEnd w:id="25"/>
      <w:bookmarkEnd w:id="26"/>
      <w:bookmarkEnd w:id="27"/>
      <w:bookmarkEnd w:id="28"/>
      <w:bookmarkEnd w:id="29"/>
    </w:p>
    <w:p>
      <w:pPr>
        <w:pStyle w:val="Heading5"/>
        <w:rPr>
          <w:snapToGrid w:val="0"/>
        </w:rPr>
      </w:pPr>
      <w:bookmarkStart w:id="30" w:name="_Toc406079825"/>
      <w:bookmarkStart w:id="31" w:name="_Toc423529578"/>
      <w:r>
        <w:rPr>
          <w:rStyle w:val="CharSectno"/>
        </w:rPr>
        <w:t>4</w:t>
      </w:r>
      <w:r>
        <w:rPr>
          <w:snapToGrid w:val="0"/>
        </w:rPr>
        <w:t>.</w:t>
      </w:r>
      <w:r>
        <w:rPr>
          <w:snapToGrid w:val="0"/>
        </w:rPr>
        <w:tab/>
        <w:t>Gaming and Wagering Commission established</w:t>
      </w:r>
      <w:bookmarkEnd w:id="30"/>
      <w:bookmarkEnd w:id="31"/>
    </w:p>
    <w:p>
      <w:pPr>
        <w:pStyle w:val="Subsection"/>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w:t>
      </w:r>
    </w:p>
    <w:p>
      <w:pPr>
        <w:pStyle w:val="Indenta"/>
        <w:spacing w:before="70"/>
        <w:rPr>
          <w:snapToGrid w:val="0"/>
        </w:rPr>
      </w:pPr>
      <w:r>
        <w:rPr>
          <w:snapToGrid w:val="0"/>
        </w:rPr>
        <w:tab/>
        <w:t>(a)</w:t>
      </w:r>
      <w:r>
        <w:rPr>
          <w:snapToGrid w:val="0"/>
        </w:rPr>
        <w:tab/>
        <w:t>is a corporate body which under its corporate name —</w:t>
      </w:r>
    </w:p>
    <w:p>
      <w:pPr>
        <w:pStyle w:val="Indenti"/>
        <w:spacing w:before="70"/>
        <w:rPr>
          <w:snapToGrid w:val="0"/>
        </w:rPr>
      </w:pPr>
      <w:r>
        <w:rPr>
          <w:snapToGrid w:val="0"/>
        </w:rPr>
        <w:tab/>
        <w:t>(i)</w:t>
      </w:r>
      <w:r>
        <w:rPr>
          <w:snapToGrid w:val="0"/>
        </w:rPr>
        <w:tab/>
        <w:t>has perpetual succession; and</w:t>
      </w:r>
    </w:p>
    <w:p>
      <w:pPr>
        <w:pStyle w:val="Indenti"/>
        <w:spacing w:before="70"/>
        <w:rPr>
          <w:snapToGrid w:val="0"/>
        </w:rPr>
      </w:pPr>
      <w:r>
        <w:rPr>
          <w:snapToGrid w:val="0"/>
        </w:rPr>
        <w:tab/>
        <w:t>(ii)</w:t>
      </w:r>
      <w:r>
        <w:rPr>
          <w:snapToGrid w:val="0"/>
        </w:rPr>
        <w:tab/>
        <w:t>is capable, subject to this Act, of doing and suffering all that bodies corporate may lawfully do or suffer;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may have a common seal, which shall —</w:t>
      </w:r>
    </w:p>
    <w:p>
      <w:pPr>
        <w:pStyle w:val="Indenti"/>
        <w:spacing w:before="70"/>
        <w:rPr>
          <w:snapToGrid w:val="0"/>
        </w:rPr>
      </w:pPr>
      <w:r>
        <w:rPr>
          <w:snapToGrid w:val="0"/>
        </w:rPr>
        <w:tab/>
        <w:t>(i)</w:t>
      </w:r>
      <w:r>
        <w:rPr>
          <w:snapToGrid w:val="0"/>
        </w:rPr>
        <w:tab/>
        <w:t>be kept in such custody as the Commission directs; and</w:t>
      </w:r>
    </w:p>
    <w:p>
      <w:pPr>
        <w:pStyle w:val="Indenti"/>
        <w:spacing w:before="70"/>
        <w:rPr>
          <w:snapToGrid w:val="0"/>
        </w:rPr>
      </w:pPr>
      <w:r>
        <w:rPr>
          <w:snapToGrid w:val="0"/>
        </w:rPr>
        <w:tab/>
        <w:t>(ii)</w:t>
      </w:r>
      <w:r>
        <w:rPr>
          <w:snapToGrid w:val="0"/>
        </w:rPr>
        <w:tab/>
        <w:t>be used only as authorised by the Commission;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shall be constituted in accordance with section 12.</w:t>
      </w:r>
    </w:p>
    <w:p>
      <w:pPr>
        <w:pStyle w:val="Footnotesection"/>
      </w:pPr>
      <w:r>
        <w:tab/>
        <w:t>[Section 4 amended by No. 35 of 2003 s. 124.]</w:t>
      </w:r>
    </w:p>
    <w:p>
      <w:pPr>
        <w:pStyle w:val="Heading5"/>
        <w:spacing w:before="160"/>
        <w:rPr>
          <w:snapToGrid w:val="0"/>
        </w:rPr>
      </w:pPr>
      <w:bookmarkStart w:id="32" w:name="_Toc406079826"/>
      <w:bookmarkStart w:id="33" w:name="_Toc423529579"/>
      <w:r>
        <w:rPr>
          <w:rStyle w:val="CharSectno"/>
        </w:rPr>
        <w:t>5</w:t>
      </w:r>
      <w:r>
        <w:rPr>
          <w:snapToGrid w:val="0"/>
        </w:rPr>
        <w:t>.</w:t>
      </w:r>
      <w:r>
        <w:rPr>
          <w:snapToGrid w:val="0"/>
        </w:rPr>
        <w:tab/>
        <w:t>Trading name or symbol, use of by Commission</w:t>
      </w:r>
      <w:bookmarkEnd w:id="32"/>
      <w:bookmarkEnd w:id="33"/>
    </w:p>
    <w:p>
      <w:pPr>
        <w:pStyle w:val="Subsection"/>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rPr>
          <w:snapToGrid w:val="0"/>
        </w:rPr>
      </w:pPr>
      <w:bookmarkStart w:id="34" w:name="_Toc406079827"/>
      <w:bookmarkStart w:id="35" w:name="_Toc423529580"/>
      <w:r>
        <w:rPr>
          <w:rStyle w:val="CharSectno"/>
        </w:rPr>
        <w:t>6</w:t>
      </w:r>
      <w:r>
        <w:rPr>
          <w:snapToGrid w:val="0"/>
        </w:rPr>
        <w:t>.</w:t>
      </w:r>
      <w:r>
        <w:rPr>
          <w:snapToGrid w:val="0"/>
        </w:rPr>
        <w:tab/>
        <w:t>Minister and Commission, relationship between</w:t>
      </w:r>
      <w:bookmarkEnd w:id="34"/>
      <w:bookmarkEnd w:id="35"/>
      <w:r>
        <w:rPr>
          <w:snapToGrid w:val="0"/>
        </w:rPr>
        <w:t xml:space="preserve"> </w:t>
      </w:r>
    </w:p>
    <w:p>
      <w:pPr>
        <w:pStyle w:val="Subsection"/>
        <w:rPr>
          <w:snapToGrid w:val="0"/>
        </w:rPr>
      </w:pPr>
      <w:r>
        <w:rPr>
          <w:snapToGrid w:val="0"/>
        </w:rPr>
        <w:tab/>
        <w:t>(1)</w:t>
      </w:r>
      <w:r>
        <w:rPr>
          <w:snapToGrid w:val="0"/>
        </w:rPr>
        <w:tab/>
        <w:t>Subject to the Minister, it shall be the function of the Commission to carry out the administration of this Act.</w:t>
      </w:r>
    </w:p>
    <w:p>
      <w:pPr>
        <w:pStyle w:val="Subsection"/>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[Section 6 amended by No. 16 of 1990 s. 33; No. 35 of 2003 s. 125 and 166.]</w:t>
      </w:r>
    </w:p>
    <w:p>
      <w:pPr>
        <w:pStyle w:val="Heading3"/>
      </w:pPr>
      <w:bookmarkStart w:id="36" w:name="_Toc402969355"/>
      <w:bookmarkStart w:id="37" w:name="_Toc406075164"/>
      <w:bookmarkStart w:id="38" w:name="_Toc406075605"/>
      <w:bookmarkStart w:id="39" w:name="_Toc406079828"/>
      <w:bookmarkStart w:id="40" w:name="_Toc418677648"/>
      <w:bookmarkStart w:id="41" w:name="_Toc418677800"/>
      <w:bookmarkStart w:id="42" w:name="_Toc423529581"/>
      <w:r>
        <w:rPr>
          <w:rStyle w:val="CharDivNo"/>
        </w:rPr>
        <w:t>Division 2</w:t>
      </w:r>
      <w:r>
        <w:rPr>
          <w:snapToGrid w:val="0"/>
        </w:rPr>
        <w:t> — </w:t>
      </w:r>
      <w:r>
        <w:rPr>
          <w:rStyle w:val="CharDivText"/>
        </w:rPr>
        <w:t>Duties and powers</w:t>
      </w:r>
      <w:bookmarkEnd w:id="36"/>
      <w:bookmarkEnd w:id="37"/>
      <w:bookmarkEnd w:id="38"/>
      <w:bookmarkEnd w:id="39"/>
      <w:bookmarkEnd w:id="40"/>
      <w:bookmarkEnd w:id="41"/>
      <w:bookmarkEnd w:id="42"/>
    </w:p>
    <w:p>
      <w:pPr>
        <w:pStyle w:val="Heading5"/>
        <w:rPr>
          <w:snapToGrid w:val="0"/>
        </w:rPr>
      </w:pPr>
      <w:bookmarkStart w:id="43" w:name="_Toc406079829"/>
      <w:bookmarkStart w:id="44" w:name="_Toc423529582"/>
      <w:r>
        <w:rPr>
          <w:rStyle w:val="CharSectno"/>
        </w:rPr>
        <w:t>7</w:t>
      </w:r>
      <w:r>
        <w:rPr>
          <w:snapToGrid w:val="0"/>
        </w:rPr>
        <w:t>.</w:t>
      </w:r>
      <w:r>
        <w:rPr>
          <w:snapToGrid w:val="0"/>
        </w:rPr>
        <w:tab/>
        <w:t>Duties of Commission</w:t>
      </w:r>
      <w:bookmarkEnd w:id="43"/>
      <w:bookmarkEnd w:id="44"/>
    </w:p>
    <w:p>
      <w:pPr>
        <w:pStyle w:val="Subsection"/>
        <w:rPr>
          <w:snapToGrid w:val="0"/>
        </w:rPr>
      </w:pPr>
      <w:r>
        <w:rPr>
          <w:snapToGrid w:val="0"/>
        </w:rPr>
        <w:tab/>
        <w:t>(1)</w:t>
      </w:r>
      <w:r>
        <w:rPr>
          <w:snapToGrid w:val="0"/>
        </w:rPr>
        <w:tab/>
        <w:t>It shall be the duty of the Commission —</w:t>
      </w:r>
    </w:p>
    <w:p>
      <w:pPr>
        <w:pStyle w:val="Indenta"/>
        <w:rPr>
          <w:snapToGrid w:val="0"/>
        </w:rPr>
      </w:pPr>
      <w:r>
        <w:rPr>
          <w:snapToGrid w:val="0"/>
        </w:rPr>
        <w:tab/>
        <w:t>(a)</w:t>
      </w:r>
      <w:r>
        <w:rPr>
          <w:snapToGrid w:val="0"/>
        </w:rPr>
        <w:tab/>
        <w:t>to administer the law relating to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r>
      <w:r>
        <w:tab/>
        <w:t>and</w:t>
      </w:r>
    </w:p>
    <w:p>
      <w:pPr>
        <w:pStyle w:val="Indenta"/>
        <w:keepNext/>
      </w:pPr>
      <w:r>
        <w:tab/>
        <w:t>(b)</w:t>
      </w:r>
      <w:r>
        <w:tab/>
        <w:t>to keep under review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r>
      <w:r>
        <w:tab/>
        <w:t>and</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 and</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 and</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 and</w:t>
      </w:r>
    </w:p>
    <w:p>
      <w:pPr>
        <w:pStyle w:val="Indenta"/>
      </w:pPr>
      <w:r>
        <w:tab/>
        <w:t>(da)</w:t>
      </w:r>
      <w:r>
        <w:tab/>
        <w:t>to perform the functions of the Commission prescribed by or under the RWWA Act and to administer all matters relating to those functions; and</w:t>
      </w:r>
    </w:p>
    <w:p>
      <w:pPr>
        <w:pStyle w:val="Indenta"/>
      </w:pPr>
      <w:r>
        <w:tab/>
        <w:t>(e)</w:t>
      </w:r>
      <w:r>
        <w:tab/>
        <w:t>to cause licences, permits, approvals, authorisations and certificates, as appropriate, to be issued in relation to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r>
      <w:r>
        <w:tab/>
        <w:t>and</w:t>
      </w:r>
    </w:p>
    <w:p>
      <w:pPr>
        <w:pStyle w:val="Indenta"/>
      </w:pPr>
      <w:r>
        <w:tab/>
        <w:t>(ea)</w:t>
      </w:r>
      <w:r>
        <w:tab/>
        <w:t>to administer a scheme for the collection and verification of the payments of bookmakers’ betting levy —</w:t>
      </w:r>
    </w:p>
    <w:p>
      <w:pPr>
        <w:pStyle w:val="Indenti"/>
      </w:pPr>
      <w:r>
        <w:tab/>
        <w:t>(i)</w:t>
      </w:r>
      <w:r>
        <w:tab/>
        <w:t xml:space="preserve">to be remitted under section 15(5)(b) of the </w:t>
      </w:r>
      <w:r>
        <w:rPr>
          <w:i/>
        </w:rPr>
        <w:t>Betting Control Act 1954</w:t>
      </w:r>
      <w:r>
        <w:t>; or</w:t>
      </w:r>
    </w:p>
    <w:p>
      <w:pPr>
        <w:pStyle w:val="Indenti"/>
        <w:keepNext/>
      </w:pPr>
      <w:r>
        <w:tab/>
        <w:t>(ii)</w:t>
      </w:r>
      <w:r>
        <w:tab/>
        <w:t xml:space="preserve">deliverable under section 16(3)(c) of the </w:t>
      </w:r>
      <w:r>
        <w:rPr>
          <w:i/>
        </w:rPr>
        <w:t>Betting Control Act 1954</w:t>
      </w:r>
      <w:r>
        <w:t>,</w:t>
      </w:r>
    </w:p>
    <w:p>
      <w:pPr>
        <w:pStyle w:val="Indenta"/>
      </w:pPr>
      <w:r>
        <w:tab/>
      </w:r>
      <w:r>
        <w:tab/>
        <w:t xml:space="preserve">together with any additional levy payable under section 18B of that Act, and subject to section 110A of this Act, to cause to be paid into the </w:t>
      </w:r>
      <w:r>
        <w:rPr>
          <w:snapToGrid w:val="0"/>
        </w:rPr>
        <w:t>Consolidated Account</w:t>
      </w:r>
      <w:r>
        <w:t xml:space="preserve"> all such moneys as are received by the Commission; and</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 and</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 and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by No. 35 of 2003 s. 126 and 166; No. 77 of 2006 s. 4.]</w:t>
      </w:r>
    </w:p>
    <w:p>
      <w:pPr>
        <w:pStyle w:val="Heading5"/>
        <w:rPr>
          <w:snapToGrid w:val="0"/>
        </w:rPr>
      </w:pPr>
      <w:bookmarkStart w:id="45" w:name="_Toc406079830"/>
      <w:bookmarkStart w:id="46" w:name="_Toc423529583"/>
      <w:r>
        <w:rPr>
          <w:rStyle w:val="CharSectno"/>
        </w:rPr>
        <w:t>8</w:t>
      </w:r>
      <w:r>
        <w:rPr>
          <w:snapToGrid w:val="0"/>
        </w:rPr>
        <w:t>.</w:t>
      </w:r>
      <w:r>
        <w:rPr>
          <w:snapToGrid w:val="0"/>
        </w:rPr>
        <w:tab/>
        <w:t>Powers of Commission</w:t>
      </w:r>
      <w:bookmarkEnd w:id="45"/>
      <w:bookmarkEnd w:id="46"/>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keepNext/>
        <w:keepLines/>
        <w:rPr>
          <w:snapToGrid w:val="0"/>
        </w:rPr>
      </w:pPr>
      <w:r>
        <w:rPr>
          <w:snapToGrid w:val="0"/>
        </w:rPr>
        <w:tab/>
        <w:t>(2)</w:t>
      </w:r>
      <w:r>
        <w:rPr>
          <w:snapToGrid w:val="0"/>
        </w:rPr>
        <w:tab/>
        <w:t>Without derogating from the generality of subsection (1), the Commission may —</w:t>
      </w:r>
    </w:p>
    <w:p>
      <w:pPr>
        <w:pStyle w:val="Indenta"/>
        <w:keepLines/>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 and</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r>
        <w:rPr>
          <w:snapToGrid w:val="0"/>
        </w:rPr>
        <w:t xml:space="preserve"> and</w:t>
      </w:r>
    </w:p>
    <w:p>
      <w:pPr>
        <w:pStyle w:val="Indenta"/>
      </w:pPr>
      <w:r>
        <w:tab/>
        <w:t>(c)</w:t>
      </w:r>
      <w:r>
        <w:tab/>
        <w:t>formulate and impose prohibitions or conditions to be applicable to, or in relation to —</w:t>
      </w:r>
    </w:p>
    <w:p>
      <w:pPr>
        <w:pStyle w:val="Indenti"/>
      </w:pPr>
      <w:r>
        <w:tab/>
        <w:t>(i)</w:t>
      </w:r>
      <w:r>
        <w:tab/>
        <w:t>the conduct of gambling;</w:t>
      </w:r>
      <w:r>
        <w:rPr>
          <w:snapToGrid w:val="0"/>
        </w:rPr>
        <w:t xml:space="preserve"> and</w:t>
      </w:r>
    </w:p>
    <w:p>
      <w:pPr>
        <w:pStyle w:val="Indenti"/>
      </w:pPr>
      <w:r>
        <w:tab/>
        <w:t>(ii)</w:t>
      </w:r>
      <w:r>
        <w:tab/>
        <w:t>the types of wagering which may or may not be conducted;</w:t>
      </w:r>
      <w:r>
        <w:rPr>
          <w:snapToGrid w:val="0"/>
        </w:rPr>
        <w:t xml:space="preserve"> and</w:t>
      </w:r>
    </w:p>
    <w:p>
      <w:pPr>
        <w:pStyle w:val="Indenti"/>
      </w:pPr>
      <w:r>
        <w:tab/>
        <w:t>(iii)</w:t>
      </w:r>
      <w:r>
        <w:tab/>
        <w:t>the games which may or may not be played; and</w:t>
      </w:r>
    </w:p>
    <w:p>
      <w:pPr>
        <w:pStyle w:val="Indenti"/>
      </w:pPr>
      <w:r>
        <w:tab/>
        <w:t>(iv)</w:t>
      </w:r>
      <w:r>
        <w:tab/>
        <w:t>the rules under which wagering is to be conducted and games are to be played;</w:t>
      </w:r>
    </w:p>
    <w:p>
      <w:pPr>
        <w:pStyle w:val="Indenta"/>
      </w:pPr>
      <w:r>
        <w:tab/>
      </w:r>
      <w:r>
        <w:tab/>
        <w:t>and</w:t>
      </w:r>
    </w:p>
    <w:p>
      <w:pPr>
        <w:pStyle w:val="Indenta"/>
      </w:pPr>
      <w:r>
        <w:tab/>
        <w:t>(d)</w:t>
      </w:r>
      <w:r>
        <w:tab/>
        <w:t>grant or issue and amend or revoke —</w:t>
      </w:r>
    </w:p>
    <w:p>
      <w:pPr>
        <w:pStyle w:val="Indenti"/>
      </w:pPr>
      <w:r>
        <w:tab/>
        <w:t>(i)</w:t>
      </w:r>
      <w:r>
        <w:tab/>
        <w:t>approvals, permits, certificates and authorisations relating to gambling and the use of premises for gambling;</w:t>
      </w:r>
      <w:r>
        <w:rPr>
          <w:snapToGrid w:val="0"/>
        </w:rPr>
        <w:t xml:space="preserve"> and</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r>
        <w:rPr>
          <w:snapToGrid w:val="0"/>
        </w:rPr>
        <w:t xml:space="preserve"> and</w:t>
      </w:r>
    </w:p>
    <w:p>
      <w:pPr>
        <w:pStyle w:val="Indenti"/>
      </w:pPr>
      <w:r>
        <w:tab/>
        <w:t>(iv)</w:t>
      </w:r>
      <w:r>
        <w:tab/>
        <w:t>subject to the RWWA Act, licences under that Act relating to directors and key employees;</w:t>
      </w:r>
    </w:p>
    <w:p>
      <w:pPr>
        <w:pStyle w:val="Indenta"/>
      </w:pPr>
      <w:r>
        <w:tab/>
      </w:r>
      <w:r>
        <w:tab/>
        <w:t>and</w:t>
      </w:r>
    </w:p>
    <w:p>
      <w:pPr>
        <w:pStyle w:val="Indenta"/>
      </w:pPr>
      <w:r>
        <w:tab/>
        <w:t>(da)</w:t>
      </w:r>
      <w:r>
        <w:tab/>
        <w:t>take steps to minimise harm to the community, or any part of the community, caused by gambling;</w:t>
      </w:r>
      <w:r>
        <w:rPr>
          <w:snapToGrid w:val="0"/>
        </w:rPr>
        <w:t xml:space="preserve"> and</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by No. 35 of 2003 s. 127 and 166; No. 8 of 2009 s. 63.]</w:t>
      </w:r>
    </w:p>
    <w:p>
      <w:pPr>
        <w:pStyle w:val="Heading3"/>
        <w:spacing w:before="220"/>
      </w:pPr>
      <w:bookmarkStart w:id="47" w:name="_Toc402969358"/>
      <w:bookmarkStart w:id="48" w:name="_Toc406075167"/>
      <w:bookmarkStart w:id="49" w:name="_Toc406075608"/>
      <w:bookmarkStart w:id="50" w:name="_Toc406079831"/>
      <w:bookmarkStart w:id="51" w:name="_Toc418677651"/>
      <w:bookmarkStart w:id="52" w:name="_Toc418677803"/>
      <w:bookmarkStart w:id="53" w:name="_Toc423529584"/>
      <w:r>
        <w:rPr>
          <w:rStyle w:val="CharDivNo"/>
        </w:rPr>
        <w:t>Division 3</w:t>
      </w:r>
      <w:r>
        <w:rPr>
          <w:snapToGrid w:val="0"/>
        </w:rPr>
        <w:t> — </w:t>
      </w:r>
      <w:r>
        <w:rPr>
          <w:rStyle w:val="CharDivText"/>
        </w:rPr>
        <w:t>Finance</w:t>
      </w:r>
      <w:bookmarkEnd w:id="47"/>
      <w:bookmarkEnd w:id="48"/>
      <w:bookmarkEnd w:id="49"/>
      <w:bookmarkEnd w:id="50"/>
      <w:bookmarkEnd w:id="51"/>
      <w:bookmarkEnd w:id="52"/>
      <w:bookmarkEnd w:id="53"/>
    </w:p>
    <w:p>
      <w:pPr>
        <w:pStyle w:val="Heading5"/>
        <w:rPr>
          <w:snapToGrid w:val="0"/>
        </w:rPr>
      </w:pPr>
      <w:bookmarkStart w:id="54" w:name="_Toc406079832"/>
      <w:bookmarkStart w:id="55" w:name="_Toc423529585"/>
      <w:r>
        <w:rPr>
          <w:rStyle w:val="CharSectno"/>
        </w:rPr>
        <w:t>9</w:t>
      </w:r>
      <w:r>
        <w:rPr>
          <w:snapToGrid w:val="0"/>
        </w:rPr>
        <w:t>.</w:t>
      </w:r>
      <w:r>
        <w:rPr>
          <w:snapToGrid w:val="0"/>
        </w:rPr>
        <w:tab/>
        <w:t>Funds of Commission; financial provisions</w:t>
      </w:r>
      <w:bookmarkEnd w:id="54"/>
      <w:bookmarkEnd w:id="55"/>
    </w:p>
    <w:p>
      <w:pPr>
        <w:pStyle w:val="Subsection"/>
        <w:rPr>
          <w:snapToGrid w:val="0"/>
        </w:rPr>
      </w:pPr>
      <w:r>
        <w:rPr>
          <w:snapToGrid w:val="0"/>
        </w:rPr>
        <w:tab/>
        <w:t>(1)</w:t>
      </w:r>
      <w:r>
        <w:rPr>
          <w:snapToGrid w:val="0"/>
        </w:rPr>
        <w:tab/>
        <w:t>The funds available to the Commission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keepNext/>
        <w:spacing w:before="120"/>
      </w:pPr>
      <w:r>
        <w:tab/>
        <w:t>(2)</w:t>
      </w:r>
      <w:r>
        <w:tab/>
        <w:t>An account called the Gaming and Wagering Commission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r>
      <w:r>
        <w:tab/>
        <w:t>to which, subject to subsection (2a), the moneys received by the Commission are to be credited.</w:t>
      </w:r>
    </w:p>
    <w:p>
      <w:pPr>
        <w:pStyle w:val="Subsection"/>
      </w:pPr>
      <w:r>
        <w:tab/>
        <w:t>(2a)</w:t>
      </w:r>
      <w:r>
        <w:tab/>
        <w:t>The credit of moneys under subsection (2) is subject to the payment —</w:t>
      </w:r>
    </w:p>
    <w:p>
      <w:pPr>
        <w:pStyle w:val="Indenta"/>
        <w:spacing w:before="60"/>
      </w:pPr>
      <w:r>
        <w:tab/>
        <w:t>(a)</w:t>
      </w:r>
      <w:r>
        <w:tab/>
        <w:t xml:space="preserve">into the </w:t>
      </w:r>
      <w:r>
        <w:rPr>
          <w:snapToGrid w:val="0"/>
        </w:rPr>
        <w:t>Consolidated Account</w:t>
      </w:r>
      <w:r>
        <w:t xml:space="preserve"> in accordance with the scheme referred to in section 7(1)(ea); or</w:t>
      </w:r>
    </w:p>
    <w:p>
      <w:pPr>
        <w:pStyle w:val="Indenta"/>
        <w:keepNext/>
        <w:keepLines/>
        <w:spacing w:before="60"/>
      </w:pPr>
      <w:r>
        <w:tab/>
        <w:t>(b)</w:t>
      </w:r>
      <w:r>
        <w:tab/>
        <w:t>under section 110A(5),</w:t>
      </w:r>
    </w:p>
    <w:p>
      <w:pPr>
        <w:pStyle w:val="Subsection"/>
      </w:pPr>
      <w:r>
        <w:tab/>
      </w:r>
      <w:r>
        <w:tab/>
        <w:t>of any amount received by the Commission in respect of bookmakers’ betting levy.</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w:t>
      </w:r>
    </w:p>
    <w:p>
      <w:pPr>
        <w:pStyle w:val="Indenta"/>
        <w:spacing w:before="60"/>
        <w:rPr>
          <w:snapToGrid w:val="0"/>
        </w:rPr>
      </w:pPr>
      <w:r>
        <w:rPr>
          <w:snapToGrid w:val="0"/>
        </w:rPr>
        <w:tab/>
        <w:t>(a)</w:t>
      </w:r>
      <w:r>
        <w:rPr>
          <w:snapToGrid w:val="0"/>
        </w:rPr>
        <w:tab/>
        <w:t>be controlled by the Commission; and</w:t>
      </w:r>
    </w:p>
    <w:p>
      <w:pPr>
        <w:pStyle w:val="Indenta"/>
        <w:spacing w:before="60"/>
        <w:rPr>
          <w:snapToGrid w:val="0"/>
        </w:rPr>
      </w:pPr>
      <w:r>
        <w:rPr>
          <w:snapToGrid w:val="0"/>
        </w:rPr>
        <w:tab/>
        <w:t>(b)</w:t>
      </w:r>
      <w:r>
        <w:rPr>
          <w:snapToGrid w:val="0"/>
        </w:rPr>
        <w:tab/>
        <w:t>be operated in such manner as the Treasurer approves from time to time; and</w:t>
      </w:r>
    </w:p>
    <w:p>
      <w:pPr>
        <w:pStyle w:val="Indenta"/>
        <w:spacing w:before="60"/>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rPr>
          <w:snapToGrid w:val="0"/>
        </w:rPr>
      </w:pPr>
      <w:r>
        <w:rPr>
          <w:snapToGrid w:val="0"/>
        </w:rPr>
        <w:tab/>
      </w:r>
      <w:r>
        <w:rPr>
          <w:snapToGrid w:val="0"/>
        </w:rPr>
        <w:tab/>
        <w:t>and all expenditure incurred by the Commission shall be drawn from that Account.</w:t>
      </w:r>
    </w:p>
    <w:p>
      <w:pPr>
        <w:pStyle w:val="Subsection"/>
        <w:rPr>
          <w:snapToGrid w:val="0"/>
        </w:rPr>
      </w:pPr>
      <w:r>
        <w:rPr>
          <w:snapToGrid w:val="0"/>
        </w:rPr>
        <w:tab/>
        <w:t>(4)</w:t>
      </w:r>
      <w:r>
        <w:rPr>
          <w:snapToGrid w:val="0"/>
        </w:rPr>
        <w:tab/>
        <w:t>There shall be paid from the moneys from time to time credited to or placed to the credit of the Account —</w:t>
      </w:r>
    </w:p>
    <w:p>
      <w:pPr>
        <w:pStyle w:val="Indenta"/>
        <w:spacing w:before="60"/>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 and</w:t>
      </w:r>
    </w:p>
    <w:p>
      <w:pPr>
        <w:pStyle w:val="Indenta"/>
        <w:spacing w:before="60"/>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Account.</w:t>
      </w:r>
    </w:p>
    <w:p>
      <w:pPr>
        <w:pStyle w:val="Subsection"/>
        <w:rPr>
          <w:snapToGrid w:val="0"/>
        </w:rPr>
      </w:pPr>
      <w:r>
        <w:rPr>
          <w:snapToGrid w:val="0"/>
        </w:rPr>
        <w:tab/>
        <w:t>(5)</w:t>
      </w:r>
      <w:r>
        <w:rPr>
          <w:snapToGrid w:val="0"/>
        </w:rPr>
        <w:tab/>
        <w:t>The Commission shall pay to the Treasurer such amounts, if any, as are fixed by the Treasurer —</w:t>
      </w:r>
    </w:p>
    <w:p>
      <w:pPr>
        <w:pStyle w:val="Indenta"/>
        <w:rPr>
          <w:snapToGrid w:val="0"/>
        </w:rPr>
      </w:pPr>
      <w:r>
        <w:rPr>
          <w:snapToGrid w:val="0"/>
        </w:rPr>
        <w:tab/>
        <w:t>(a)</w:t>
      </w:r>
      <w:r>
        <w:rPr>
          <w:snapToGrid w:val="0"/>
        </w:rPr>
        <w:tab/>
        <w:t>as the interest and sinking fund contributions for each financial year in respect of such proportion of the Consolidated Account as is, or has been, applied for any purpose to which the function of the Commission relates; and</w:t>
      </w:r>
    </w:p>
    <w:p>
      <w:pPr>
        <w:pStyle w:val="Indenta"/>
        <w:keepNext/>
        <w:keepLines/>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ind w:left="890" w:hanging="890"/>
      </w:pPr>
      <w:r>
        <w:tab/>
        <w:t>[Section 9 amended by No. 6 of 1993 s. 11 and 15; No. 49 of 1996 s. 55 and 64; No. 24 of 1998 s. 34(1) and (2); No. 35 of 2003 s. 128 and 166; No. 28 of 2006 s. 402; No. 77 of 2006 s. 4 and Sch. 1 cl. 71(1).]</w:t>
      </w:r>
    </w:p>
    <w:p>
      <w:pPr>
        <w:pStyle w:val="Heading5"/>
        <w:rPr>
          <w:snapToGrid w:val="0"/>
        </w:rPr>
      </w:pPr>
      <w:bookmarkStart w:id="56" w:name="_Toc406079833"/>
      <w:bookmarkStart w:id="57" w:name="_Toc423529586"/>
      <w:r>
        <w:rPr>
          <w:rStyle w:val="CharSectno"/>
        </w:rPr>
        <w:t>10</w:t>
      </w:r>
      <w:r>
        <w:rPr>
          <w:snapToGrid w:val="0"/>
        </w:rPr>
        <w:t>.</w:t>
      </w:r>
      <w:r>
        <w:rPr>
          <w:snapToGrid w:val="0"/>
        </w:rPr>
        <w:tab/>
      </w:r>
      <w:r>
        <w:rPr>
          <w:i/>
          <w:iCs/>
        </w:rPr>
        <w:t>Financial Management Act 2006</w:t>
      </w:r>
      <w:r>
        <w:t xml:space="preserve"> and </w:t>
      </w:r>
      <w:r>
        <w:rPr>
          <w:i/>
          <w:iCs/>
        </w:rPr>
        <w:t>Auditor General Act 2006</w:t>
      </w:r>
      <w:r>
        <w:rPr>
          <w:iCs/>
        </w:rPr>
        <w:t xml:space="preserve"> apply to Commission</w:t>
      </w:r>
      <w:bookmarkEnd w:id="56"/>
      <w:bookmarkEnd w:id="5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10 amended by No. 77 of 2006 Sch. 1 cl. 71(2).]</w:t>
      </w:r>
    </w:p>
    <w:p>
      <w:pPr>
        <w:pStyle w:val="Heading5"/>
        <w:rPr>
          <w:snapToGrid w:val="0"/>
        </w:rPr>
      </w:pPr>
      <w:bookmarkStart w:id="58" w:name="_Toc406079834"/>
      <w:bookmarkStart w:id="59" w:name="_Toc423529587"/>
      <w:r>
        <w:rPr>
          <w:rStyle w:val="CharSectno"/>
        </w:rPr>
        <w:t>11</w:t>
      </w:r>
      <w:r>
        <w:rPr>
          <w:snapToGrid w:val="0"/>
        </w:rPr>
        <w:t>.</w:t>
      </w:r>
      <w:r>
        <w:rPr>
          <w:snapToGrid w:val="0"/>
        </w:rPr>
        <w:tab/>
        <w:t>Some dealings by Commission need Treasurer’s approval</w:t>
      </w:r>
      <w:bookmarkEnd w:id="58"/>
      <w:bookmarkEnd w:id="59"/>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pPr>
      <w:bookmarkStart w:id="60" w:name="_Toc402969362"/>
      <w:bookmarkStart w:id="61" w:name="_Toc406075171"/>
      <w:bookmarkStart w:id="62" w:name="_Toc406075612"/>
      <w:bookmarkStart w:id="63" w:name="_Toc406079835"/>
      <w:bookmarkStart w:id="64" w:name="_Toc418677655"/>
      <w:bookmarkStart w:id="65" w:name="_Toc418677807"/>
      <w:bookmarkStart w:id="66" w:name="_Toc423529588"/>
      <w:r>
        <w:rPr>
          <w:rStyle w:val="CharDivNo"/>
        </w:rPr>
        <w:t>Division 4</w:t>
      </w:r>
      <w:r>
        <w:rPr>
          <w:snapToGrid w:val="0"/>
        </w:rPr>
        <w:t> — </w:t>
      </w:r>
      <w:r>
        <w:rPr>
          <w:rStyle w:val="CharDivText"/>
        </w:rPr>
        <w:t>Membership, co</w:t>
      </w:r>
      <w:r>
        <w:rPr>
          <w:rStyle w:val="CharDivText"/>
        </w:rPr>
        <w:noBreakHyphen/>
        <w:t>option, consultation and committees</w:t>
      </w:r>
      <w:bookmarkEnd w:id="60"/>
      <w:bookmarkEnd w:id="61"/>
      <w:bookmarkEnd w:id="62"/>
      <w:bookmarkEnd w:id="63"/>
      <w:bookmarkEnd w:id="64"/>
      <w:bookmarkEnd w:id="65"/>
      <w:bookmarkEnd w:id="66"/>
    </w:p>
    <w:p>
      <w:pPr>
        <w:pStyle w:val="Heading5"/>
        <w:rPr>
          <w:snapToGrid w:val="0"/>
        </w:rPr>
      </w:pPr>
      <w:bookmarkStart w:id="67" w:name="_Toc406079836"/>
      <w:bookmarkStart w:id="68" w:name="_Toc423529589"/>
      <w:r>
        <w:rPr>
          <w:rStyle w:val="CharSectno"/>
        </w:rPr>
        <w:t>12</w:t>
      </w:r>
      <w:r>
        <w:rPr>
          <w:snapToGrid w:val="0"/>
        </w:rPr>
        <w:t>.</w:t>
      </w:r>
      <w:r>
        <w:rPr>
          <w:snapToGrid w:val="0"/>
        </w:rPr>
        <w:tab/>
        <w:t>Members of Commission, attendance at meetings etc.</w:t>
      </w:r>
      <w:bookmarkEnd w:id="67"/>
      <w:bookmarkEnd w:id="68"/>
    </w:p>
    <w:p>
      <w:pPr>
        <w:pStyle w:val="Subsection"/>
      </w:pPr>
      <w:r>
        <w:tab/>
        <w:t>(1)</w:t>
      </w:r>
      <w:r>
        <w:tab/>
        <w:t>The membership of the Commission shall comprise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w:t>
      </w:r>
    </w:p>
    <w:p>
      <w:pPr>
        <w:pStyle w:val="Indenta"/>
        <w:rPr>
          <w:snapToGrid w:val="0"/>
        </w:rPr>
      </w:pPr>
      <w:r>
        <w:rPr>
          <w:snapToGrid w:val="0"/>
        </w:rPr>
        <w:tab/>
        <w:t>(a)</w:t>
      </w:r>
      <w:r>
        <w:rPr>
          <w:snapToGrid w:val="0"/>
        </w:rPr>
        <w:tab/>
        <w:t xml:space="preserve">is an incapable person within the meaning of section 5 of the </w:t>
      </w:r>
      <w:r>
        <w:rPr>
          <w:i/>
          <w:snapToGrid w:val="0"/>
        </w:rPr>
        <w:t>Mental Health Act 1962</w:t>
      </w:r>
      <w:r>
        <w:rPr>
          <w:iCs/>
          <w:snapToGrid w:val="0"/>
          <w:vertAlign w:val="superscript"/>
        </w:rPr>
        <w:t> 2</w:t>
      </w:r>
      <w:r>
        <w:rPr>
          <w:snapToGrid w:val="0"/>
        </w:rPr>
        <w:t>; or</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[Section 12 amended by No. 16 of 1990 s. 33; No. 24 of 1998 s. 35; No. 10 of 2001 s. 85; No. 35 of 2003 s. 129 and 168.]</w:t>
      </w:r>
    </w:p>
    <w:p>
      <w:pPr>
        <w:pStyle w:val="Heading5"/>
        <w:rPr>
          <w:snapToGrid w:val="0"/>
        </w:rPr>
      </w:pPr>
      <w:bookmarkStart w:id="69" w:name="_Toc406079837"/>
      <w:bookmarkStart w:id="70" w:name="_Toc423529590"/>
      <w:r>
        <w:rPr>
          <w:rStyle w:val="CharSectno"/>
        </w:rPr>
        <w:t>13</w:t>
      </w:r>
      <w:r>
        <w:rPr>
          <w:snapToGrid w:val="0"/>
        </w:rPr>
        <w:t>.</w:t>
      </w:r>
      <w:r>
        <w:rPr>
          <w:snapToGrid w:val="0"/>
        </w:rPr>
        <w:tab/>
        <w:t>Remuneration of members; effect of service with Commission on public servants</w:t>
      </w:r>
      <w:bookmarkEnd w:id="69"/>
      <w:bookmarkEnd w:id="70"/>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w:t>
      </w:r>
      <w:r>
        <w:t xml:space="preserve"> Public Sector Commissioner</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[Section 13 amended by No. 32 of 1994 s. 19; No. 24 of 1998 s. 36; No. 39 of 2010 s. 89.]</w:t>
      </w:r>
    </w:p>
    <w:p>
      <w:pPr>
        <w:pStyle w:val="Heading5"/>
        <w:rPr>
          <w:snapToGrid w:val="0"/>
        </w:rPr>
      </w:pPr>
      <w:bookmarkStart w:id="71" w:name="_Toc406079838"/>
      <w:bookmarkStart w:id="72" w:name="_Toc423529591"/>
      <w:r>
        <w:rPr>
          <w:rStyle w:val="CharSectno"/>
        </w:rPr>
        <w:t>14</w:t>
      </w:r>
      <w:r>
        <w:rPr>
          <w:snapToGrid w:val="0"/>
        </w:rPr>
        <w:t>.</w:t>
      </w:r>
      <w:r>
        <w:rPr>
          <w:snapToGrid w:val="0"/>
        </w:rPr>
        <w:tab/>
        <w:t>Co</w:t>
      </w:r>
      <w:r>
        <w:rPr>
          <w:snapToGrid w:val="0"/>
        </w:rPr>
        <w:noBreakHyphen/>
        <w:t>option, consultation etc., Commission’s powers as to</w:t>
      </w:r>
      <w:bookmarkEnd w:id="71"/>
      <w:bookmarkEnd w:id="72"/>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73" w:name="_Toc406079839"/>
      <w:bookmarkStart w:id="74" w:name="_Toc423529592"/>
      <w:r>
        <w:rPr>
          <w:rStyle w:val="CharSectno"/>
        </w:rPr>
        <w:t>15</w:t>
      </w:r>
      <w:r>
        <w:rPr>
          <w:snapToGrid w:val="0"/>
        </w:rPr>
        <w:t>.</w:t>
      </w:r>
      <w:r>
        <w:rPr>
          <w:snapToGrid w:val="0"/>
        </w:rPr>
        <w:tab/>
        <w:t>Committees, appointment of etc.</w:t>
      </w:r>
      <w:bookmarkEnd w:id="73"/>
      <w:bookmarkEnd w:id="74"/>
    </w:p>
    <w:p>
      <w:pPr>
        <w:pStyle w:val="Subsection"/>
        <w:spacing w:before="130"/>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spacing w:before="130"/>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spacing w:before="130"/>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spacing w:before="130"/>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spacing w:before="80"/>
        <w:ind w:left="890" w:hanging="890"/>
      </w:pPr>
      <w:r>
        <w:tab/>
        <w:t>[Section 15 amended by No. 35 of 2003 s. 130.]</w:t>
      </w:r>
    </w:p>
    <w:p>
      <w:pPr>
        <w:pStyle w:val="Heading5"/>
        <w:spacing w:before="200"/>
        <w:rPr>
          <w:snapToGrid w:val="0"/>
        </w:rPr>
      </w:pPr>
      <w:bookmarkStart w:id="75" w:name="_Toc406079840"/>
      <w:bookmarkStart w:id="76" w:name="_Toc423529593"/>
      <w:r>
        <w:rPr>
          <w:rStyle w:val="CharSectno"/>
        </w:rPr>
        <w:t>16</w:t>
      </w:r>
      <w:r>
        <w:rPr>
          <w:snapToGrid w:val="0"/>
        </w:rPr>
        <w:t>.</w:t>
      </w:r>
      <w:r>
        <w:rPr>
          <w:snapToGrid w:val="0"/>
        </w:rPr>
        <w:tab/>
        <w:t>Delegation powers</w:t>
      </w:r>
      <w:bookmarkEnd w:id="75"/>
      <w:bookmarkEnd w:id="76"/>
    </w:p>
    <w:p>
      <w:pPr>
        <w:pStyle w:val="Subsection"/>
        <w:spacing w:before="140"/>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w:t>
      </w:r>
    </w:p>
    <w:p>
      <w:pPr>
        <w:pStyle w:val="Indenta"/>
        <w:spacing w:before="60"/>
        <w:rPr>
          <w:snapToGrid w:val="0"/>
        </w:rPr>
      </w:pPr>
      <w:r>
        <w:rPr>
          <w:snapToGrid w:val="0"/>
        </w:rPr>
        <w:tab/>
        <w:t>(a)</w:t>
      </w:r>
      <w:r>
        <w:rPr>
          <w:snapToGrid w:val="0"/>
        </w:rPr>
        <w:tab/>
        <w:t>a member or a committee of the Commission; or</w:t>
      </w:r>
    </w:p>
    <w:p>
      <w:pPr>
        <w:pStyle w:val="Indenta"/>
        <w:spacing w:before="60"/>
        <w:rPr>
          <w:snapToGrid w:val="0"/>
        </w:rPr>
      </w:pPr>
      <w:r>
        <w:rPr>
          <w:snapToGrid w:val="0"/>
        </w:rPr>
        <w:tab/>
        <w:t>(b)</w:t>
      </w:r>
      <w:r>
        <w:rPr>
          <w:snapToGrid w:val="0"/>
        </w:rPr>
        <w:tab/>
        <w:t>the Chief Casino Officer, or a government inspector; or</w:t>
      </w:r>
    </w:p>
    <w:p>
      <w:pPr>
        <w:pStyle w:val="Indenta"/>
        <w:spacing w:before="60"/>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spacing w:before="120"/>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government inspector</w:t>
      </w:r>
      <w:r>
        <w:t xml:space="preserve"> and </w:t>
      </w:r>
      <w:r>
        <w:rPr>
          <w:rStyle w:val="CharDefText"/>
        </w:rPr>
        <w:t>Chief Casino Officer</w:t>
      </w:r>
      <w:r>
        <w:t xml:space="preserve"> have the meanings given in the </w:t>
      </w:r>
      <w:r>
        <w:rPr>
          <w:i/>
        </w:rPr>
        <w:t>Casino Control Act 1984</w:t>
      </w:r>
      <w:r>
        <w:t>.</w:t>
      </w:r>
    </w:p>
    <w:p>
      <w:pPr>
        <w:pStyle w:val="Footnotesection"/>
      </w:pPr>
      <w:r>
        <w:tab/>
        <w:t>[Section 16 amended by No. 24 of 1998 s. 37; No. 35 of 2003 s. 131.]</w:t>
      </w:r>
    </w:p>
    <w:p>
      <w:pPr>
        <w:pStyle w:val="Heading3"/>
      </w:pPr>
      <w:bookmarkStart w:id="77" w:name="_Toc402969368"/>
      <w:bookmarkStart w:id="78" w:name="_Toc406075177"/>
      <w:bookmarkStart w:id="79" w:name="_Toc406075618"/>
      <w:bookmarkStart w:id="80" w:name="_Toc406079841"/>
      <w:bookmarkStart w:id="81" w:name="_Toc418677661"/>
      <w:bookmarkStart w:id="82" w:name="_Toc418677813"/>
      <w:bookmarkStart w:id="83" w:name="_Toc423529594"/>
      <w:r>
        <w:rPr>
          <w:rStyle w:val="CharDivNo"/>
        </w:rPr>
        <w:t>Division 5</w:t>
      </w:r>
      <w:r>
        <w:rPr>
          <w:snapToGrid w:val="0"/>
        </w:rPr>
        <w:t> — </w:t>
      </w:r>
      <w:r>
        <w:rPr>
          <w:rStyle w:val="CharDivText"/>
        </w:rPr>
        <w:t>Proceedings</w:t>
      </w:r>
      <w:bookmarkEnd w:id="77"/>
      <w:bookmarkEnd w:id="78"/>
      <w:bookmarkEnd w:id="79"/>
      <w:bookmarkEnd w:id="80"/>
      <w:bookmarkEnd w:id="81"/>
      <w:bookmarkEnd w:id="82"/>
      <w:bookmarkEnd w:id="83"/>
    </w:p>
    <w:p>
      <w:pPr>
        <w:pStyle w:val="Heading5"/>
        <w:rPr>
          <w:snapToGrid w:val="0"/>
        </w:rPr>
      </w:pPr>
      <w:bookmarkStart w:id="84" w:name="_Toc406079842"/>
      <w:bookmarkStart w:id="85" w:name="_Toc423529595"/>
      <w:r>
        <w:rPr>
          <w:rStyle w:val="CharSectno"/>
        </w:rPr>
        <w:t>17</w:t>
      </w:r>
      <w:r>
        <w:rPr>
          <w:snapToGrid w:val="0"/>
        </w:rPr>
        <w:t>.</w:t>
      </w:r>
      <w:r>
        <w:rPr>
          <w:snapToGrid w:val="0"/>
        </w:rPr>
        <w:tab/>
        <w:t>Proceedings, meetings, declaring interests etc.</w:t>
      </w:r>
      <w:bookmarkEnd w:id="84"/>
      <w:bookmarkEnd w:id="85"/>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by No. 35 of 2003 s. 168.]</w:t>
      </w:r>
    </w:p>
    <w:p>
      <w:pPr>
        <w:pStyle w:val="Heading3"/>
      </w:pPr>
      <w:bookmarkStart w:id="86" w:name="_Toc402969370"/>
      <w:bookmarkStart w:id="87" w:name="_Toc406075179"/>
      <w:bookmarkStart w:id="88" w:name="_Toc406075620"/>
      <w:bookmarkStart w:id="89" w:name="_Toc406079843"/>
      <w:bookmarkStart w:id="90" w:name="_Toc418677663"/>
      <w:bookmarkStart w:id="91" w:name="_Toc418677815"/>
      <w:bookmarkStart w:id="92" w:name="_Toc423529596"/>
      <w:r>
        <w:rPr>
          <w:rStyle w:val="CharDivNo"/>
        </w:rPr>
        <w:t>Division 6</w:t>
      </w:r>
      <w:r>
        <w:rPr>
          <w:snapToGrid w:val="0"/>
        </w:rPr>
        <w:t> — </w:t>
      </w:r>
      <w:r>
        <w:rPr>
          <w:rStyle w:val="CharDivText"/>
        </w:rPr>
        <w:t>Staff, etc.</w:t>
      </w:r>
      <w:bookmarkEnd w:id="86"/>
      <w:bookmarkEnd w:id="87"/>
      <w:bookmarkEnd w:id="88"/>
      <w:bookmarkEnd w:id="89"/>
      <w:bookmarkEnd w:id="90"/>
      <w:bookmarkEnd w:id="91"/>
      <w:bookmarkEnd w:id="92"/>
    </w:p>
    <w:p>
      <w:pPr>
        <w:pStyle w:val="Heading5"/>
        <w:rPr>
          <w:snapToGrid w:val="0"/>
        </w:rPr>
      </w:pPr>
      <w:bookmarkStart w:id="93" w:name="_Toc406079844"/>
      <w:bookmarkStart w:id="94" w:name="_Toc423529597"/>
      <w:r>
        <w:rPr>
          <w:rStyle w:val="CharSectno"/>
        </w:rPr>
        <w:t>18</w:t>
      </w:r>
      <w:r>
        <w:rPr>
          <w:snapToGrid w:val="0"/>
        </w:rPr>
        <w:t>.</w:t>
      </w:r>
      <w:r>
        <w:rPr>
          <w:snapToGrid w:val="0"/>
        </w:rPr>
        <w:tab/>
        <w:t xml:space="preserve">Staff, contractors etc.; Commission may ask Commissioner of </w:t>
      </w:r>
      <w:smartTag w:uri="urn:schemas-microsoft-com:office:smarttags" w:element="place">
        <w:r>
          <w:rPr>
            <w:snapToGrid w:val="0"/>
          </w:rPr>
          <w:t>Po</w:t>
        </w:r>
      </w:smartTag>
      <w:r>
        <w:rPr>
          <w:snapToGrid w:val="0"/>
        </w:rPr>
        <w:t>lice to inquire etc. into various matters</w:t>
      </w:r>
      <w:bookmarkEnd w:id="93"/>
      <w:bookmarkEnd w:id="94"/>
    </w:p>
    <w:p>
      <w:pPr>
        <w:pStyle w:val="Subsection"/>
      </w:pPr>
      <w:r>
        <w:tab/>
        <w:t>(1)</w:t>
      </w:r>
      <w:r>
        <w:tab/>
        <w:t>The Commission may by arrangement with the relevant employing authority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The Commission may by arrangement with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In subsections (1) and (1a) —</w:t>
      </w:r>
    </w:p>
    <w:p>
      <w:pPr>
        <w:pStyle w:val="Defstart"/>
      </w:pPr>
      <w:r>
        <w:rPr>
          <w:b/>
        </w:rPr>
        <w:tab/>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meanings as they have in that Act.</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w:t>
      </w:r>
    </w:p>
    <w:p>
      <w:pPr>
        <w:pStyle w:val="Indenta"/>
        <w:spacing w:before="76"/>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 and</w:t>
      </w:r>
    </w:p>
    <w:p>
      <w:pPr>
        <w:pStyle w:val="Indenta"/>
        <w:spacing w:before="76"/>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 and</w:t>
      </w:r>
    </w:p>
    <w:p>
      <w:pPr>
        <w:pStyle w:val="Indenta"/>
        <w:keepNext/>
        <w:keepLines/>
        <w:spacing w:before="76"/>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 and</w:t>
      </w:r>
    </w:p>
    <w:p>
      <w:pPr>
        <w:pStyle w:val="Indenta"/>
        <w:spacing w:before="76"/>
      </w:pPr>
      <w:r>
        <w:tab/>
        <w:t>(ca)</w:t>
      </w:r>
      <w:r>
        <w:tab/>
        <w:t>the suitability of —</w:t>
      </w:r>
    </w:p>
    <w:p>
      <w:pPr>
        <w:pStyle w:val="Indenti"/>
        <w:spacing w:before="76"/>
      </w:pPr>
      <w:r>
        <w:tab/>
        <w:t>(i)</w:t>
      </w:r>
      <w:r>
        <w:tab/>
        <w:t xml:space="preserve">such a person to conduct, or to be concerned in the conduct of, wagering under the </w:t>
      </w:r>
      <w:r>
        <w:rPr>
          <w:i/>
        </w:rPr>
        <w:t>Betting Control Act 1954</w:t>
      </w:r>
      <w:r>
        <w:t xml:space="preserve"> or the RWWA Act; or</w:t>
      </w:r>
    </w:p>
    <w:p>
      <w:pPr>
        <w:pStyle w:val="Indenti"/>
        <w:spacing w:before="76"/>
      </w:pPr>
      <w:r>
        <w:tab/>
        <w:t>(ii)</w:t>
      </w:r>
      <w:r>
        <w:tab/>
        <w:t>any individual appointed on behalf of such a person, whether as a nominee or otherwise; or</w:t>
      </w:r>
    </w:p>
    <w:p>
      <w:pPr>
        <w:pStyle w:val="Indenti"/>
        <w:spacing w:before="76"/>
      </w:pPr>
      <w:r>
        <w:tab/>
        <w:t>(iii)</w:t>
      </w:r>
      <w:r>
        <w:tab/>
        <w:t>a person for whom another acts, whether as a nominee or otherwise;</w:t>
      </w:r>
    </w:p>
    <w:p>
      <w:pPr>
        <w:pStyle w:val="Indenta"/>
        <w:spacing w:before="76"/>
      </w:pPr>
      <w:r>
        <w:tab/>
      </w:r>
      <w:r>
        <w:tab/>
        <w:t>and</w:t>
      </w:r>
    </w:p>
    <w:p>
      <w:pPr>
        <w:pStyle w:val="Indenta"/>
        <w:spacing w:before="76"/>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 and</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 and</w:t>
      </w:r>
    </w:p>
    <w:p>
      <w:pPr>
        <w:pStyle w:val="Indenta"/>
        <w:rPr>
          <w:snapToGrid w:val="0"/>
        </w:rPr>
      </w:pPr>
      <w:r>
        <w:rPr>
          <w:snapToGrid w:val="0"/>
        </w:rPr>
        <w:tab/>
        <w:t>(e)</w:t>
      </w:r>
      <w:r>
        <w:rPr>
          <w:snapToGrid w:val="0"/>
        </w:rPr>
        <w:tab/>
        <w:t>any matter concerning a licensed casino; and</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[Section 18 amended by No. 32 of 1994 s. 19; No. 24 of 1998 s. 38; No. 35 of 2003 s. 132 and 166.]</w:t>
      </w:r>
    </w:p>
    <w:p>
      <w:pPr>
        <w:pStyle w:val="Heading5"/>
        <w:spacing w:before="160"/>
        <w:rPr>
          <w:snapToGrid w:val="0"/>
        </w:rPr>
      </w:pPr>
      <w:bookmarkStart w:id="95" w:name="_Toc406079845"/>
      <w:bookmarkStart w:id="96" w:name="_Toc423529598"/>
      <w:r>
        <w:rPr>
          <w:rStyle w:val="CharSectno"/>
        </w:rPr>
        <w:t>19</w:t>
      </w:r>
      <w:r>
        <w:rPr>
          <w:snapToGrid w:val="0"/>
        </w:rPr>
        <w:t>.</w:t>
      </w:r>
      <w:r>
        <w:rPr>
          <w:snapToGrid w:val="0"/>
        </w:rPr>
        <w:tab/>
        <w:t>Government departments, statutory bodies etc. to assist Commission</w:t>
      </w:r>
      <w:bookmarkEnd w:id="95"/>
      <w:bookmarkEnd w:id="96"/>
    </w:p>
    <w:p>
      <w:pPr>
        <w:pStyle w:val="Subsection"/>
        <w:spacing w:before="100"/>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spacing w:before="100"/>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spacing w:before="100"/>
        <w:ind w:left="890" w:hanging="890"/>
      </w:pPr>
      <w:r>
        <w:tab/>
        <w:t>[Section 19 amended by No. 32 of 1994 s. 19; No. 14 of 1996 s. 4; No. 35 of 2003 s. 133.]</w:t>
      </w:r>
    </w:p>
    <w:p>
      <w:pPr>
        <w:pStyle w:val="Heading5"/>
        <w:spacing w:before="180"/>
        <w:rPr>
          <w:snapToGrid w:val="0"/>
        </w:rPr>
      </w:pPr>
      <w:bookmarkStart w:id="97" w:name="_Toc406079846"/>
      <w:bookmarkStart w:id="98" w:name="_Toc423529599"/>
      <w:r>
        <w:rPr>
          <w:rStyle w:val="CharSectno"/>
        </w:rPr>
        <w:t>20</w:t>
      </w:r>
      <w:r>
        <w:rPr>
          <w:snapToGrid w:val="0"/>
        </w:rPr>
        <w:t>.</w:t>
      </w:r>
      <w:r>
        <w:rPr>
          <w:snapToGrid w:val="0"/>
        </w:rPr>
        <w:tab/>
        <w:t>Reports, effect of and privilege attached to; official information, disclosure of etc.</w:t>
      </w:r>
      <w:bookmarkEnd w:id="97"/>
      <w:bookmarkEnd w:id="98"/>
    </w:p>
    <w:p>
      <w:pPr>
        <w:pStyle w:val="Subsection"/>
        <w:spacing w:before="120"/>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spacing w:before="120"/>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spacing w:before="100"/>
        <w:rPr>
          <w:snapToGrid w:val="0"/>
        </w:rPr>
      </w:pPr>
      <w:r>
        <w:rPr>
          <w:snapToGrid w:val="0"/>
        </w:rPr>
        <w:tab/>
      </w:r>
      <w:r>
        <w:rPr>
          <w:snapToGrid w:val="0"/>
        </w:rPr>
        <w:tab/>
        <w:t>unless the Commission or a judge otherwise directs.</w:t>
      </w:r>
    </w:p>
    <w:p>
      <w:pPr>
        <w:pStyle w:val="Subsection"/>
        <w:spacing w:before="120"/>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$2 500.</w:t>
      </w:r>
    </w:p>
    <w:p>
      <w:pPr>
        <w:pStyle w:val="Footnotesection"/>
        <w:spacing w:before="100"/>
        <w:ind w:left="890" w:hanging="890"/>
      </w:pPr>
      <w:r>
        <w:tab/>
        <w:t>[Section 20 amended by No. 35 of 2003 s. 134 and 166; No. 50 of 2003 s. 66(2).]</w:t>
      </w:r>
    </w:p>
    <w:p>
      <w:pPr>
        <w:pStyle w:val="Heading3"/>
      </w:pPr>
      <w:bookmarkStart w:id="99" w:name="_Toc402969374"/>
      <w:bookmarkStart w:id="100" w:name="_Toc406075183"/>
      <w:bookmarkStart w:id="101" w:name="_Toc406075624"/>
      <w:bookmarkStart w:id="102" w:name="_Toc406079847"/>
      <w:bookmarkStart w:id="103" w:name="_Toc418677667"/>
      <w:bookmarkStart w:id="104" w:name="_Toc418677819"/>
      <w:bookmarkStart w:id="105" w:name="_Toc423529600"/>
      <w:r>
        <w:rPr>
          <w:rStyle w:val="CharDivNo"/>
        </w:rPr>
        <w:t>Division 7</w:t>
      </w:r>
      <w:r>
        <w:t> — </w:t>
      </w:r>
      <w:r>
        <w:rPr>
          <w:rStyle w:val="CharDivText"/>
        </w:rPr>
        <w:t>Confidential police information</w:t>
      </w:r>
      <w:bookmarkEnd w:id="99"/>
      <w:bookmarkEnd w:id="100"/>
      <w:bookmarkEnd w:id="101"/>
      <w:bookmarkEnd w:id="102"/>
      <w:bookmarkEnd w:id="103"/>
      <w:bookmarkEnd w:id="104"/>
      <w:bookmarkEnd w:id="105"/>
    </w:p>
    <w:p>
      <w:pPr>
        <w:pStyle w:val="Footnoteheading"/>
      </w:pPr>
      <w:r>
        <w:tab/>
        <w:t>[Heading inserted by No. 73 of 2006 s. 113.]</w:t>
      </w:r>
    </w:p>
    <w:p>
      <w:pPr>
        <w:pStyle w:val="Heading5"/>
      </w:pPr>
      <w:bookmarkStart w:id="106" w:name="_Toc406079848"/>
      <w:bookmarkStart w:id="107" w:name="_Toc423529601"/>
      <w:r>
        <w:rPr>
          <w:rStyle w:val="CharSectno"/>
        </w:rPr>
        <w:t>20A</w:t>
      </w:r>
      <w:r>
        <w:t>.</w:t>
      </w:r>
      <w:r>
        <w:tab/>
        <w:t>Certain information provided by police to be kept confidential</w:t>
      </w:r>
      <w:bookmarkEnd w:id="106"/>
      <w:bookmarkEnd w:id="107"/>
    </w:p>
    <w:p>
      <w:pPr>
        <w:pStyle w:val="Subsection"/>
      </w:pPr>
      <w:r>
        <w:tab/>
        <w:t>(1)</w:t>
      </w:r>
      <w:r>
        <w:tab/>
        <w:t xml:space="preserve">In this </w:t>
      </w:r>
      <w:r>
        <w:rPr>
          <w:snapToGrid w:val="0"/>
        </w:rPr>
        <w:t>section</w:t>
      </w:r>
      <w:r>
        <w:t> —</w:t>
      </w:r>
    </w:p>
    <w:p>
      <w:pPr>
        <w:pStyle w:val="Defstart"/>
        <w:spacing w:before="70"/>
      </w:pPr>
      <w:r>
        <w:rPr>
          <w:b/>
        </w:rPr>
        <w:tab/>
      </w:r>
      <w:r>
        <w:rPr>
          <w:rStyle w:val="CharDefText"/>
        </w:rPr>
        <w:t>confidential police information</w:t>
      </w:r>
      <w:r>
        <w:t xml:space="preserve"> means any information or document classified as confidential under subsection (2);</w:t>
      </w:r>
    </w:p>
    <w:p>
      <w:pPr>
        <w:pStyle w:val="Defstart"/>
        <w:spacing w:before="70"/>
      </w:pPr>
      <w:r>
        <w:rPr>
          <w:b/>
        </w:rPr>
        <w:tab/>
      </w:r>
      <w:r>
        <w:rPr>
          <w:rStyle w:val="CharDefText"/>
        </w:rPr>
        <w:t>relevant Act</w:t>
      </w:r>
      <w:r>
        <w:t xml:space="preserve"> means this Act, the </w:t>
      </w:r>
      <w:r>
        <w:rPr>
          <w:i/>
          <w:iCs/>
        </w:rPr>
        <w:t>Betting Control Act 1954</w:t>
      </w:r>
      <w:r>
        <w:t xml:space="preserve">, the RWWA Act or the </w:t>
      </w:r>
      <w:r>
        <w:rPr>
          <w:i/>
          <w:iCs/>
        </w:rPr>
        <w:t>Casino Control Act 1984</w:t>
      </w:r>
      <w:r>
        <w:t>.</w:t>
      </w:r>
    </w:p>
    <w:p>
      <w:pPr>
        <w:pStyle w:val="Subsection"/>
      </w:pPr>
      <w:r>
        <w:tab/>
        <w:t>(2)</w:t>
      </w:r>
      <w:r>
        <w:tab/>
        <w:t xml:space="preserve">For the </w:t>
      </w:r>
      <w:r>
        <w:rPr>
          <w:snapToGrid w:val="0"/>
        </w:rPr>
        <w:t>purposes</w:t>
      </w:r>
      <w:r>
        <w:t xml:space="preserve"> of this section, the Commissioner of Police may classify as confidential any information or document that is —</w:t>
      </w:r>
    </w:p>
    <w:p>
      <w:pPr>
        <w:pStyle w:val="Indenta"/>
        <w:spacing w:before="60"/>
      </w:pPr>
      <w:r>
        <w:tab/>
        <w:t>(a)</w:t>
      </w:r>
      <w:r>
        <w:tab/>
        <w:t>provided by the Commissioner of Police to the Commission as a report, or part of a report, under section 18(4); or</w:t>
      </w:r>
    </w:p>
    <w:p>
      <w:pPr>
        <w:pStyle w:val="Indenta"/>
        <w:spacing w:before="60"/>
      </w:pPr>
      <w:r>
        <w:tab/>
        <w:t>(b)</w:t>
      </w:r>
      <w:r>
        <w:tab/>
        <w:t>otherwise provided by the Commissioner of Police to the Commission for the purposes of a relevant Act.</w:t>
      </w:r>
    </w:p>
    <w:p>
      <w:pPr>
        <w:pStyle w:val="Subsection"/>
      </w:pPr>
      <w:r>
        <w:tab/>
        <w:t>(3)</w:t>
      </w:r>
      <w:r>
        <w:tab/>
        <w:t xml:space="preserve">Despite any provision of a relevant Act, any information or document provided by the Commissioner of Police to the Commission for the purposes of a relevant Act must not be published or disclosed by the Commission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keepNext/>
        <w:spacing w:before="100"/>
      </w:pPr>
      <w:r>
        <w:tab/>
        <w:t>(4)</w:t>
      </w:r>
      <w:r>
        <w:tab/>
      </w:r>
      <w:r>
        <w:rPr>
          <w:snapToGrid w:val="0"/>
        </w:rPr>
        <w:t>If</w:t>
      </w:r>
      <w:r>
        <w:t> —</w:t>
      </w:r>
    </w:p>
    <w:p>
      <w:pPr>
        <w:pStyle w:val="Indenta"/>
        <w:keepNext/>
        <w:spacing w:before="100"/>
      </w:pPr>
      <w:r>
        <w:tab/>
        <w:t>(a)</w:t>
      </w:r>
      <w:r>
        <w:tab/>
        <w:t>the Commission —</w:t>
      </w:r>
    </w:p>
    <w:p>
      <w:pPr>
        <w:pStyle w:val="Indenti"/>
        <w:spacing w:before="100"/>
      </w:pPr>
      <w:r>
        <w:tab/>
        <w:t>(i)</w:t>
      </w:r>
      <w:r>
        <w:tab/>
        <w:t>refuses to grant or issue or renew; or</w:t>
      </w:r>
    </w:p>
    <w:p>
      <w:pPr>
        <w:pStyle w:val="Indenti"/>
        <w:spacing w:before="100"/>
      </w:pPr>
      <w:r>
        <w:tab/>
        <w:t>(ii)</w:t>
      </w:r>
      <w:r>
        <w:tab/>
        <w:t>amends, suspends, cancels or revokes,</w:t>
      </w:r>
    </w:p>
    <w:p>
      <w:pPr>
        <w:pStyle w:val="Indenta"/>
        <w:spacing w:before="100"/>
      </w:pPr>
      <w:r>
        <w:tab/>
      </w:r>
      <w:r>
        <w:tab/>
        <w:t>any permit, approval, certificate, licence or authorisation under a relevant Act; and</w:t>
      </w:r>
    </w:p>
    <w:p>
      <w:pPr>
        <w:pStyle w:val="Indenta"/>
        <w:spacing w:before="100"/>
      </w:pPr>
      <w:r>
        <w:tab/>
        <w:t>(b)</w:t>
      </w:r>
      <w:r>
        <w:tab/>
        <w:t>the decision to do so is made solely or partly on the basis of confidential police information provided to the Commission,</w:t>
      </w:r>
    </w:p>
    <w:p>
      <w:pPr>
        <w:pStyle w:val="Subsection"/>
        <w:spacing w:before="140"/>
      </w:pPr>
      <w:r>
        <w:tab/>
      </w:r>
      <w:r>
        <w:tab/>
        <w:t>the Commission is not required to give any reasons for the decision other than that the decision is made in the public interest.</w:t>
      </w:r>
    </w:p>
    <w:p>
      <w:pPr>
        <w:pStyle w:val="Subsection"/>
        <w:spacing w:before="140"/>
      </w:pPr>
      <w:r>
        <w:tab/>
        <w:t>(5)</w:t>
      </w:r>
      <w:r>
        <w:tab/>
        <w:t>In any proceedings (other than proceedings for an offence) before a court under a relevant Act, the court —</w:t>
      </w:r>
    </w:p>
    <w:p>
      <w:pPr>
        <w:pStyle w:val="Indenta"/>
        <w:spacing w:before="100"/>
      </w:pPr>
      <w:r>
        <w:tab/>
        <w:t>(a)</w:t>
      </w:r>
      <w:r>
        <w:tab/>
        <w:t>must, on the application of the Commissioner of Police, take all reasonable steps to maintain the confidentiality of confidential police information, including steps —</w:t>
      </w:r>
    </w:p>
    <w:p>
      <w:pPr>
        <w:pStyle w:val="Indenti"/>
        <w:spacing w:before="60"/>
      </w:pPr>
      <w:r>
        <w:tab/>
        <w:t>(i)</w:t>
      </w:r>
      <w:r>
        <w:tab/>
        <w:t>to receive evidence and hear argument about confidential police information in private and in the absence of any party to the proceedings other than the Commission or the Commissioner of Police or their representatives; and</w:t>
      </w:r>
    </w:p>
    <w:p>
      <w:pPr>
        <w:pStyle w:val="Indenti"/>
        <w:spacing w:before="60"/>
      </w:pPr>
      <w:r>
        <w:tab/>
        <w:t>(ii)</w:t>
      </w:r>
      <w:r>
        <w:tab/>
        <w:t>to prohibit the publication of evidence about confidential police information;</w:t>
      </w:r>
    </w:p>
    <w:p>
      <w:pPr>
        <w:pStyle w:val="Indenta"/>
        <w:spacing w:before="100"/>
      </w:pPr>
      <w:r>
        <w:tab/>
      </w:r>
      <w:r>
        <w:tab/>
        <w:t>and</w:t>
      </w:r>
    </w:p>
    <w:p>
      <w:pPr>
        <w:pStyle w:val="Indenta"/>
        <w:spacing w:before="100"/>
      </w:pPr>
      <w:r>
        <w:tab/>
        <w:t>(b)</w:t>
      </w:r>
      <w:r>
        <w:tab/>
        <w:t>may take evidence consisting of or relating to confidential police information by way of an affidavit of a member of the Police Force of or above the rank of Superintendent.</w:t>
      </w:r>
    </w:p>
    <w:p>
      <w:pPr>
        <w:pStyle w:val="Subsection"/>
        <w:spacing w:before="140"/>
      </w:pPr>
      <w:r>
        <w:tab/>
        <w:t>(6)</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20A inserted by No. 73 of 2006 s. 113; amended by No. 35 of 2014 s. 39.]</w:t>
      </w:r>
    </w:p>
    <w:p>
      <w:pPr>
        <w:pStyle w:val="Heading2"/>
      </w:pPr>
      <w:bookmarkStart w:id="108" w:name="_Toc402969376"/>
      <w:bookmarkStart w:id="109" w:name="_Toc406075185"/>
      <w:bookmarkStart w:id="110" w:name="_Toc406075626"/>
      <w:bookmarkStart w:id="111" w:name="_Toc406079849"/>
      <w:bookmarkStart w:id="112" w:name="_Toc418677669"/>
      <w:bookmarkStart w:id="113" w:name="_Toc418677821"/>
      <w:bookmarkStart w:id="114" w:name="_Toc423529602"/>
      <w:r>
        <w:rPr>
          <w:rStyle w:val="CharPartNo"/>
        </w:rPr>
        <w:t>Part III</w:t>
      </w:r>
      <w:r>
        <w:rPr>
          <w:rStyle w:val="CharDivNo"/>
        </w:rPr>
        <w:t> </w:t>
      </w:r>
      <w:r>
        <w:t>—</w:t>
      </w:r>
      <w:r>
        <w:rPr>
          <w:rStyle w:val="CharDivText"/>
        </w:rPr>
        <w:t> </w:t>
      </w:r>
      <w:r>
        <w:rPr>
          <w:rStyle w:val="CharPartText"/>
        </w:rPr>
        <w:t>Enforcement</w:t>
      </w:r>
      <w:bookmarkEnd w:id="108"/>
      <w:bookmarkEnd w:id="109"/>
      <w:bookmarkEnd w:id="110"/>
      <w:bookmarkEnd w:id="111"/>
      <w:bookmarkEnd w:id="112"/>
      <w:bookmarkEnd w:id="113"/>
      <w:bookmarkEnd w:id="114"/>
    </w:p>
    <w:p>
      <w:pPr>
        <w:pStyle w:val="Heading5"/>
        <w:rPr>
          <w:snapToGrid w:val="0"/>
        </w:rPr>
      </w:pPr>
      <w:bookmarkStart w:id="115" w:name="_Toc406079850"/>
      <w:bookmarkStart w:id="116" w:name="_Toc423529603"/>
      <w:r>
        <w:rPr>
          <w:rStyle w:val="CharSectno"/>
        </w:rPr>
        <w:t>21</w:t>
      </w:r>
      <w:r>
        <w:rPr>
          <w:snapToGrid w:val="0"/>
        </w:rPr>
        <w:t>.</w:t>
      </w:r>
      <w:r>
        <w:rPr>
          <w:snapToGrid w:val="0"/>
        </w:rPr>
        <w:tab/>
        <w:t>Authorised officers, appointment and duties of and reports by</w:t>
      </w:r>
      <w:bookmarkEnd w:id="115"/>
      <w:bookmarkEnd w:id="116"/>
    </w:p>
    <w:p>
      <w:pPr>
        <w:pStyle w:val="Subsection"/>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w:t>
      </w:r>
    </w:p>
    <w:p>
      <w:pPr>
        <w:pStyle w:val="Indenta"/>
        <w:spacing w:before="100"/>
        <w:rPr>
          <w:snapToGrid w:val="0"/>
        </w:rPr>
      </w:pPr>
      <w:r>
        <w:rPr>
          <w:snapToGrid w:val="0"/>
        </w:rPr>
        <w:tab/>
        <w:t>(a)</w:t>
      </w:r>
      <w:r>
        <w:rPr>
          <w:snapToGrid w:val="0"/>
        </w:rPr>
        <w:tab/>
        <w:t>to report to the Commission on the conduct, nature, extent and standard of any gaming, and as to the facilities provided, at approved premises and elsewhere; and</w:t>
      </w:r>
    </w:p>
    <w:p>
      <w:pPr>
        <w:pStyle w:val="Indenta"/>
        <w:spacing w:before="10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 and</w:t>
      </w:r>
    </w:p>
    <w:p>
      <w:pPr>
        <w:pStyle w:val="Indenta"/>
        <w:spacing w:before="10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100"/>
        <w:rPr>
          <w:snapToGrid w:val="0"/>
        </w:rPr>
      </w:pPr>
      <w:r>
        <w:rPr>
          <w:snapToGrid w:val="0"/>
        </w:rPr>
        <w:tab/>
        <w:t>(d)</w:t>
      </w:r>
      <w:r>
        <w:rPr>
          <w:snapToGrid w:val="0"/>
        </w:rPr>
        <w:tab/>
        <w:t>otherwise, to assist and advise the Commission whenever so required by the Commission.</w:t>
      </w:r>
    </w:p>
    <w:p>
      <w:pPr>
        <w:pStyle w:val="Subsection"/>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w:t>
      </w:r>
    </w:p>
    <w:p>
      <w:pPr>
        <w:pStyle w:val="Indenta"/>
        <w:widowControl w:val="0"/>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[Section 21 amended by No. 14 of 1996 s. 4; No. 35 of 2003 s. 135.]</w:t>
      </w:r>
    </w:p>
    <w:p>
      <w:pPr>
        <w:pStyle w:val="Heading5"/>
        <w:spacing w:before="260"/>
        <w:rPr>
          <w:snapToGrid w:val="0"/>
        </w:rPr>
      </w:pPr>
      <w:bookmarkStart w:id="117" w:name="_Toc406079851"/>
      <w:bookmarkStart w:id="118" w:name="_Toc423529604"/>
      <w:r>
        <w:rPr>
          <w:rStyle w:val="CharSectno"/>
        </w:rPr>
        <w:t>22</w:t>
      </w:r>
      <w:r>
        <w:rPr>
          <w:snapToGrid w:val="0"/>
        </w:rPr>
        <w:t>.</w:t>
      </w:r>
      <w:r>
        <w:rPr>
          <w:snapToGrid w:val="0"/>
        </w:rPr>
        <w:tab/>
        <w:t>Permitted gaming and social gambling, powers to scrutinize etc.</w:t>
      </w:r>
      <w:bookmarkEnd w:id="117"/>
      <w:bookmarkEnd w:id="118"/>
    </w:p>
    <w:p>
      <w:pPr>
        <w:pStyle w:val="Subsection"/>
        <w:rPr>
          <w:snapToGrid w:val="0"/>
        </w:rPr>
      </w:pPr>
      <w:r>
        <w:rPr>
          <w:snapToGrid w:val="0"/>
        </w:rPr>
        <w:tab/>
        <w:t>(1)</w:t>
      </w:r>
      <w:r>
        <w:rPr>
          <w:snapToGrid w:val="0"/>
        </w:rPr>
        <w:tab/>
        <w:t>An authorised officer or a member of the Police Force is entitled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w:t>
      </w:r>
    </w:p>
    <w:p>
      <w:pPr>
        <w:pStyle w:val="Indenta"/>
        <w:spacing w:before="60"/>
        <w:rPr>
          <w:snapToGrid w:val="0"/>
        </w:rPr>
      </w:pPr>
      <w:r>
        <w:rPr>
          <w:snapToGrid w:val="0"/>
        </w:rPr>
        <w:tab/>
        <w:t>(a)</w:t>
      </w:r>
      <w:r>
        <w:rPr>
          <w:snapToGrid w:val="0"/>
        </w:rPr>
        <w:tab/>
        <w:t>approved premises; or</w:t>
      </w:r>
    </w:p>
    <w:p>
      <w:pPr>
        <w:pStyle w:val="Indenta"/>
        <w:spacing w:before="60"/>
        <w:rPr>
          <w:snapToGrid w:val="0"/>
        </w:rPr>
      </w:pPr>
      <w:r>
        <w:rPr>
          <w:snapToGrid w:val="0"/>
        </w:rPr>
        <w:tab/>
        <w:t>(b)</w:t>
      </w:r>
      <w:r>
        <w:rPr>
          <w:snapToGrid w:val="0"/>
        </w:rPr>
        <w:tab/>
        <w:t>subject to the consent of the occupier, any premises in relation to which the approval of the Commission is sought.</w:t>
      </w:r>
    </w:p>
    <w:p>
      <w:pPr>
        <w:pStyle w:val="Subsection"/>
        <w:spacing w:before="120"/>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spacing w:before="120"/>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spacing w:before="120"/>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spacing w:before="60"/>
        <w:rPr>
          <w:snapToGrid w:val="0"/>
        </w:rPr>
      </w:pPr>
      <w:r>
        <w:rPr>
          <w:snapToGrid w:val="0"/>
        </w:rPr>
        <w:tab/>
        <w:t>Penalty: $5 000, or imprisonment for 1 year, or both.</w:t>
      </w:r>
    </w:p>
    <w:p>
      <w:pPr>
        <w:pStyle w:val="Footnotesection"/>
        <w:spacing w:before="80"/>
        <w:ind w:left="890" w:hanging="890"/>
      </w:pPr>
      <w:r>
        <w:tab/>
        <w:t>[Section 22 amended by No. 24 of 1998 s. 39; No. 35 of 2003 s. 136 and 166.]</w:t>
      </w:r>
    </w:p>
    <w:p>
      <w:pPr>
        <w:pStyle w:val="Heading5"/>
        <w:spacing w:before="180"/>
        <w:rPr>
          <w:snapToGrid w:val="0"/>
        </w:rPr>
      </w:pPr>
      <w:bookmarkStart w:id="119" w:name="_Toc406079852"/>
      <w:bookmarkStart w:id="120" w:name="_Toc423529605"/>
      <w:r>
        <w:rPr>
          <w:rStyle w:val="CharSectno"/>
        </w:rPr>
        <w:t>23</w:t>
      </w:r>
      <w:r>
        <w:rPr>
          <w:snapToGrid w:val="0"/>
        </w:rPr>
        <w:t>.</w:t>
      </w:r>
      <w:r>
        <w:rPr>
          <w:snapToGrid w:val="0"/>
        </w:rPr>
        <w:tab/>
        <w:t>Other police powers not limited by this Act</w:t>
      </w:r>
      <w:bookmarkEnd w:id="119"/>
      <w:bookmarkEnd w:id="120"/>
    </w:p>
    <w:p>
      <w:pPr>
        <w:pStyle w:val="Subsection"/>
        <w:spacing w:before="120"/>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keepLines w:val="0"/>
        <w:spacing w:before="180"/>
        <w:rPr>
          <w:snapToGrid w:val="0"/>
        </w:rPr>
      </w:pPr>
      <w:bookmarkStart w:id="121" w:name="_Toc406079853"/>
      <w:bookmarkStart w:id="122" w:name="_Toc423529606"/>
      <w:r>
        <w:rPr>
          <w:rStyle w:val="CharSectno"/>
        </w:rPr>
        <w:t>24</w:t>
      </w:r>
      <w:r>
        <w:rPr>
          <w:snapToGrid w:val="0"/>
        </w:rPr>
        <w:t>.</w:t>
      </w:r>
      <w:r>
        <w:rPr>
          <w:snapToGrid w:val="0"/>
        </w:rPr>
        <w:tab/>
        <w:t xml:space="preserve">Commissioner of </w:t>
      </w:r>
      <w:smartTag w:uri="urn:schemas-microsoft-com:office:smarttags" w:element="place">
        <w:r>
          <w:rPr>
            <w:snapToGrid w:val="0"/>
          </w:rPr>
          <w:t>Po</w:t>
        </w:r>
      </w:smartTag>
      <w:r>
        <w:rPr>
          <w:snapToGrid w:val="0"/>
        </w:rPr>
        <w:t>lice, directions by to police officers</w:t>
      </w:r>
      <w:bookmarkEnd w:id="121"/>
      <w:bookmarkEnd w:id="122"/>
    </w:p>
    <w:p>
      <w:pPr>
        <w:pStyle w:val="Subsection"/>
        <w:spacing w:before="120"/>
        <w:rPr>
          <w:snapToGrid w:val="0"/>
        </w:rPr>
      </w:pPr>
      <w:r>
        <w:rPr>
          <w:snapToGrid w:val="0"/>
        </w:rPr>
        <w:tab/>
      </w:r>
      <w:r>
        <w:rPr>
          <w:snapToGrid w:val="0"/>
        </w:rPr>
        <w:tab/>
        <w:t>The Commissioner of Police shall issue all such orders, and give all such directions, to members of the Police Force as may, in his opinion, be necessary or expedient to —</w:t>
      </w:r>
    </w:p>
    <w:p>
      <w:pPr>
        <w:pStyle w:val="Indenta"/>
        <w:spacing w:before="50"/>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 and</w:t>
      </w:r>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 and</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by No. 35 of 2003 s. 166.]</w:t>
      </w:r>
    </w:p>
    <w:p>
      <w:pPr>
        <w:pStyle w:val="Heading5"/>
        <w:rPr>
          <w:snapToGrid w:val="0"/>
        </w:rPr>
      </w:pPr>
      <w:bookmarkStart w:id="123" w:name="_Toc406079854"/>
      <w:bookmarkStart w:id="124" w:name="_Toc423529607"/>
      <w:r>
        <w:rPr>
          <w:rStyle w:val="CharSectno"/>
        </w:rPr>
        <w:t>25</w:t>
      </w:r>
      <w:r>
        <w:rPr>
          <w:snapToGrid w:val="0"/>
        </w:rPr>
        <w:t>.</w:t>
      </w:r>
      <w:r>
        <w:rPr>
          <w:snapToGrid w:val="0"/>
        </w:rPr>
        <w:tab/>
        <w:t>Entry to premises, arrest etc., warrant authorising</w:t>
      </w:r>
      <w:bookmarkEnd w:id="123"/>
      <w:bookmarkEnd w:id="124"/>
    </w:p>
    <w:p>
      <w:pPr>
        <w:pStyle w:val="Subsection"/>
        <w:rPr>
          <w:snapToGrid w:val="0"/>
        </w:rPr>
      </w:pPr>
      <w:r>
        <w:rPr>
          <w:snapToGrid w:val="0"/>
        </w:rPr>
        <w:tab/>
        <w:t>(1)</w:t>
      </w:r>
      <w:r>
        <w:rPr>
          <w:snapToGrid w:val="0"/>
        </w:rPr>
        <w:tab/>
        <w:t>Where a justice is satisfied, upon an application supported by evidence on oath, that there is reason to suspect that —</w:t>
      </w:r>
    </w:p>
    <w:p>
      <w:pPr>
        <w:pStyle w:val="Indenta"/>
        <w:rPr>
          <w:snapToGrid w:val="0"/>
        </w:rPr>
      </w:pPr>
      <w:r>
        <w:rPr>
          <w:snapToGrid w:val="0"/>
        </w:rPr>
        <w:tab/>
        <w:t>(a)</w:t>
      </w:r>
      <w:r>
        <w:rPr>
          <w:snapToGrid w:val="0"/>
        </w:rPr>
        <w:tab/>
        <w:t>any premises are, have been or are about to be opened, kept or used as a common gaming house; or</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widowControl w:val="0"/>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w:t>
      </w:r>
    </w:p>
    <w:p>
      <w:pPr>
        <w:pStyle w:val="Indenta"/>
        <w:rPr>
          <w:snapToGrid w:val="0"/>
        </w:rPr>
      </w:pPr>
      <w:r>
        <w:rPr>
          <w:snapToGrid w:val="0"/>
        </w:rPr>
        <w:tab/>
        <w:t>(a)</w:t>
      </w:r>
      <w:r>
        <w:rPr>
          <w:snapToGrid w:val="0"/>
        </w:rPr>
        <w:tab/>
        <w:t>to arrest any person found on the premises to which the warrant relates; and</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25 amended by No. 35 of 2003 s. 166; No. 84 of 2004 s. 80.]</w:t>
      </w:r>
    </w:p>
    <w:p>
      <w:pPr>
        <w:pStyle w:val="Heading5"/>
        <w:rPr>
          <w:snapToGrid w:val="0"/>
        </w:rPr>
      </w:pPr>
      <w:bookmarkStart w:id="125" w:name="_Toc406079855"/>
      <w:bookmarkStart w:id="126" w:name="_Toc423529608"/>
      <w:r>
        <w:rPr>
          <w:rStyle w:val="CharSectno"/>
        </w:rPr>
        <w:t>26</w:t>
      </w:r>
      <w:r>
        <w:rPr>
          <w:snapToGrid w:val="0"/>
        </w:rPr>
        <w:t>.</w:t>
      </w:r>
      <w:r>
        <w:rPr>
          <w:snapToGrid w:val="0"/>
        </w:rPr>
        <w:tab/>
        <w:t>Evidence, information etc., powers to seize, obtain etc.</w:t>
      </w:r>
      <w:bookmarkEnd w:id="125"/>
      <w:bookmarkEnd w:id="126"/>
    </w:p>
    <w:p>
      <w:pPr>
        <w:pStyle w:val="Subsection"/>
        <w:rPr>
          <w:snapToGrid w:val="0"/>
        </w:rPr>
      </w:pPr>
      <w:r>
        <w:rPr>
          <w:snapToGrid w:val="0"/>
        </w:rPr>
        <w:tab/>
        <w:t>(1)</w:t>
      </w:r>
      <w:r>
        <w:rPr>
          <w:snapToGrid w:val="0"/>
        </w:rPr>
        <w:tab/>
        <w:t>The Commission, an authorised officer or a member of the Police Force may for the purposes of this Act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rPr>
          <w:snapToGrid w:val="0"/>
        </w:rPr>
      </w:pPr>
      <w:r>
        <w:rPr>
          <w:snapToGrid w:val="0"/>
        </w:rPr>
        <w:tab/>
        <w:t>(2)</w:t>
      </w:r>
      <w:r>
        <w:rPr>
          <w:snapToGrid w:val="0"/>
        </w:rPr>
        <w:tab/>
        <w:t xml:space="preserve">In subsection (1), </w:t>
      </w:r>
      <w:r>
        <w:rPr>
          <w:rStyle w:val="CharDefText"/>
        </w:rPr>
        <w:t>material evidence</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by No. 24 of 1998 s. 40.]</w:t>
      </w:r>
    </w:p>
    <w:p>
      <w:pPr>
        <w:pStyle w:val="Heading5"/>
        <w:rPr>
          <w:snapToGrid w:val="0"/>
        </w:rPr>
      </w:pPr>
      <w:bookmarkStart w:id="127" w:name="_Toc406079856"/>
      <w:bookmarkStart w:id="128" w:name="_Toc423529609"/>
      <w:r>
        <w:rPr>
          <w:rStyle w:val="CharSectno"/>
        </w:rPr>
        <w:t>27</w:t>
      </w:r>
      <w:r>
        <w:rPr>
          <w:snapToGrid w:val="0"/>
        </w:rPr>
        <w:t>.</w:t>
      </w:r>
      <w:r>
        <w:rPr>
          <w:snapToGrid w:val="0"/>
        </w:rPr>
        <w:tab/>
        <w:t>Information, production of books, accounts etc., powers to require</w:t>
      </w:r>
      <w:bookmarkEnd w:id="127"/>
      <w:bookmarkEnd w:id="128"/>
    </w:p>
    <w:p>
      <w:pPr>
        <w:pStyle w:val="Subsection"/>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 and</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 and</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In connection with any pending application for a permit the Commission may at any time require accounts to be furnished by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spacing w:before="140"/>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by No. 24 of 1998 s. 41; No. 10 of 2001 s. 86; No. 35 of 2003 s. 166 and 167.]</w:t>
      </w:r>
    </w:p>
    <w:p>
      <w:pPr>
        <w:pStyle w:val="Heading5"/>
        <w:rPr>
          <w:snapToGrid w:val="0"/>
        </w:rPr>
      </w:pPr>
      <w:bookmarkStart w:id="129" w:name="_Toc406079857"/>
      <w:bookmarkStart w:id="130" w:name="_Toc423529610"/>
      <w:r>
        <w:rPr>
          <w:rStyle w:val="CharSectno"/>
        </w:rPr>
        <w:t>28</w:t>
      </w:r>
      <w:r>
        <w:rPr>
          <w:snapToGrid w:val="0"/>
        </w:rPr>
        <w:t>.</w:t>
      </w:r>
      <w:r>
        <w:rPr>
          <w:snapToGrid w:val="0"/>
        </w:rPr>
        <w:tab/>
        <w:t>Recovering moneys payable to Commission</w:t>
      </w:r>
      <w:bookmarkEnd w:id="129"/>
      <w:bookmarkEnd w:id="130"/>
    </w:p>
    <w:p>
      <w:pPr>
        <w:pStyle w:val="Subsection"/>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131" w:name="_Toc406079858"/>
      <w:bookmarkStart w:id="132" w:name="_Toc423529611"/>
      <w:r>
        <w:rPr>
          <w:rStyle w:val="CharSectno"/>
        </w:rPr>
        <w:t>29</w:t>
      </w:r>
      <w:r>
        <w:rPr>
          <w:snapToGrid w:val="0"/>
        </w:rPr>
        <w:t>.</w:t>
      </w:r>
      <w:r>
        <w:rPr>
          <w:snapToGrid w:val="0"/>
        </w:rPr>
        <w:tab/>
        <w:t>Hindering etc. Commission etc. and false etc. answers, offences as to</w:t>
      </w:r>
      <w:bookmarkEnd w:id="131"/>
      <w:bookmarkEnd w:id="132"/>
    </w:p>
    <w:p>
      <w:pPr>
        <w:pStyle w:val="Subsection"/>
        <w:keepNext/>
        <w:keepLines/>
        <w:rPr>
          <w:snapToGrid w:val="0"/>
        </w:rPr>
      </w:pPr>
      <w:r>
        <w:rPr>
          <w:snapToGrid w:val="0"/>
        </w:rPr>
        <w:tab/>
        <w:t>(1)</w:t>
      </w:r>
      <w:r>
        <w:rPr>
          <w:snapToGrid w:val="0"/>
        </w:rPr>
        <w:tab/>
        <w:t>A person —</w:t>
      </w:r>
    </w:p>
    <w:p>
      <w:pPr>
        <w:pStyle w:val="Indenta"/>
        <w:rPr>
          <w:snapToGrid w:val="0"/>
        </w:rPr>
      </w:pPr>
      <w:r>
        <w:rPr>
          <w:snapToGrid w:val="0"/>
        </w:rPr>
        <w:tab/>
        <w:t>(a)</w:t>
      </w:r>
      <w:r>
        <w:rPr>
          <w:snapToGrid w:val="0"/>
        </w:rPr>
        <w:tab/>
        <w:t>who without lawful excuse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 or</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ind w:left="890" w:hanging="890"/>
      </w:pPr>
      <w:r>
        <w:tab/>
        <w:t>[Section 29 amended by No. 35 of 2003 s. 166.]</w:t>
      </w:r>
    </w:p>
    <w:p>
      <w:pPr>
        <w:pStyle w:val="Heading5"/>
        <w:rPr>
          <w:snapToGrid w:val="0"/>
        </w:rPr>
      </w:pPr>
      <w:bookmarkStart w:id="133" w:name="_Toc406079859"/>
      <w:bookmarkStart w:id="134" w:name="_Toc423529612"/>
      <w:r>
        <w:rPr>
          <w:rStyle w:val="CharSectno"/>
        </w:rPr>
        <w:t>30</w:t>
      </w:r>
      <w:r>
        <w:rPr>
          <w:snapToGrid w:val="0"/>
        </w:rPr>
        <w:t>.</w:t>
      </w:r>
      <w:r>
        <w:rPr>
          <w:snapToGrid w:val="0"/>
        </w:rPr>
        <w:tab/>
        <w:t>Incriminating information to be provided but is not admissible</w:t>
      </w:r>
      <w:bookmarkEnd w:id="133"/>
      <w:bookmarkEnd w:id="134"/>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r>
        <w:tab/>
        <w:t>[Section 30 amended by No. 35 of 2003 s. 166.]</w:t>
      </w:r>
    </w:p>
    <w:p>
      <w:pPr>
        <w:pStyle w:val="Heading5"/>
        <w:rPr>
          <w:snapToGrid w:val="0"/>
        </w:rPr>
      </w:pPr>
      <w:bookmarkStart w:id="135" w:name="_Toc406079860"/>
      <w:bookmarkStart w:id="136" w:name="_Toc423529613"/>
      <w:r>
        <w:rPr>
          <w:rStyle w:val="CharSectno"/>
        </w:rPr>
        <w:t>31</w:t>
      </w:r>
      <w:r>
        <w:rPr>
          <w:snapToGrid w:val="0"/>
        </w:rPr>
        <w:t>.</w:t>
      </w:r>
      <w:r>
        <w:rPr>
          <w:snapToGrid w:val="0"/>
        </w:rPr>
        <w:tab/>
        <w:t>Seizure without warrant</w:t>
      </w:r>
      <w:bookmarkEnd w:id="135"/>
      <w:bookmarkEnd w:id="136"/>
    </w:p>
    <w:p>
      <w:pPr>
        <w:pStyle w:val="Subsection"/>
        <w:rPr>
          <w:snapToGrid w:val="0"/>
        </w:rPr>
      </w:pPr>
      <w:r>
        <w:rPr>
          <w:snapToGrid w:val="0"/>
        </w:rPr>
        <w:tab/>
      </w:r>
      <w:r>
        <w:rPr>
          <w:snapToGrid w:val="0"/>
        </w:rPr>
        <w:tab/>
        <w:t xml:space="preserve">Any authorised officer or member of the Police Force may seize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r>
        <w:tab/>
        <w:t>[Section 31 amended by No. 35 of 2003 s. 166; No. 59 of 2006 s. 48.]</w:t>
      </w:r>
    </w:p>
    <w:p>
      <w:pPr>
        <w:pStyle w:val="Heading5"/>
      </w:pPr>
      <w:bookmarkStart w:id="137" w:name="_Toc406079861"/>
      <w:bookmarkStart w:id="138" w:name="_Toc423529614"/>
      <w:r>
        <w:rPr>
          <w:rStyle w:val="CharSectno"/>
        </w:rPr>
        <w:t>31A</w:t>
      </w:r>
      <w:r>
        <w:t>.</w:t>
      </w:r>
      <w:r>
        <w:tab/>
        <w:t>Powers to assist seizing things</w:t>
      </w:r>
      <w:bookmarkEnd w:id="137"/>
      <w:bookmarkEnd w:id="138"/>
    </w:p>
    <w:p>
      <w:pPr>
        <w:pStyle w:val="Subsection"/>
      </w:pPr>
      <w:r>
        <w:tab/>
      </w:r>
      <w:r>
        <w:tab/>
        <w:t xml:space="preserve">Sections 146 to 150 of the </w:t>
      </w:r>
      <w:r>
        <w:rPr>
          <w:i/>
          <w:iCs/>
        </w:rPr>
        <w:t xml:space="preserve">Criminal Investigation Act 2006 </w:t>
      </w:r>
      <w:r>
        <w:t xml:space="preserve">apply to and in respect of seizing a thing that is or may be seized under this Act or the </w:t>
      </w:r>
      <w:r>
        <w:rPr>
          <w:i/>
        </w:rPr>
        <w:t>Betting Control Act </w:t>
      </w:r>
      <w:r>
        <w:rPr>
          <w:i/>
          <w:iCs/>
        </w:rPr>
        <w:t>1954</w:t>
      </w:r>
      <w:r>
        <w:t>.</w:t>
      </w:r>
    </w:p>
    <w:p>
      <w:pPr>
        <w:pStyle w:val="Footnotesection"/>
      </w:pPr>
      <w:r>
        <w:tab/>
        <w:t>[Section 31A inserted by No. 59 of 2006 s. 49.]</w:t>
      </w:r>
    </w:p>
    <w:p>
      <w:pPr>
        <w:pStyle w:val="Heading5"/>
        <w:rPr>
          <w:snapToGrid w:val="0"/>
        </w:rPr>
      </w:pPr>
      <w:bookmarkStart w:id="139" w:name="_Toc406079862"/>
      <w:bookmarkStart w:id="140" w:name="_Toc423529615"/>
      <w:r>
        <w:rPr>
          <w:rStyle w:val="CharSectno"/>
        </w:rPr>
        <w:t>32</w:t>
      </w:r>
      <w:r>
        <w:rPr>
          <w:snapToGrid w:val="0"/>
        </w:rPr>
        <w:t>.</w:t>
      </w:r>
      <w:r>
        <w:rPr>
          <w:snapToGrid w:val="0"/>
        </w:rPr>
        <w:tab/>
        <w:t>Certain seized things to be forfeited to Crown</w:t>
      </w:r>
      <w:bookmarkEnd w:id="139"/>
      <w:bookmarkEnd w:id="140"/>
    </w:p>
    <w:p>
      <w:pPr>
        <w:pStyle w:val="Ednotesubsection"/>
      </w:pPr>
      <w:r>
        <w:tab/>
        <w:t>[(1)</w:t>
      </w:r>
      <w:r>
        <w:tab/>
        <w:t>deleted]</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w:t>
      </w:r>
    </w:p>
    <w:p>
      <w:pPr>
        <w:pStyle w:val="Footnotesection"/>
      </w:pPr>
      <w:r>
        <w:tab/>
        <w:t>[Section 32 amended by No. 24 of 1998 s. 42; No. 70 of 2004 s. 82; No. 59 of 2006 s. 50.]</w:t>
      </w:r>
    </w:p>
    <w:p>
      <w:pPr>
        <w:pStyle w:val="Heading5"/>
      </w:pPr>
      <w:bookmarkStart w:id="141" w:name="_Toc406079863"/>
      <w:bookmarkStart w:id="142" w:name="_Toc423529616"/>
      <w:r>
        <w:rPr>
          <w:rStyle w:val="CharSectno"/>
        </w:rPr>
        <w:t>32A</w:t>
      </w:r>
      <w:r>
        <w:t>.</w:t>
      </w:r>
      <w:r>
        <w:tab/>
        <w:t>Disposing of seized or forfeited things</w:t>
      </w:r>
      <w:bookmarkEnd w:id="141"/>
      <w:bookmarkEnd w:id="142"/>
    </w:p>
    <w:p>
      <w:pPr>
        <w:pStyle w:val="Subsection"/>
        <w:spacing w:before="140"/>
      </w:pPr>
      <w:r>
        <w:tab/>
        <w:t>(1)</w:t>
      </w:r>
      <w:r>
        <w:tab/>
        <w:t>In this section —</w:t>
      </w:r>
    </w:p>
    <w:p>
      <w:pPr>
        <w:pStyle w:val="Defstart"/>
      </w:pPr>
      <w:r>
        <w:rPr>
          <w:b/>
        </w:rPr>
        <w:tab/>
      </w:r>
      <w:r>
        <w:rPr>
          <w:rStyle w:val="CharDefText"/>
        </w:rPr>
        <w:t>seized thing</w:t>
      </w:r>
      <w:r>
        <w:t xml:space="preserve"> means any thing that is seized under this Act or the </w:t>
      </w:r>
      <w:r>
        <w:rPr>
          <w:i/>
        </w:rPr>
        <w:t>Betting Control Act </w:t>
      </w:r>
      <w:r>
        <w:rPr>
          <w:i/>
          <w:iCs/>
        </w:rPr>
        <w:t>1954</w:t>
      </w:r>
      <w:r>
        <w:t>.</w:t>
      </w:r>
    </w:p>
    <w:p>
      <w:pPr>
        <w:pStyle w:val="Subsection"/>
        <w:spacing w:before="140"/>
      </w:pPr>
      <w:r>
        <w:tab/>
        <w:t>(2)</w:t>
      </w:r>
      <w:r>
        <w:tab/>
        <w:t xml:space="preserve">The </w:t>
      </w:r>
      <w:r>
        <w:rPr>
          <w:i/>
          <w:iCs/>
        </w:rPr>
        <w:t xml:space="preserve">Criminal and Found Property Disposal Act 2006 </w:t>
      </w:r>
      <w:r>
        <w:t xml:space="preserve">applies to and in respect of any seized thing and any thing that is forfeited to the Crown under this Act or the </w:t>
      </w:r>
      <w:r>
        <w:rPr>
          <w:i/>
        </w:rPr>
        <w:t>Betting Control Act </w:t>
      </w:r>
      <w:r>
        <w:rPr>
          <w:i/>
          <w:iCs/>
        </w:rPr>
        <w:t>1954</w:t>
      </w:r>
      <w:r>
        <w:t>.</w:t>
      </w:r>
    </w:p>
    <w:p>
      <w:pPr>
        <w:pStyle w:val="Subsection"/>
        <w:spacing w:before="140"/>
      </w:pPr>
      <w:r>
        <w:tab/>
        <w:t>(3)</w:t>
      </w:r>
      <w:r>
        <w:tab/>
        <w:t xml:space="preserve">For the purposes of the </w:t>
      </w:r>
      <w:r>
        <w:rPr>
          <w:i/>
          <w:iCs/>
        </w:rPr>
        <w:t>Criminal and Found Property Disposal Act 2006</w:t>
      </w:r>
      <w:r>
        <w:t> —</w:t>
      </w:r>
    </w:p>
    <w:p>
      <w:pPr>
        <w:pStyle w:val="Indenta"/>
        <w:spacing w:before="60"/>
      </w:pPr>
      <w:r>
        <w:tab/>
        <w:t>(a)</w:t>
      </w:r>
      <w:r>
        <w:tab/>
        <w:t>the Commission is a prescribed agency;</w:t>
      </w:r>
    </w:p>
    <w:p>
      <w:pPr>
        <w:pStyle w:val="Indenta"/>
        <w:spacing w:before="60"/>
      </w:pPr>
      <w:r>
        <w:tab/>
        <w:t>(b)</w:t>
      </w:r>
      <w:r>
        <w:tab/>
        <w:t>the chief executive officer of the Department is the chief officer of the Commission.</w:t>
      </w:r>
    </w:p>
    <w:p>
      <w:pPr>
        <w:pStyle w:val="Footnotesection"/>
        <w:spacing w:before="100"/>
        <w:ind w:left="890" w:hanging="890"/>
      </w:pPr>
      <w:r>
        <w:tab/>
        <w:t>[Section 32A inserted by No. 59 of 2006 s. 51.]</w:t>
      </w:r>
    </w:p>
    <w:p>
      <w:pPr>
        <w:pStyle w:val="Heading5"/>
        <w:spacing w:before="200"/>
        <w:rPr>
          <w:snapToGrid w:val="0"/>
        </w:rPr>
      </w:pPr>
      <w:bookmarkStart w:id="143" w:name="_Toc406079864"/>
      <w:bookmarkStart w:id="144" w:name="_Toc423529617"/>
      <w:r>
        <w:rPr>
          <w:rStyle w:val="CharSectno"/>
        </w:rPr>
        <w:t>33</w:t>
      </w:r>
      <w:r>
        <w:rPr>
          <w:snapToGrid w:val="0"/>
        </w:rPr>
        <w:t>.</w:t>
      </w:r>
      <w:r>
        <w:rPr>
          <w:snapToGrid w:val="0"/>
        </w:rPr>
        <w:tab/>
        <w:t>Prosecuting offences</w:t>
      </w:r>
      <w:bookmarkEnd w:id="143"/>
      <w:bookmarkEnd w:id="144"/>
    </w:p>
    <w:p>
      <w:pPr>
        <w:pStyle w:val="Subsection"/>
        <w:spacing w:before="14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4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4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4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w:t>
      </w:r>
    </w:p>
    <w:p>
      <w:pPr>
        <w:pStyle w:val="Indenta"/>
        <w:spacing w:before="60"/>
        <w:rPr>
          <w:snapToGrid w:val="0"/>
        </w:rPr>
      </w:pPr>
      <w:r>
        <w:rPr>
          <w:snapToGrid w:val="0"/>
        </w:rPr>
        <w:tab/>
        <w:t>(a)</w:t>
      </w:r>
      <w:r>
        <w:rPr>
          <w:snapToGrid w:val="0"/>
        </w:rPr>
        <w:tab/>
        <w:t>the name of the person or persons against whom the proceedings have been instituted; and</w:t>
      </w:r>
    </w:p>
    <w:p>
      <w:pPr>
        <w:pStyle w:val="Indenta"/>
        <w:rPr>
          <w:snapToGrid w:val="0"/>
        </w:rPr>
      </w:pPr>
      <w:r>
        <w:rPr>
          <w:snapToGrid w:val="0"/>
        </w:rPr>
        <w:tab/>
        <w:t>(b)</w:t>
      </w:r>
      <w:r>
        <w:rPr>
          <w:snapToGrid w:val="0"/>
        </w:rPr>
        <w:tab/>
        <w:t>the offence or offences alleged in the proceedings; and</w:t>
      </w:r>
    </w:p>
    <w:p>
      <w:pPr>
        <w:pStyle w:val="Indenta"/>
        <w:keepNext/>
        <w:rPr>
          <w:snapToGrid w:val="0"/>
        </w:rPr>
      </w:pPr>
      <w:r>
        <w:rPr>
          <w:snapToGrid w:val="0"/>
        </w:rPr>
        <w:tab/>
        <w:t>(c)</w:t>
      </w:r>
      <w:r>
        <w:rPr>
          <w:snapToGrid w:val="0"/>
        </w:rPr>
        <w:tab/>
        <w:t>the result of the proceedings.</w:t>
      </w:r>
    </w:p>
    <w:p>
      <w:pPr>
        <w:pStyle w:val="Footnotesection"/>
        <w:keepLines w:val="0"/>
        <w:ind w:left="890" w:hanging="890"/>
      </w:pPr>
      <w:r>
        <w:tab/>
        <w:t>[Section 33 amended by No. 24 of 1998 s. 43; No. 35 of 2003 s. 137 and 166; No. 84 of 2004 s. 80.]</w:t>
      </w:r>
    </w:p>
    <w:p>
      <w:pPr>
        <w:pStyle w:val="Heading5"/>
        <w:rPr>
          <w:bCs/>
        </w:rPr>
      </w:pPr>
      <w:bookmarkStart w:id="145" w:name="_Toc406079865"/>
      <w:bookmarkStart w:id="146" w:name="_Toc423529618"/>
      <w:r>
        <w:rPr>
          <w:rStyle w:val="CharSectno"/>
        </w:rPr>
        <w:t>34</w:t>
      </w:r>
      <w:r>
        <w:rPr>
          <w:bCs/>
        </w:rPr>
        <w:t>.</w:t>
      </w:r>
      <w:r>
        <w:rPr>
          <w:bCs/>
        </w:rPr>
        <w:tab/>
        <w:t>Offences to be dealt with by magistrate</w:t>
      </w:r>
      <w:bookmarkEnd w:id="145"/>
      <w:bookmarkEnd w:id="146"/>
    </w:p>
    <w:p>
      <w:pPr>
        <w:pStyle w:val="Subsection"/>
      </w:pPr>
      <w:r>
        <w:tab/>
      </w:r>
      <w:r>
        <w:tab/>
        <w:t>A court of summary jurisdiction dealing with an offence under this Act is to be constituted by a magistrate.</w:t>
      </w:r>
    </w:p>
    <w:p>
      <w:pPr>
        <w:pStyle w:val="Footnotesection"/>
      </w:pPr>
      <w:r>
        <w:tab/>
        <w:t>[Section 34 inserted by No. 59 of 2004 s. 141.]</w:t>
      </w:r>
    </w:p>
    <w:p>
      <w:pPr>
        <w:pStyle w:val="Heading5"/>
      </w:pPr>
      <w:bookmarkStart w:id="147" w:name="_Toc406079866"/>
      <w:bookmarkStart w:id="148" w:name="_Toc423529619"/>
      <w:r>
        <w:rPr>
          <w:rStyle w:val="CharSectno"/>
        </w:rPr>
        <w:t>35</w:t>
      </w:r>
      <w:r>
        <w:t>.</w:t>
      </w:r>
      <w:r>
        <w:tab/>
        <w:t>General penalty</w:t>
      </w:r>
      <w:bookmarkEnd w:id="147"/>
      <w:bookmarkEnd w:id="148"/>
    </w:p>
    <w:p>
      <w:pPr>
        <w:pStyle w:val="Subsection"/>
        <w:rPr>
          <w:snapToGrid w:val="0"/>
        </w:rPr>
      </w:pPr>
      <w:r>
        <w:tab/>
      </w:r>
      <w:r>
        <w:tab/>
        <w:t>The penalty for an offence under this Act for which no penalty is specifically provided is a fine of $1 000.</w:t>
      </w:r>
    </w:p>
    <w:p>
      <w:pPr>
        <w:pStyle w:val="Footnotesection"/>
      </w:pPr>
      <w:r>
        <w:tab/>
        <w:t>[Section 35 inserted by No. 50 of 2003 s. 66(3).]</w:t>
      </w:r>
    </w:p>
    <w:p>
      <w:pPr>
        <w:pStyle w:val="Heading5"/>
        <w:rPr>
          <w:snapToGrid w:val="0"/>
        </w:rPr>
      </w:pPr>
      <w:bookmarkStart w:id="149" w:name="_Toc406079867"/>
      <w:bookmarkStart w:id="150" w:name="_Toc423529620"/>
      <w:r>
        <w:rPr>
          <w:rStyle w:val="CharSectno"/>
        </w:rPr>
        <w:t>36</w:t>
      </w:r>
      <w:r>
        <w:rPr>
          <w:snapToGrid w:val="0"/>
        </w:rPr>
        <w:t>.</w:t>
      </w:r>
      <w:r>
        <w:rPr>
          <w:snapToGrid w:val="0"/>
        </w:rPr>
        <w:tab/>
        <w:t>Infringement notices</w:t>
      </w:r>
      <w:bookmarkEnd w:id="149"/>
      <w:bookmarkEnd w:id="150"/>
    </w:p>
    <w:p>
      <w:pPr>
        <w:pStyle w:val="Subsection"/>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w:t>
      </w:r>
    </w:p>
    <w:p>
      <w:pPr>
        <w:pStyle w:val="Indenta"/>
        <w:rPr>
          <w:snapToGrid w:val="0"/>
        </w:rPr>
      </w:pPr>
      <w:r>
        <w:rPr>
          <w:snapToGrid w:val="0"/>
        </w:rPr>
        <w:tab/>
        <w:t>(a)</w:t>
      </w:r>
      <w:r>
        <w:rPr>
          <w:snapToGrid w:val="0"/>
        </w:rPr>
        <w:tab/>
        <w:t>the place where the offence occurs; and</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r>
        <w:tab/>
        <w:t>[Section 36 amended by No. 84 of 2004 s. 80.]</w:t>
      </w:r>
    </w:p>
    <w:p>
      <w:pPr>
        <w:pStyle w:val="Heading5"/>
        <w:rPr>
          <w:snapToGrid w:val="0"/>
        </w:rPr>
      </w:pPr>
      <w:bookmarkStart w:id="151" w:name="_Toc406079868"/>
      <w:bookmarkStart w:id="152" w:name="_Toc423529621"/>
      <w:r>
        <w:rPr>
          <w:rStyle w:val="CharSectno"/>
        </w:rPr>
        <w:t>37</w:t>
      </w:r>
      <w:r>
        <w:rPr>
          <w:snapToGrid w:val="0"/>
        </w:rPr>
        <w:t>.</w:t>
      </w:r>
      <w:r>
        <w:rPr>
          <w:snapToGrid w:val="0"/>
        </w:rPr>
        <w:tab/>
        <w:t>Criminal liability of directors etc.</w:t>
      </w:r>
      <w:bookmarkEnd w:id="151"/>
      <w:bookmarkEnd w:id="152"/>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ind w:left="890" w:hanging="890"/>
      </w:pPr>
      <w:r>
        <w:tab/>
        <w:t>[Section 37 amended by No. 24 of 1998 s. 44; No. 10 of 2001 s. 87; No. 35 of 2003 s. 166.]</w:t>
      </w:r>
    </w:p>
    <w:p>
      <w:pPr>
        <w:pStyle w:val="Heading5"/>
        <w:rPr>
          <w:snapToGrid w:val="0"/>
        </w:rPr>
      </w:pPr>
      <w:bookmarkStart w:id="153" w:name="_Toc406079869"/>
      <w:bookmarkStart w:id="154" w:name="_Toc423529622"/>
      <w:r>
        <w:rPr>
          <w:rStyle w:val="CharSectno"/>
        </w:rPr>
        <w:t>38</w:t>
      </w:r>
      <w:r>
        <w:rPr>
          <w:snapToGrid w:val="0"/>
        </w:rPr>
        <w:t>.</w:t>
      </w:r>
      <w:r>
        <w:rPr>
          <w:snapToGrid w:val="0"/>
        </w:rPr>
        <w:tab/>
        <w:t>Service of notices</w:t>
      </w:r>
      <w:bookmarkEnd w:id="153"/>
      <w:bookmarkEnd w:id="154"/>
    </w:p>
    <w:p>
      <w:pPr>
        <w:pStyle w:val="Subsection"/>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keepLines/>
        <w:spacing w:before="60"/>
        <w:rPr>
          <w:snapToGrid w:val="0"/>
        </w:rPr>
      </w:pPr>
      <w:r>
        <w:rPr>
          <w:snapToGrid w:val="0"/>
        </w:rPr>
        <w:tab/>
        <w:t>(b)</w:t>
      </w:r>
      <w:r>
        <w:rPr>
          <w:snapToGrid w:val="0"/>
        </w:rPr>
        <w:tab/>
        <w:t xml:space="preserve">a body of persons incorporated under the </w:t>
      </w:r>
      <w:r>
        <w:rPr>
          <w:i/>
          <w:snapToGrid w:val="0"/>
        </w:rPr>
        <w:t>Associations Incorporation Act 1987</w:t>
      </w:r>
      <w:r>
        <w:rPr>
          <w:snapToGrid w:val="0"/>
        </w:rPr>
        <w:t>, by service in a manner authorised for the service of a notice under that Act,</w:t>
      </w:r>
    </w:p>
    <w:p>
      <w:pPr>
        <w:pStyle w:val="Subsection"/>
        <w:keepLines/>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ind w:left="890" w:hanging="890"/>
      </w:pPr>
      <w:r>
        <w:tab/>
        <w:t>[Section 38 amended by No. 24 of 1998 s. 45; No. 10 of 2001 s. 88; No. 35 of 2003 s. 139.]</w:t>
      </w:r>
    </w:p>
    <w:p>
      <w:pPr>
        <w:pStyle w:val="Heading5"/>
        <w:rPr>
          <w:snapToGrid w:val="0"/>
        </w:rPr>
      </w:pPr>
      <w:bookmarkStart w:id="155" w:name="_Toc406079870"/>
      <w:bookmarkStart w:id="156" w:name="_Toc423529623"/>
      <w:r>
        <w:rPr>
          <w:rStyle w:val="CharSectno"/>
        </w:rPr>
        <w:t>39</w:t>
      </w:r>
      <w:r>
        <w:rPr>
          <w:snapToGrid w:val="0"/>
        </w:rPr>
        <w:t>.</w:t>
      </w:r>
      <w:r>
        <w:rPr>
          <w:snapToGrid w:val="0"/>
        </w:rPr>
        <w:tab/>
        <w:t>Evidentiary provisions for charges of offences</w:t>
      </w:r>
      <w:bookmarkEnd w:id="155"/>
      <w:bookmarkEnd w:id="156"/>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 and</w:t>
      </w:r>
    </w:p>
    <w:p>
      <w:pPr>
        <w:pStyle w:val="Indenta"/>
        <w:rPr>
          <w:snapToGrid w:val="0"/>
        </w:rPr>
      </w:pPr>
      <w:r>
        <w:rPr>
          <w:snapToGrid w:val="0"/>
        </w:rPr>
        <w:tab/>
        <w:t>(b)</w:t>
      </w:r>
      <w:r>
        <w:rPr>
          <w:snapToGrid w:val="0"/>
        </w:rPr>
        <w:tab/>
        <w:t>a document signed by a member of the Commission stating that at the time or during the period stated in the document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keepLines/>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 and</w:t>
      </w:r>
    </w:p>
    <w:p>
      <w:pPr>
        <w:pStyle w:val="Indenta"/>
        <w:rPr>
          <w:snapToGrid w:val="0"/>
        </w:rPr>
      </w:pPr>
      <w:r>
        <w:rPr>
          <w:snapToGrid w:val="0"/>
        </w:rPr>
        <w:tab/>
        <w:t>(d)</w:t>
      </w:r>
      <w:r>
        <w:rPr>
          <w:snapToGrid w:val="0"/>
        </w:rPr>
        <w:tab/>
        <w:t>an averment that —</w:t>
      </w:r>
    </w:p>
    <w:p>
      <w:pPr>
        <w:pStyle w:val="Indenti"/>
        <w:rPr>
          <w:snapToGrid w:val="0"/>
        </w:rPr>
      </w:pPr>
      <w:r>
        <w:rPr>
          <w:snapToGrid w:val="0"/>
        </w:rPr>
        <w:tab/>
        <w:t>(i)</w:t>
      </w:r>
      <w:r>
        <w:rPr>
          <w:snapToGrid w:val="0"/>
        </w:rPr>
        <w:tab/>
        <w:t>a person is of a specified age or is under or over a specified age; or</w:t>
      </w:r>
    </w:p>
    <w:p>
      <w:pPr>
        <w:pStyle w:val="Indenti"/>
        <w:rPr>
          <w:snapToGrid w:val="0"/>
        </w:rPr>
      </w:pPr>
      <w:r>
        <w:rPr>
          <w:snapToGrid w:val="0"/>
        </w:rPr>
        <w:tab/>
        <w:t>(ii)</w:t>
      </w:r>
      <w:r>
        <w:rPr>
          <w:snapToGrid w:val="0"/>
        </w:rPr>
        <w:tab/>
        <w:t>that any premises at which an offence was committed was a place to which an approval, permit or certificate applies or did not apply; or</w:t>
      </w:r>
    </w:p>
    <w:p>
      <w:pPr>
        <w:pStyle w:val="Indenti"/>
        <w:rPr>
          <w:snapToGrid w:val="0"/>
        </w:rPr>
      </w:pPr>
      <w:r>
        <w:rPr>
          <w:snapToGrid w:val="0"/>
        </w:rPr>
        <w:tab/>
        <w:t>(iii)</w:t>
      </w:r>
      <w:r>
        <w:rPr>
          <w:snapToGrid w:val="0"/>
        </w:rPr>
        <w:tab/>
        <w:t>a specified game is of a kind essentially similar to a game of another specified kind; or</w:t>
      </w:r>
    </w:p>
    <w:p>
      <w:pPr>
        <w:pStyle w:val="Indenti"/>
        <w:rPr>
          <w:snapToGrid w:val="0"/>
        </w:rPr>
      </w:pPr>
      <w:r>
        <w:rPr>
          <w:snapToGrid w:val="0"/>
        </w:rPr>
        <w:tab/>
        <w:t>(iiia)</w:t>
      </w:r>
      <w:r>
        <w:rPr>
          <w:snapToGrid w:val="0"/>
        </w:rPr>
        <w:tab/>
        <w:t xml:space="preserve">a specified game is a game that is commonly played in casinos (whether in </w:t>
      </w:r>
      <w:smartTag w:uri="urn:schemas-microsoft-com:office:smarttags" w:element="place">
        <w:smartTag w:uri="urn:schemas-microsoft-com:office:smarttags" w:element="country-region">
          <w:r>
            <w:rPr>
              <w:snapToGrid w:val="0"/>
            </w:rPr>
            <w:t>Australia</w:t>
          </w:r>
        </w:smartTag>
      </w:smartTag>
      <w:r>
        <w:rPr>
          <w:snapToGrid w:val="0"/>
        </w:rPr>
        <w:t xml:space="preserve"> or elsewhere) or is a variation or derivative of such a game; or</w:t>
      </w:r>
    </w:p>
    <w:p>
      <w:pPr>
        <w:pStyle w:val="Indenti"/>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 and</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 and</w:t>
      </w:r>
    </w:p>
    <w:p>
      <w:pPr>
        <w:pStyle w:val="Indenta"/>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 and</w:t>
      </w:r>
    </w:p>
    <w:p>
      <w:pPr>
        <w:pStyle w:val="Indenta"/>
        <w:keepLines/>
        <w:spacing w:before="9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 and</w:t>
      </w:r>
    </w:p>
    <w:p>
      <w:pPr>
        <w:pStyle w:val="Indenta"/>
        <w:spacing w:before="90"/>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 and</w:t>
      </w:r>
    </w:p>
    <w:p>
      <w:pPr>
        <w:pStyle w:val="Indenta"/>
        <w:spacing w:before="90"/>
        <w:rPr>
          <w:snapToGrid w:val="0"/>
        </w:rPr>
      </w:pPr>
      <w:r>
        <w:rPr>
          <w:snapToGrid w:val="0"/>
        </w:rPr>
        <w:tab/>
        <w:t>(d)</w:t>
      </w:r>
      <w:r>
        <w:rPr>
          <w:snapToGrid w:val="0"/>
        </w:rPr>
        <w:tab/>
        <w:t>the playing of a game of chance or participation in any activity which —</w:t>
      </w:r>
    </w:p>
    <w:p>
      <w:pPr>
        <w:pStyle w:val="Indenti"/>
        <w:spacing w:before="90"/>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 or</w:t>
      </w:r>
    </w:p>
    <w:p>
      <w:pPr>
        <w:pStyle w:val="Indenti"/>
        <w:spacing w:before="90"/>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spacing w:before="90"/>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spacing w:before="90"/>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spacing w:before="90"/>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w:t>
      </w:r>
    </w:p>
    <w:p>
      <w:pPr>
        <w:pStyle w:val="Indenti"/>
        <w:spacing w:before="90"/>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spacing w:before="90"/>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rPr>
          <w:snapToGrid w:val="0"/>
        </w:rPr>
      </w:pPr>
      <w:r>
        <w:rPr>
          <w:snapToGrid w:val="0"/>
        </w:rPr>
        <w:tab/>
        <w:t>(3)</w:t>
      </w:r>
      <w:r>
        <w:rPr>
          <w:snapToGrid w:val="0"/>
        </w:rPr>
        <w:tab/>
        <w:t>Where on the hearing of a prosecution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w:t>
      </w:r>
    </w:p>
    <w:p>
      <w:pPr>
        <w:pStyle w:val="Indenti"/>
        <w:rPr>
          <w:snapToGrid w:val="0"/>
        </w:rPr>
      </w:pPr>
      <w:r>
        <w:rPr>
          <w:snapToGrid w:val="0"/>
        </w:rPr>
        <w:tab/>
        <w:t>(i)</w:t>
      </w:r>
      <w:r>
        <w:rPr>
          <w:snapToGrid w:val="0"/>
        </w:rPr>
        <w:tab/>
      </w:r>
      <w:r>
        <w:t>gambling</w:t>
      </w:r>
      <w:r>
        <w:rPr>
          <w:snapToGrid w:val="0"/>
        </w:rPr>
        <w:t xml:space="preserve"> in; or</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rPr>
          <w:snapToGrid w:val="0"/>
        </w:rPr>
      </w:pPr>
      <w:r>
        <w:rPr>
          <w:snapToGrid w:val="0"/>
        </w:rPr>
        <w:tab/>
      </w:r>
      <w:r>
        <w:rPr>
          <w:snapToGrid w:val="0"/>
        </w:rPr>
        <w:tab/>
        <w:t>it shall be presumed, unless the contrary is proved, that games played at those premises were games played for money.</w:t>
      </w:r>
    </w:p>
    <w:p>
      <w:pPr>
        <w:pStyle w:val="Subsection"/>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w:t>
      </w:r>
    </w:p>
    <w:p>
      <w:pPr>
        <w:pStyle w:val="Indenta"/>
        <w:rPr>
          <w:snapToGrid w:val="0"/>
        </w:rPr>
      </w:pPr>
      <w:r>
        <w:rPr>
          <w:snapToGrid w:val="0"/>
        </w:rPr>
        <w:tab/>
        <w:t>(a)</w:t>
      </w:r>
      <w:r>
        <w:rPr>
          <w:snapToGrid w:val="0"/>
        </w:rPr>
        <w:tab/>
        <w:t>taking part in the conduct of the game; or</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spacing w:before="200"/>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keepLines w:val="0"/>
        <w:ind w:left="890" w:hanging="890"/>
      </w:pPr>
      <w:r>
        <w:tab/>
        <w:t>[Section 39 amended by No. 16 of 1990 s. 33; No. 24 of 1998 s. 46; No. 35 of 2003 s. 140, 166 and 167; No. 84 of 2004 s. 80.]</w:t>
      </w:r>
    </w:p>
    <w:p>
      <w:pPr>
        <w:pStyle w:val="Heading5"/>
        <w:rPr>
          <w:snapToGrid w:val="0"/>
        </w:rPr>
      </w:pPr>
      <w:bookmarkStart w:id="157" w:name="_Toc406079871"/>
      <w:bookmarkStart w:id="158" w:name="_Toc423529624"/>
      <w:r>
        <w:rPr>
          <w:rStyle w:val="CharSectno"/>
        </w:rPr>
        <w:t>40</w:t>
      </w:r>
      <w:r>
        <w:rPr>
          <w:snapToGrid w:val="0"/>
        </w:rPr>
        <w:t>.</w:t>
      </w:r>
      <w:r>
        <w:rPr>
          <w:snapToGrid w:val="0"/>
        </w:rPr>
        <w:tab/>
        <w:t>Evidentiary provisions for charges involving common gaming houses</w:t>
      </w:r>
      <w:bookmarkEnd w:id="157"/>
      <w:bookmarkEnd w:id="158"/>
    </w:p>
    <w:p>
      <w:pPr>
        <w:pStyle w:val="Subsection"/>
        <w:rPr>
          <w:snapToGrid w:val="0"/>
        </w:rPr>
      </w:pPr>
      <w:r>
        <w:rPr>
          <w:snapToGrid w:val="0"/>
        </w:rPr>
        <w:tab/>
        <w:t>(1)</w:t>
      </w:r>
      <w:r>
        <w:rPr>
          <w:snapToGrid w:val="0"/>
        </w:rPr>
        <w:tab/>
        <w:t>Where a person is charged with an offence in relation to any premises alleged to be a common gaming house —</w:t>
      </w:r>
    </w:p>
    <w:p>
      <w:pPr>
        <w:pStyle w:val="Indenta"/>
        <w:spacing w:before="70"/>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spacing w:before="70"/>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spacing w:before="70"/>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w:t>
      </w:r>
    </w:p>
    <w:p>
      <w:pPr>
        <w:pStyle w:val="Indenti"/>
        <w:spacing w:before="70"/>
        <w:rPr>
          <w:snapToGrid w:val="0"/>
        </w:rPr>
      </w:pPr>
      <w:r>
        <w:rPr>
          <w:snapToGrid w:val="0"/>
        </w:rPr>
        <w:tab/>
        <w:t>(i)</w:t>
      </w:r>
      <w:r>
        <w:rPr>
          <w:snapToGrid w:val="0"/>
        </w:rPr>
        <w:tab/>
        <w:t>the game is an unlawful game; or</w:t>
      </w:r>
    </w:p>
    <w:p>
      <w:pPr>
        <w:pStyle w:val="Indenti"/>
        <w:spacing w:before="70"/>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 or</w:t>
      </w:r>
    </w:p>
    <w:p>
      <w:pPr>
        <w:pStyle w:val="Indenti"/>
        <w:spacing w:before="70"/>
        <w:rPr>
          <w:snapToGrid w:val="0"/>
        </w:rPr>
      </w:pPr>
      <w:r>
        <w:rPr>
          <w:snapToGrid w:val="0"/>
        </w:rPr>
        <w:tab/>
        <w:t>(iii)</w:t>
      </w:r>
      <w:r>
        <w:rPr>
          <w:snapToGrid w:val="0"/>
        </w:rPr>
        <w:tab/>
        <w:t>the nature of the game is such that the chances in the game are not equally favourable to all players; or</w:t>
      </w:r>
    </w:p>
    <w:p>
      <w:pPr>
        <w:pStyle w:val="Indenti"/>
        <w:spacing w:before="70"/>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 or</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pPr>
      <w:r>
        <w:tab/>
        <w:t>(3)</w:t>
      </w:r>
      <w:r>
        <w:tab/>
        <w:t>Despite any rule of law, premises shall not be taken to be a common gaming house or a common betting house by reason only of the carrying on there of gaming or wagering.</w:t>
      </w:r>
    </w:p>
    <w:p>
      <w:pPr>
        <w:pStyle w:val="Subsection"/>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rPr>
          <w:snapToGrid w:val="0"/>
        </w:rPr>
      </w:pPr>
      <w:r>
        <w:rPr>
          <w:snapToGrid w:val="0"/>
        </w:rPr>
        <w:tab/>
        <w:t>(4)</w:t>
      </w:r>
      <w:r>
        <w:rPr>
          <w:snapToGrid w:val="0"/>
        </w:rPr>
        <w:tab/>
        <w:t>Where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 or</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 or</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ind w:left="890" w:hanging="890"/>
      </w:pPr>
      <w:r>
        <w:tab/>
        <w:t>[Section 40 amended by No. 35 of 2003 s. 141.]</w:t>
      </w:r>
    </w:p>
    <w:p>
      <w:pPr>
        <w:pStyle w:val="Heading2"/>
      </w:pPr>
      <w:bookmarkStart w:id="159" w:name="_Toc402969399"/>
      <w:bookmarkStart w:id="160" w:name="_Toc406075208"/>
      <w:bookmarkStart w:id="161" w:name="_Toc406075649"/>
      <w:bookmarkStart w:id="162" w:name="_Toc406079872"/>
      <w:bookmarkStart w:id="163" w:name="_Toc418677692"/>
      <w:bookmarkStart w:id="164" w:name="_Toc418677844"/>
      <w:bookmarkStart w:id="165" w:name="_Toc423529625"/>
      <w:r>
        <w:rPr>
          <w:rStyle w:val="CharPartNo"/>
        </w:rPr>
        <w:t>Part IV</w:t>
      </w:r>
      <w:r>
        <w:rPr>
          <w:rStyle w:val="CharDivNo"/>
        </w:rPr>
        <w:t> </w:t>
      </w:r>
      <w:r>
        <w:t>—</w:t>
      </w:r>
      <w:r>
        <w:rPr>
          <w:rStyle w:val="CharDivText"/>
        </w:rPr>
        <w:t> </w:t>
      </w:r>
      <w:r>
        <w:rPr>
          <w:rStyle w:val="CharPartText"/>
        </w:rPr>
        <w:t>Common gaming houses, unlawful gaming, cheating etc.</w:t>
      </w:r>
      <w:bookmarkEnd w:id="159"/>
      <w:bookmarkEnd w:id="160"/>
      <w:bookmarkEnd w:id="161"/>
      <w:bookmarkEnd w:id="162"/>
      <w:bookmarkEnd w:id="163"/>
      <w:bookmarkEnd w:id="164"/>
      <w:bookmarkEnd w:id="165"/>
    </w:p>
    <w:p>
      <w:pPr>
        <w:pStyle w:val="Heading5"/>
      </w:pPr>
      <w:bookmarkStart w:id="166" w:name="_Toc406079873"/>
      <w:bookmarkStart w:id="167" w:name="_Toc423529626"/>
      <w:r>
        <w:rPr>
          <w:rStyle w:val="CharSectno"/>
        </w:rPr>
        <w:t>40A</w:t>
      </w:r>
      <w:r>
        <w:t>.</w:t>
      </w:r>
      <w:r>
        <w:tab/>
        <w:t>Part does not apply to gambling under other written laws</w:t>
      </w:r>
      <w:bookmarkEnd w:id="166"/>
      <w:bookmarkEnd w:id="167"/>
    </w:p>
    <w:p>
      <w:pPr>
        <w:pStyle w:val="Subsection"/>
      </w:pPr>
      <w:r>
        <w:tab/>
      </w:r>
      <w:r>
        <w:tab/>
        <w:t>In this Part —</w:t>
      </w:r>
    </w:p>
    <w:p>
      <w:pPr>
        <w:pStyle w:val="Defstart"/>
      </w:pPr>
      <w:r>
        <w:rPr>
          <w:b/>
        </w:rPr>
        <w:tab/>
      </w:r>
      <w:r>
        <w:rPr>
          <w:rStyle w:val="CharDefText"/>
        </w:rPr>
        <w:t>gambling</w:t>
      </w:r>
      <w:r>
        <w:t xml:space="preserve"> and </w:t>
      </w:r>
      <w:r>
        <w:rPr>
          <w:rStyle w:val="CharDefText"/>
        </w:rPr>
        <w:t>wagering</w:t>
      </w:r>
      <w:r>
        <w:t>, except in relation to section 44, do not include gambling under and in accordance with —</w:t>
      </w:r>
    </w:p>
    <w:p>
      <w:pPr>
        <w:pStyle w:val="Defpara"/>
      </w:pPr>
      <w:r>
        <w:tab/>
        <w:t>(a)</w:t>
      </w:r>
      <w:r>
        <w:tab/>
        <w:t xml:space="preserve">the </w:t>
      </w:r>
      <w:r>
        <w:rPr>
          <w:i/>
        </w:rPr>
        <w:t>Betting Control Act 1954</w:t>
      </w:r>
      <w:r>
        <w:t>; or</w:t>
      </w:r>
    </w:p>
    <w:p>
      <w:pPr>
        <w:pStyle w:val="Defpara"/>
      </w:pPr>
      <w:r>
        <w:tab/>
        <w:t>(b)</w:t>
      </w:r>
      <w:r>
        <w:tab/>
        <w:t xml:space="preserve">the </w:t>
      </w:r>
      <w:r>
        <w:rPr>
          <w:i/>
        </w:rPr>
        <w:t>Lotteries Commission Act 1990</w:t>
      </w:r>
      <w:r>
        <w:t>; or</w:t>
      </w:r>
    </w:p>
    <w:p>
      <w:pPr>
        <w:pStyle w:val="Defpara"/>
      </w:pPr>
      <w:r>
        <w:tab/>
        <w:t>(c)</w:t>
      </w:r>
      <w:r>
        <w:tab/>
        <w:t>the RWWA Act; or</w:t>
      </w:r>
    </w:p>
    <w:p>
      <w:pPr>
        <w:pStyle w:val="Defpara"/>
      </w:pPr>
      <w:r>
        <w:tab/>
        <w:t>(d)</w:t>
      </w:r>
      <w:r>
        <w:tab/>
        <w:t xml:space="preserve">the </w:t>
      </w:r>
      <w:r>
        <w:rPr>
          <w:i/>
        </w:rPr>
        <w:t>Casino Control Act 1984</w:t>
      </w:r>
      <w:r>
        <w:t>.</w:t>
      </w:r>
    </w:p>
    <w:p>
      <w:pPr>
        <w:pStyle w:val="Footnotesection"/>
        <w:ind w:left="890" w:hanging="890"/>
      </w:pPr>
      <w:r>
        <w:tab/>
        <w:t>[Section 40A inserted by No. 35 of 2003 s. 142.]</w:t>
      </w:r>
    </w:p>
    <w:p>
      <w:pPr>
        <w:pStyle w:val="Heading5"/>
        <w:rPr>
          <w:snapToGrid w:val="0"/>
        </w:rPr>
      </w:pPr>
      <w:bookmarkStart w:id="168" w:name="_Toc406079874"/>
      <w:bookmarkStart w:id="169" w:name="_Toc423529627"/>
      <w:r>
        <w:rPr>
          <w:rStyle w:val="CharSectno"/>
        </w:rPr>
        <w:t>41</w:t>
      </w:r>
      <w:r>
        <w:rPr>
          <w:snapToGrid w:val="0"/>
        </w:rPr>
        <w:t>.</w:t>
      </w:r>
      <w:r>
        <w:rPr>
          <w:snapToGrid w:val="0"/>
        </w:rPr>
        <w:tab/>
        <w:t>Common gaming house, meaning of and offences as to</w:t>
      </w:r>
      <w:bookmarkEnd w:id="168"/>
      <w:bookmarkEnd w:id="169"/>
    </w:p>
    <w:p>
      <w:pPr>
        <w:pStyle w:val="Subsection"/>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rPr>
          <w:snapToGrid w:val="0"/>
        </w:rPr>
      </w:pPr>
      <w:r>
        <w:rPr>
          <w:snapToGrid w:val="0"/>
        </w:rPr>
        <w:tab/>
        <w:t>(3)</w:t>
      </w:r>
      <w:r>
        <w:rPr>
          <w:snapToGrid w:val="0"/>
        </w:rPr>
        <w:tab/>
        <w:t>Where any premises are opened, kept or used as a common gaming house —</w:t>
      </w:r>
    </w:p>
    <w:p>
      <w:pPr>
        <w:pStyle w:val="Indenta"/>
        <w:rPr>
          <w:snapToGrid w:val="0"/>
        </w:rPr>
      </w:pPr>
      <w:r>
        <w:rPr>
          <w:snapToGrid w:val="0"/>
        </w:rPr>
        <w:tab/>
        <w:t>(a)</w:t>
      </w:r>
      <w:r>
        <w:rPr>
          <w:snapToGrid w:val="0"/>
        </w:rPr>
        <w:tab/>
        <w:t>a person concerned in the conduct of the</w:t>
      </w:r>
      <w:r>
        <w:t xml:space="preserve"> gambling</w:t>
      </w:r>
      <w:r>
        <w:rPr>
          <w:snapToGrid w:val="0"/>
        </w:rPr>
        <w:t>; and</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(4)</w:t>
      </w:r>
      <w:r>
        <w:rPr>
          <w:snapToGrid w:val="0"/>
        </w:rPr>
        <w:tab/>
        <w:t>For the purposes of subsection (3), any person who —</w:t>
      </w:r>
    </w:p>
    <w:p>
      <w:pPr>
        <w:pStyle w:val="Indenta"/>
        <w:rPr>
          <w:snapToGrid w:val="0"/>
        </w:rPr>
      </w:pPr>
      <w:r>
        <w:rPr>
          <w:snapToGrid w:val="0"/>
        </w:rPr>
        <w:tab/>
        <w:t>(a)</w:t>
      </w:r>
      <w:r>
        <w:rPr>
          <w:snapToGrid w:val="0"/>
        </w:rPr>
        <w:tab/>
        <w:t>causes, procures or attempts to procure any other person to commit an offence of a kind referred to in that subsection; or</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w:t>
      </w:r>
    </w:p>
    <w:p>
      <w:pPr>
        <w:pStyle w:val="Indenti"/>
        <w:rPr>
          <w:snapToGrid w:val="0"/>
        </w:rPr>
      </w:pPr>
      <w:r>
        <w:rPr>
          <w:snapToGrid w:val="0"/>
        </w:rPr>
        <w:tab/>
        <w:t>(i)</w:t>
      </w:r>
      <w:r>
        <w:rPr>
          <w:snapToGrid w:val="0"/>
        </w:rPr>
        <w:tab/>
        <w:t>providing, servicing, operating or using any gaming equipment or instrument of gaming; or</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keepLines/>
        <w:rPr>
          <w:snapToGrid w:val="0"/>
        </w:rPr>
      </w:pPr>
      <w:r>
        <w:rPr>
          <w:snapToGrid w:val="0"/>
        </w:rPr>
        <w:tab/>
        <w:t>(5)</w:t>
      </w:r>
      <w:r>
        <w:rPr>
          <w:snapToGrid w:val="0"/>
        </w:rPr>
        <w:tab/>
        <w:t>The court by or before which a person is convicted of an offence under subsection (3) shall order any gaming equipment, instruments of gaming or related furnishings, and any money or other thing which has been seized and which the court is satisfied was found to be on the premises at the time of the offence, not being money or a thing shown to the satisfaction of the court not to relate to the offence, to be forfeited to the Crown.</w:t>
      </w:r>
    </w:p>
    <w:p>
      <w:pPr>
        <w:pStyle w:val="Subsection"/>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t>Penalty: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by No. 24 of 1998 s. 47; No. 35 of 2003 s. 143 and 166; No. 59 of 2006 s. 52.]</w:t>
      </w:r>
    </w:p>
    <w:p>
      <w:pPr>
        <w:pStyle w:val="Heading5"/>
        <w:rPr>
          <w:snapToGrid w:val="0"/>
        </w:rPr>
      </w:pPr>
      <w:bookmarkStart w:id="170" w:name="_Toc406079875"/>
      <w:bookmarkStart w:id="171" w:name="_Toc423529628"/>
      <w:r>
        <w:rPr>
          <w:rStyle w:val="CharSectno"/>
        </w:rPr>
        <w:t>42</w:t>
      </w:r>
      <w:r>
        <w:rPr>
          <w:snapToGrid w:val="0"/>
        </w:rPr>
        <w:t>.</w:t>
      </w:r>
      <w:r>
        <w:rPr>
          <w:snapToGrid w:val="0"/>
        </w:rPr>
        <w:tab/>
        <w:t>Prohibited gaming and unlawful games defined and offences as to</w:t>
      </w:r>
      <w:bookmarkEnd w:id="170"/>
      <w:bookmarkEnd w:id="171"/>
    </w:p>
    <w:p>
      <w:pPr>
        <w:pStyle w:val="Subsection"/>
        <w:rPr>
          <w:snapToGrid w:val="0"/>
        </w:rPr>
      </w:pPr>
      <w:r>
        <w:rPr>
          <w:snapToGrid w:val="0"/>
        </w:rPr>
        <w:tab/>
        <w:t>(1)</w:t>
      </w:r>
      <w:r>
        <w:rPr>
          <w:snapToGrid w:val="0"/>
        </w:rPr>
        <w:tab/>
        <w:t>Subject to subsection (3), the conduct of gaming by means of or the playing of —</w:t>
      </w:r>
    </w:p>
    <w:p>
      <w:pPr>
        <w:pStyle w:val="Indenta"/>
        <w:spacing w:before="60"/>
        <w:rPr>
          <w:snapToGrid w:val="0"/>
        </w:rPr>
      </w:pPr>
      <w:r>
        <w:rPr>
          <w:snapToGrid w:val="0"/>
        </w:rPr>
        <w:tab/>
        <w:t>(a)</w:t>
      </w:r>
      <w:r>
        <w:rPr>
          <w:snapToGrid w:val="0"/>
        </w:rPr>
        <w:tab/>
        <w:t>thimblerig; or</w:t>
      </w:r>
    </w:p>
    <w:p>
      <w:pPr>
        <w:pStyle w:val="Indenta"/>
        <w:spacing w:before="60"/>
        <w:rPr>
          <w:snapToGrid w:val="0"/>
        </w:rPr>
      </w:pPr>
      <w:r>
        <w:rPr>
          <w:snapToGrid w:val="0"/>
        </w:rPr>
        <w:tab/>
        <w:t>(b)</w:t>
      </w:r>
      <w:r>
        <w:rPr>
          <w:snapToGrid w:val="0"/>
        </w:rPr>
        <w:tab/>
        <w:t>two</w:t>
      </w:r>
      <w:r>
        <w:rPr>
          <w:snapToGrid w:val="0"/>
        </w:rPr>
        <w:noBreakHyphen/>
        <w:t>up, other than permitted two</w:t>
      </w:r>
      <w:r>
        <w:rPr>
          <w:snapToGrid w:val="0"/>
        </w:rPr>
        <w:noBreakHyphen/>
        <w:t>up; or</w:t>
      </w:r>
    </w:p>
    <w:p>
      <w:pPr>
        <w:pStyle w:val="Indenta"/>
        <w:spacing w:before="60"/>
        <w:rPr>
          <w:snapToGrid w:val="0"/>
        </w:rPr>
      </w:pPr>
      <w:r>
        <w:rPr>
          <w:snapToGrid w:val="0"/>
        </w:rPr>
        <w:tab/>
        <w:t>(c)</w:t>
      </w:r>
      <w:r>
        <w:rPr>
          <w:snapToGrid w:val="0"/>
        </w:rPr>
        <w:tab/>
        <w:t>a game of a kind to which section 46(2)(a) refers or the playing of which would contravene the prohibitions referred to in section 46(2)(b), other than at Burswood Casino; or</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 or</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spacing w:before="100"/>
        <w:rPr>
          <w:snapToGrid w:val="0"/>
        </w:rPr>
      </w:pPr>
      <w:r>
        <w:rPr>
          <w:snapToGrid w:val="0"/>
        </w:rPr>
        <w:tab/>
      </w:r>
      <w:r>
        <w:rPr>
          <w:snapToGrid w:val="0"/>
        </w:rPr>
        <w:tab/>
        <w:t>is prohibited.</w:t>
      </w:r>
    </w:p>
    <w:p>
      <w:pPr>
        <w:pStyle w:val="Subsection"/>
        <w:spacing w:before="100"/>
        <w:rPr>
          <w:snapToGrid w:val="0"/>
        </w:rPr>
      </w:pPr>
      <w:r>
        <w:rPr>
          <w:snapToGrid w:val="0"/>
        </w:rPr>
        <w:tab/>
        <w:t>(2)</w:t>
      </w:r>
      <w:r>
        <w:rPr>
          <w:snapToGrid w:val="0"/>
        </w:rPr>
        <w:tab/>
        <w:t>Any game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spacing w:before="100"/>
        <w:rPr>
          <w:snapToGrid w:val="0"/>
        </w:rPr>
      </w:pPr>
      <w:r>
        <w:rPr>
          <w:snapToGrid w:val="0"/>
        </w:rPr>
        <w:tab/>
      </w:r>
      <w:r>
        <w:rPr>
          <w:snapToGrid w:val="0"/>
        </w:rPr>
        <w:tab/>
        <w:t>is for the purposes of this Act or any other law deemed to be an unlawful game.</w:t>
      </w:r>
    </w:p>
    <w:p>
      <w:pPr>
        <w:pStyle w:val="Subsection"/>
        <w:spacing w:before="100"/>
        <w:rPr>
          <w:snapToGrid w:val="0"/>
        </w:rPr>
      </w:pPr>
      <w:r>
        <w:rPr>
          <w:snapToGrid w:val="0"/>
        </w:rPr>
        <w:tab/>
        <w:t>(3)</w:t>
      </w:r>
      <w:r>
        <w:rPr>
          <w:snapToGrid w:val="0"/>
        </w:rPr>
        <w:tab/>
        <w:t>The prohibition declared in subsection (1) shall not have effect in relation to the playing of —</w:t>
      </w:r>
    </w:p>
    <w:p>
      <w:pPr>
        <w:pStyle w:val="Indenta"/>
        <w:rPr>
          <w:snapToGrid w:val="0"/>
        </w:rPr>
      </w:pPr>
      <w:r>
        <w:rPr>
          <w:snapToGrid w:val="0"/>
        </w:rPr>
        <w:tab/>
        <w:t>(a)</w:t>
      </w:r>
      <w:r>
        <w:rPr>
          <w:snapToGrid w:val="0"/>
        </w:rPr>
        <w:tab/>
        <w:t>games with prizes being games of chance and skill combined in which skill is the predominant factor where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spacing w:before="60"/>
        <w:rPr>
          <w:snapToGrid w:val="0"/>
        </w:rPr>
      </w:pPr>
      <w:r>
        <w:rPr>
          <w:snapToGrid w:val="0"/>
        </w:rPr>
        <w:tab/>
        <w:t>(c)</w:t>
      </w:r>
      <w:r>
        <w:rPr>
          <w:snapToGrid w:val="0"/>
        </w:rPr>
        <w:tab/>
        <w:t>any other game, otherwise than in a common gaming house, if the game —</w:t>
      </w:r>
    </w:p>
    <w:p>
      <w:pPr>
        <w:pStyle w:val="Indenti"/>
        <w:spacing w:before="60"/>
        <w:rPr>
          <w:snapToGrid w:val="0"/>
        </w:rPr>
      </w:pPr>
      <w:r>
        <w:rPr>
          <w:snapToGrid w:val="0"/>
        </w:rPr>
        <w:tab/>
        <w:t>(i)</w:t>
      </w:r>
      <w:r>
        <w:rPr>
          <w:snapToGrid w:val="0"/>
        </w:rPr>
        <w:tab/>
        <w:t>is of a kind specified; and</w:t>
      </w:r>
    </w:p>
    <w:p>
      <w:pPr>
        <w:pStyle w:val="Indenti"/>
        <w:spacing w:before="60"/>
        <w:rPr>
          <w:snapToGrid w:val="0"/>
        </w:rPr>
      </w:pPr>
      <w:r>
        <w:rPr>
          <w:snapToGrid w:val="0"/>
        </w:rPr>
        <w:tab/>
        <w:t>(ii)</w:t>
      </w:r>
      <w:r>
        <w:rPr>
          <w:snapToGrid w:val="0"/>
        </w:rPr>
        <w:tab/>
        <w:t>is played in the circumstances specified; and</w:t>
      </w:r>
    </w:p>
    <w:p>
      <w:pPr>
        <w:pStyle w:val="Indenti"/>
        <w:spacing w:before="60"/>
        <w:rPr>
          <w:snapToGrid w:val="0"/>
        </w:rPr>
      </w:pPr>
      <w:r>
        <w:rPr>
          <w:snapToGrid w:val="0"/>
        </w:rPr>
        <w:tab/>
        <w:t>(iii)</w:t>
      </w:r>
      <w:r>
        <w:rPr>
          <w:snapToGrid w:val="0"/>
        </w:rPr>
        <w:tab/>
        <w:t>is so played as to comply with such conditions (if any) as may be prescribed,</w:t>
      </w:r>
    </w:p>
    <w:p>
      <w:pPr>
        <w:pStyle w:val="Indenta"/>
        <w:spacing w:before="60"/>
        <w:rPr>
          <w:snapToGrid w:val="0"/>
        </w:rPr>
      </w:pPr>
      <w:r>
        <w:rPr>
          <w:snapToGrid w:val="0"/>
        </w:rPr>
        <w:tab/>
      </w:r>
      <w:r>
        <w:rPr>
          <w:snapToGrid w:val="0"/>
        </w:rPr>
        <w:tab/>
        <w:t>by regulations made for the purposes of this subsection.</w:t>
      </w:r>
    </w:p>
    <w:p>
      <w:pPr>
        <w:pStyle w:val="Subsection"/>
        <w:spacing w:before="100"/>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$2 500.</w:t>
      </w:r>
    </w:p>
    <w:p>
      <w:pPr>
        <w:pStyle w:val="Subsection"/>
        <w:spacing w:before="100"/>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t>Penalty: $500.</w:t>
      </w:r>
    </w:p>
    <w:p>
      <w:pPr>
        <w:pStyle w:val="Footnotesection"/>
      </w:pPr>
      <w:r>
        <w:tab/>
        <w:t>[Section 42 amended by No. 35 of 2003 s. 144; No. 50 of 2003 s. 66(4).]</w:t>
      </w:r>
    </w:p>
    <w:p>
      <w:pPr>
        <w:pStyle w:val="Heading5"/>
        <w:spacing w:before="200"/>
        <w:rPr>
          <w:snapToGrid w:val="0"/>
        </w:rPr>
      </w:pPr>
      <w:bookmarkStart w:id="172" w:name="_Toc406079876"/>
      <w:bookmarkStart w:id="173" w:name="_Toc423529629"/>
      <w:r>
        <w:rPr>
          <w:rStyle w:val="CharSectno"/>
        </w:rPr>
        <w:t>43</w:t>
      </w:r>
      <w:r>
        <w:rPr>
          <w:snapToGrid w:val="0"/>
        </w:rPr>
        <w:t>.</w:t>
      </w:r>
      <w:r>
        <w:rPr>
          <w:snapToGrid w:val="0"/>
        </w:rPr>
        <w:tab/>
        <w:t>Defence of restricted access not available to charge of s. 41 or 42 offence</w:t>
      </w:r>
      <w:bookmarkEnd w:id="172"/>
      <w:bookmarkEnd w:id="173"/>
    </w:p>
    <w:p>
      <w:pPr>
        <w:pStyle w:val="Subsection"/>
        <w:spacing w:before="100"/>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r>
        <w:tab/>
        <w:t>[Section 43 amended by No. 84 of 2004 s. 80.]</w:t>
      </w:r>
    </w:p>
    <w:p>
      <w:pPr>
        <w:pStyle w:val="Heading5"/>
        <w:spacing w:before="200"/>
      </w:pPr>
      <w:bookmarkStart w:id="174" w:name="_Toc406079877"/>
      <w:bookmarkStart w:id="175" w:name="_Toc423529630"/>
      <w:r>
        <w:rPr>
          <w:rStyle w:val="CharSectno"/>
        </w:rPr>
        <w:t>43A</w:t>
      </w:r>
      <w:r>
        <w:t>.</w:t>
      </w:r>
      <w:r>
        <w:tab/>
        <w:t xml:space="preserve">Advertising </w:t>
      </w:r>
      <w:r>
        <w:rPr>
          <w:snapToGrid w:val="0"/>
        </w:rPr>
        <w:t>unlawful</w:t>
      </w:r>
      <w:r>
        <w:t xml:space="preserve"> gambling</w:t>
      </w:r>
      <w:bookmarkEnd w:id="174"/>
      <w:bookmarkEnd w:id="175"/>
    </w:p>
    <w:p>
      <w:pPr>
        <w:pStyle w:val="Subsection"/>
        <w:spacing w:before="100"/>
      </w:pPr>
      <w:r>
        <w:tab/>
        <w:t>(1)</w:t>
      </w:r>
      <w:r>
        <w:tab/>
        <w:t>In this section —</w:t>
      </w:r>
    </w:p>
    <w:p>
      <w:pPr>
        <w:pStyle w:val="Defstart"/>
      </w:pPr>
      <w:r>
        <w:rPr>
          <w:b/>
        </w:rPr>
        <w:tab/>
      </w:r>
      <w:r>
        <w:rPr>
          <w:rStyle w:val="CharDefText"/>
        </w:rPr>
        <w:t>prohibited advertisement</w:t>
      </w:r>
      <w:r>
        <w:t xml:space="preserve"> means any form of advertisement that conveys, or is likely to be understood as conveying —</w:t>
      </w:r>
    </w:p>
    <w:p>
      <w:pPr>
        <w:pStyle w:val="Defpara"/>
      </w:pPr>
      <w:r>
        <w:tab/>
        <w:t>(a)</w:t>
      </w:r>
      <w:r>
        <w:tab/>
        <w:t>the existence of a common gaming house (as defined in section 41(1)); or</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r>
      <w:r>
        <w:rPr>
          <w:rStyle w:val="CharDefText"/>
        </w:rPr>
        <w:t>unlawful gaming</w:t>
      </w:r>
      <w:r>
        <w:t xml:space="preserve"> means gaming other than —</w:t>
      </w:r>
    </w:p>
    <w:p>
      <w:pPr>
        <w:pStyle w:val="Defpara"/>
      </w:pPr>
      <w:r>
        <w:tab/>
        <w:t>(a)</w:t>
      </w:r>
      <w:r>
        <w:tab/>
        <w:t>permitted gaming; and</w:t>
      </w:r>
    </w:p>
    <w:p>
      <w:pPr>
        <w:pStyle w:val="Defpara"/>
      </w:pPr>
      <w:r>
        <w:tab/>
        <w:t>(b)</w:t>
      </w:r>
      <w:r>
        <w:tab/>
        <w:t>social gambling;</w:t>
      </w:r>
    </w:p>
    <w:p>
      <w:pPr>
        <w:pStyle w:val="Defstart"/>
      </w:pPr>
      <w:r>
        <w:rPr>
          <w:b/>
        </w:rPr>
        <w:tab/>
      </w:r>
      <w:r>
        <w:rPr>
          <w:rStyle w:val="CharDefText"/>
        </w:rPr>
        <w:t>unlawful wagering</w:t>
      </w:r>
      <w:r>
        <w:t xml:space="preserve"> means wagering other than social gambling.</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spacing w:before="160"/>
      </w:pPr>
      <w:r>
        <w:tab/>
        <w:t>Penalty: $5 000.</w:t>
      </w:r>
    </w:p>
    <w:p>
      <w:pPr>
        <w:pStyle w:val="Subsection"/>
      </w:pPr>
      <w:r>
        <w:tab/>
        <w:t>(3)</w:t>
      </w:r>
      <w:r>
        <w:tab/>
        <w:t>A person who broadcasts, prints, publishes or distributes, or has in his or her possession for the purpose of publication or distribution, an advertisement that conveys, or is likely to be understood as conveying, the existence of a person (in this State or elsewhere) other than —</w:t>
      </w:r>
    </w:p>
    <w:p>
      <w:pPr>
        <w:pStyle w:val="Indenta"/>
      </w:pPr>
      <w:r>
        <w:tab/>
        <w:t>(a)</w:t>
      </w:r>
      <w:r>
        <w:tab/>
        <w:t>RWWA; or</w:t>
      </w:r>
    </w:p>
    <w:p>
      <w:pPr>
        <w:pStyle w:val="Indenta"/>
      </w:pPr>
      <w:r>
        <w:tab/>
        <w:t>(b)</w:t>
      </w:r>
      <w:r>
        <w:tab/>
        <w:t xml:space="preserve">the Lotteries Commission established under the </w:t>
      </w:r>
      <w:r>
        <w:rPr>
          <w:i/>
        </w:rPr>
        <w:t>Lotteries Commission Act 1990</w:t>
      </w:r>
      <w:r>
        <w:t>; or</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pPr>
      <w:r>
        <w:tab/>
        <w:t>(da)</w:t>
      </w:r>
      <w:r>
        <w:tab/>
        <w:t>a person who in another State or a Territory is authorised under a law of the State or Territory to engage in or conduct the business of betting on races or sporting events; or</w:t>
      </w:r>
    </w:p>
    <w:p>
      <w:pPr>
        <w:pStyle w:val="Indenta"/>
        <w:keepNext/>
      </w:pPr>
      <w:r>
        <w:tab/>
        <w:t>(d)</w:t>
      </w:r>
      <w:r>
        <w:tab/>
        <w:t>any other person or class of person prescribed by the regulations,</w:t>
      </w:r>
    </w:p>
    <w:p>
      <w:pPr>
        <w:pStyle w:val="Subsection"/>
        <w:keepNext/>
        <w:keepLines/>
      </w:pPr>
      <w:r>
        <w:tab/>
      </w:r>
      <w:r>
        <w:tab/>
        <w:t>who will, on application, engage in or conduct gaming, wagering or a lottery, commits an offence.</w:t>
      </w:r>
    </w:p>
    <w:p>
      <w:pPr>
        <w:pStyle w:val="Penstart"/>
        <w:keepLines/>
      </w:pPr>
      <w:r>
        <w:tab/>
        <w:t>Penalty: $2 000.</w:t>
      </w:r>
    </w:p>
    <w:p>
      <w:pPr>
        <w:pStyle w:val="Subsection"/>
      </w:pPr>
      <w:r>
        <w:tab/>
        <w:t>(4)</w:t>
      </w:r>
      <w:r>
        <w:tab/>
        <w:t>In subsection (3)(c) —</w:t>
      </w:r>
    </w:p>
    <w:p>
      <w:pPr>
        <w:pStyle w:val="Defstart"/>
      </w:pPr>
      <w:r>
        <w:rPr>
          <w:b/>
        </w:rPr>
        <w:tab/>
      </w:r>
      <w:r>
        <w:rPr>
          <w:rStyle w:val="CharDefText"/>
        </w:rPr>
        <w:t>approval</w:t>
      </w:r>
      <w:r>
        <w:rPr>
          <w:bCs/>
        </w:rPr>
        <w:t xml:space="preserve"> does</w:t>
      </w:r>
      <w:r>
        <w:t xml:space="preserve"> not include an approval under the </w:t>
      </w:r>
      <w:r>
        <w:rPr>
          <w:i/>
        </w:rPr>
        <w:t xml:space="preserve">Betting Control Act 1954 </w:t>
      </w:r>
      <w:r>
        <w:t>section 27D(2).</w:t>
      </w:r>
    </w:p>
    <w:p>
      <w:pPr>
        <w:pStyle w:val="Footnotesection"/>
      </w:pPr>
      <w:r>
        <w:tab/>
        <w:t>[Section 43A inserted by No. 35 of 2003 s. 145; amended by No. 70 of 2006 s. 9(2); No. 8 of 2007 s. 13; No. 29 of 2009 s. 19.]</w:t>
      </w:r>
    </w:p>
    <w:p>
      <w:pPr>
        <w:pStyle w:val="Heading5"/>
        <w:rPr>
          <w:snapToGrid w:val="0"/>
        </w:rPr>
      </w:pPr>
      <w:bookmarkStart w:id="176" w:name="_Toc406079878"/>
      <w:bookmarkStart w:id="177" w:name="_Toc423529631"/>
      <w:r>
        <w:rPr>
          <w:rStyle w:val="CharSectno"/>
        </w:rPr>
        <w:t>44</w:t>
      </w:r>
      <w:r>
        <w:rPr>
          <w:snapToGrid w:val="0"/>
        </w:rPr>
        <w:t>.</w:t>
      </w:r>
      <w:r>
        <w:rPr>
          <w:snapToGrid w:val="0"/>
        </w:rPr>
        <w:tab/>
        <w:t>Cheating in games etc. to obtain prize etc., offence</w:t>
      </w:r>
      <w:bookmarkEnd w:id="176"/>
      <w:bookmarkEnd w:id="177"/>
    </w:p>
    <w:p>
      <w:pPr>
        <w:pStyle w:val="Subsection"/>
        <w:rPr>
          <w:snapToGrid w:val="0"/>
        </w:rPr>
      </w:pPr>
      <w:r>
        <w:rPr>
          <w:snapToGrid w:val="0"/>
        </w:rPr>
        <w:tab/>
        <w:t>(1)</w:t>
      </w:r>
      <w:r>
        <w:rPr>
          <w:snapToGrid w:val="0"/>
        </w:rPr>
        <w:tab/>
        <w:t>Any person who by deceit or any fraudulent means in or in relation to a game, lottery, sport, race, exercise or other contest or pastime —</w:t>
      </w:r>
    </w:p>
    <w:p>
      <w:pPr>
        <w:pStyle w:val="Indenta"/>
        <w:rPr>
          <w:snapToGrid w:val="0"/>
        </w:rPr>
      </w:pPr>
      <w:r>
        <w:rPr>
          <w:snapToGrid w:val="0"/>
        </w:rPr>
        <w:tab/>
        <w:t>(a)</w:t>
      </w:r>
      <w:r>
        <w:rPr>
          <w:snapToGrid w:val="0"/>
        </w:rPr>
        <w:tab/>
        <w:t>obtains or attempts to obtain any prize, or any money, property or benefit; or</w:t>
      </w:r>
    </w:p>
    <w:p>
      <w:pPr>
        <w:pStyle w:val="Indenta"/>
        <w:rPr>
          <w:snapToGrid w:val="0"/>
        </w:rPr>
      </w:pPr>
      <w:r>
        <w:rPr>
          <w:snapToGrid w:val="0"/>
        </w:rPr>
        <w:tab/>
        <w:t>(b)</w:t>
      </w:r>
      <w:r>
        <w:rPr>
          <w:snapToGrid w:val="0"/>
        </w:rPr>
        <w:tab/>
        <w:t>gains or attempts to gain a benefit, pecuniary or otherwise, for any person; or</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w:t>
      </w:r>
    </w:p>
    <w:p>
      <w:pPr>
        <w:pStyle w:val="Indenti"/>
        <w:rPr>
          <w:snapToGrid w:val="0"/>
        </w:rPr>
      </w:pPr>
      <w:r>
        <w:rPr>
          <w:snapToGrid w:val="0"/>
        </w:rPr>
        <w:tab/>
        <w:t>(i)</w:t>
      </w:r>
      <w:r>
        <w:rPr>
          <w:snapToGrid w:val="0"/>
        </w:rPr>
        <w:tab/>
        <w:t>to deliver property to any person; or</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to omit to do any act which he is lawfully entitled to do,</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person shall be taken to have employed fraudulent means if he cheats or otherwise employs any wrongful practice, trick, scheme or device —</w:t>
      </w:r>
    </w:p>
    <w:p>
      <w:pPr>
        <w:pStyle w:val="Indenta"/>
        <w:rPr>
          <w:snapToGrid w:val="0"/>
        </w:rPr>
      </w:pPr>
      <w:r>
        <w:rPr>
          <w:snapToGrid w:val="0"/>
        </w:rPr>
        <w:tab/>
        <w:t>(a)</w:t>
      </w:r>
      <w:r>
        <w:rPr>
          <w:snapToGrid w:val="0"/>
        </w:rPr>
        <w:tab/>
        <w:t>as to the manner of play or the rules applicable; or</w:t>
      </w:r>
    </w:p>
    <w:p>
      <w:pPr>
        <w:pStyle w:val="Indenta"/>
        <w:rPr>
          <w:snapToGrid w:val="0"/>
        </w:rPr>
      </w:pPr>
      <w:r>
        <w:rPr>
          <w:snapToGrid w:val="0"/>
        </w:rPr>
        <w:tab/>
        <w:t>(b)</w:t>
      </w:r>
      <w:r>
        <w:rPr>
          <w:snapToGrid w:val="0"/>
        </w:rPr>
        <w:tab/>
        <w:t>in regard to any player, or any gaming equipment, instrument of gaming, entrant or participant; or</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rPr>
          <w:snapToGrid w:val="0"/>
        </w:rPr>
      </w:pPr>
      <w:r>
        <w:rPr>
          <w:snapToGrid w:val="0"/>
        </w:rPr>
        <w:tab/>
      </w:r>
      <w:r>
        <w:rPr>
          <w:snapToGrid w:val="0"/>
        </w:rPr>
        <w:tab/>
        <w:t>in, in relation to, or of the contest or pastime.</w:t>
      </w:r>
    </w:p>
    <w:p>
      <w:pPr>
        <w:pStyle w:val="Footnotesection"/>
      </w:pPr>
      <w:r>
        <w:tab/>
        <w:t>[Section 44 amended by No. 24 of 1998 s. 48; No. 35 of 2003 s. 146.]</w:t>
      </w:r>
    </w:p>
    <w:p>
      <w:pPr>
        <w:pStyle w:val="Heading5"/>
        <w:rPr>
          <w:snapToGrid w:val="0"/>
        </w:rPr>
      </w:pPr>
      <w:bookmarkStart w:id="178" w:name="_Toc406079879"/>
      <w:bookmarkStart w:id="179" w:name="_Toc423529632"/>
      <w:r>
        <w:rPr>
          <w:rStyle w:val="CharSectno"/>
        </w:rPr>
        <w:t>45</w:t>
      </w:r>
      <w:r>
        <w:rPr>
          <w:snapToGrid w:val="0"/>
        </w:rPr>
        <w:t>.</w:t>
      </w:r>
      <w:r>
        <w:rPr>
          <w:snapToGrid w:val="0"/>
        </w:rPr>
        <w:tab/>
        <w:t>Permitted gaming, offences as to</w:t>
      </w:r>
      <w:bookmarkEnd w:id="178"/>
      <w:bookmarkEnd w:id="179"/>
    </w:p>
    <w:p>
      <w:pPr>
        <w:pStyle w:val="Subsection"/>
        <w:keepNext/>
        <w:rPr>
          <w:snapToGrid w:val="0"/>
        </w:rPr>
      </w:pPr>
      <w:r>
        <w:rPr>
          <w:snapToGrid w:val="0"/>
        </w:rPr>
        <w:tab/>
        <w:t>(1)</w:t>
      </w:r>
      <w:r>
        <w:rPr>
          <w:snapToGrid w:val="0"/>
        </w:rPr>
        <w:tab/>
        <w:t>A person who, with intent to defraud —</w:t>
      </w:r>
    </w:p>
    <w:p>
      <w:pPr>
        <w:pStyle w:val="Indenta"/>
        <w:rPr>
          <w:snapToGrid w:val="0"/>
        </w:rPr>
      </w:pPr>
      <w:r>
        <w:rPr>
          <w:snapToGrid w:val="0"/>
        </w:rPr>
        <w:tab/>
        <w:t>(a)</w:t>
      </w:r>
      <w:r>
        <w:rPr>
          <w:snapToGrid w:val="0"/>
        </w:rPr>
        <w:tab/>
        <w:t>alters or falsifies any ticket, coupon, token or books; or</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Footnotesection"/>
      </w:pPr>
      <w:r>
        <w:tab/>
        <w:t>[Section 45 amended by No. 16 of 1990 s. 33; No. 24 of 1998 s. 49; No. 35 of 2003 s. 147; No. 50 of 2003 s. 66(4).]</w:t>
      </w:r>
    </w:p>
    <w:p>
      <w:pPr>
        <w:pStyle w:val="Heading2"/>
      </w:pPr>
      <w:bookmarkStart w:id="180" w:name="_Toc402969407"/>
      <w:bookmarkStart w:id="181" w:name="_Toc406075216"/>
      <w:bookmarkStart w:id="182" w:name="_Toc406075657"/>
      <w:bookmarkStart w:id="183" w:name="_Toc406079880"/>
      <w:bookmarkStart w:id="184" w:name="_Toc418677700"/>
      <w:bookmarkStart w:id="185" w:name="_Toc418677852"/>
      <w:bookmarkStart w:id="186" w:name="_Toc423529633"/>
      <w:r>
        <w:rPr>
          <w:rStyle w:val="CharPartNo"/>
        </w:rPr>
        <w:t>Part V</w:t>
      </w:r>
      <w:r>
        <w:t> — </w:t>
      </w:r>
      <w:r>
        <w:rPr>
          <w:rStyle w:val="CharPartText"/>
        </w:rPr>
        <w:t>Permitted gambling</w:t>
      </w:r>
      <w:bookmarkEnd w:id="180"/>
      <w:bookmarkEnd w:id="181"/>
      <w:bookmarkEnd w:id="182"/>
      <w:bookmarkEnd w:id="183"/>
      <w:bookmarkEnd w:id="184"/>
      <w:bookmarkEnd w:id="185"/>
      <w:bookmarkEnd w:id="186"/>
    </w:p>
    <w:p>
      <w:pPr>
        <w:pStyle w:val="Footnoteheading"/>
        <w:tabs>
          <w:tab w:val="left" w:pos="910"/>
        </w:tabs>
        <w:spacing w:before="80"/>
      </w:pPr>
      <w:r>
        <w:tab/>
        <w:t>[Heading amended by No. 35 of 2003 s. 148(1).]</w:t>
      </w:r>
    </w:p>
    <w:p>
      <w:pPr>
        <w:pStyle w:val="Heading3"/>
        <w:spacing w:before="220"/>
        <w:rPr>
          <w:snapToGrid w:val="0"/>
        </w:rPr>
      </w:pPr>
      <w:bookmarkStart w:id="187" w:name="_Toc402969408"/>
      <w:bookmarkStart w:id="188" w:name="_Toc406075217"/>
      <w:bookmarkStart w:id="189" w:name="_Toc406075658"/>
      <w:bookmarkStart w:id="190" w:name="_Toc406079881"/>
      <w:bookmarkStart w:id="191" w:name="_Toc418677701"/>
      <w:bookmarkStart w:id="192" w:name="_Toc418677853"/>
      <w:bookmarkStart w:id="193" w:name="_Toc423529634"/>
      <w:r>
        <w:rPr>
          <w:rStyle w:val="CharDivNo"/>
        </w:rPr>
        <w:t>Division 1</w:t>
      </w:r>
      <w:r>
        <w:rPr>
          <w:snapToGrid w:val="0"/>
        </w:rPr>
        <w:t> — </w:t>
      </w:r>
      <w:r>
        <w:rPr>
          <w:rStyle w:val="CharDivText"/>
        </w:rPr>
        <w:t>Gaming generally</w:t>
      </w:r>
      <w:bookmarkEnd w:id="187"/>
      <w:bookmarkEnd w:id="188"/>
      <w:bookmarkEnd w:id="189"/>
      <w:bookmarkEnd w:id="190"/>
      <w:bookmarkEnd w:id="191"/>
      <w:bookmarkEnd w:id="192"/>
      <w:bookmarkEnd w:id="193"/>
    </w:p>
    <w:p>
      <w:pPr>
        <w:pStyle w:val="Footnoteheading"/>
        <w:tabs>
          <w:tab w:val="left" w:pos="910"/>
        </w:tabs>
        <w:spacing w:before="80"/>
      </w:pPr>
      <w:r>
        <w:tab/>
        <w:t>[Heading amended by No. 35 of 2003 s. 148(2).]</w:t>
      </w:r>
    </w:p>
    <w:p>
      <w:pPr>
        <w:pStyle w:val="Heading5"/>
        <w:rPr>
          <w:snapToGrid w:val="0"/>
        </w:rPr>
      </w:pPr>
      <w:bookmarkStart w:id="194" w:name="_Toc406079882"/>
      <w:bookmarkStart w:id="195" w:name="_Toc423529635"/>
      <w:r>
        <w:rPr>
          <w:rStyle w:val="CharSectno"/>
        </w:rPr>
        <w:t>46</w:t>
      </w:r>
      <w:r>
        <w:rPr>
          <w:snapToGrid w:val="0"/>
        </w:rPr>
        <w:t>.</w:t>
      </w:r>
      <w:r>
        <w:rPr>
          <w:snapToGrid w:val="0"/>
        </w:rPr>
        <w:tab/>
        <w:t>Permitted gaming defined</w:t>
      </w:r>
      <w:bookmarkEnd w:id="194"/>
      <w:bookmarkEnd w:id="195"/>
    </w:p>
    <w:p>
      <w:pPr>
        <w:pStyle w:val="Subsection"/>
        <w:rPr>
          <w:snapToGrid w:val="0"/>
        </w:rPr>
      </w:pPr>
      <w:r>
        <w:rPr>
          <w:snapToGrid w:val="0"/>
        </w:rPr>
        <w:tab/>
        <w:t>(1)</w:t>
      </w:r>
      <w:r>
        <w:rPr>
          <w:snapToGrid w:val="0"/>
        </w:rPr>
        <w:tab/>
        <w:t>Gaming may be lawfully conducted, and lawfully participated in, where —</w:t>
      </w:r>
    </w:p>
    <w:p>
      <w:pPr>
        <w:pStyle w:val="Indenta"/>
        <w:rPr>
          <w:snapToGrid w:val="0"/>
        </w:rPr>
      </w:pPr>
      <w:r>
        <w:rPr>
          <w:snapToGrid w:val="0"/>
        </w:rPr>
        <w:tab/>
        <w:t>(a)</w:t>
      </w:r>
      <w:r>
        <w:rPr>
          <w:snapToGrid w:val="0"/>
        </w:rPr>
        <w:tab/>
        <w:t>it occurs on a day and at a time authorised by a relevant gaming permit; and</w:t>
      </w:r>
    </w:p>
    <w:p>
      <w:pPr>
        <w:pStyle w:val="Indenta"/>
        <w:rPr>
          <w:snapToGrid w:val="0"/>
        </w:rPr>
      </w:pPr>
      <w:r>
        <w:rPr>
          <w:snapToGrid w:val="0"/>
        </w:rPr>
        <w:tab/>
        <w:t>(b)</w:t>
      </w:r>
      <w:r>
        <w:rPr>
          <w:snapToGrid w:val="0"/>
        </w:rPr>
        <w:tab/>
        <w:t>it takes place at premises authorised by the permit to be used for permitted gaming of that kind; and</w:t>
      </w:r>
    </w:p>
    <w:p>
      <w:pPr>
        <w:pStyle w:val="Indenta"/>
        <w:rPr>
          <w:snapToGrid w:val="0"/>
        </w:rPr>
      </w:pPr>
      <w:r>
        <w:rPr>
          <w:snapToGrid w:val="0"/>
        </w:rPr>
        <w:tab/>
        <w:t>(c)</w:t>
      </w:r>
      <w:r>
        <w:rPr>
          <w:snapToGrid w:val="0"/>
        </w:rPr>
        <w:tab/>
        <w:t>it is of a kind authorised by the permit; and</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pPr>
      <w:r>
        <w:tab/>
        <w:t>(2A)</w:t>
      </w:r>
      <w:r>
        <w:tab/>
        <w:t>Gaming that is prescribed for the purposes of this subsection may be lawfully conducted and lawfully participated in.</w:t>
      </w:r>
    </w:p>
    <w:p>
      <w:pPr>
        <w:pStyle w:val="Subsection"/>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widowControl w:val="0"/>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by No. 24 of 1998 s. 50; No. 35 of 2003 s. 166 and 167; No. 25 of 2011 s. 8.]</w:t>
      </w:r>
    </w:p>
    <w:p>
      <w:pPr>
        <w:pStyle w:val="Heading5"/>
        <w:rPr>
          <w:snapToGrid w:val="0"/>
        </w:rPr>
      </w:pPr>
      <w:bookmarkStart w:id="196" w:name="_Toc406079883"/>
      <w:bookmarkStart w:id="197" w:name="_Toc423529636"/>
      <w:r>
        <w:rPr>
          <w:rStyle w:val="CharSectno"/>
        </w:rPr>
        <w:t>47</w:t>
      </w:r>
      <w:r>
        <w:rPr>
          <w:snapToGrid w:val="0"/>
        </w:rPr>
        <w:t>.</w:t>
      </w:r>
      <w:r>
        <w:rPr>
          <w:snapToGrid w:val="0"/>
        </w:rPr>
        <w:tab/>
        <w:t>Gaming permits, types, issue and effect of</w:t>
      </w:r>
      <w:bookmarkEnd w:id="196"/>
      <w:bookmarkEnd w:id="197"/>
    </w:p>
    <w:p>
      <w:pPr>
        <w:pStyle w:val="Subsection"/>
        <w:rPr>
          <w:snapToGrid w:val="0"/>
        </w:rPr>
      </w:pPr>
      <w:r>
        <w:rPr>
          <w:snapToGrid w:val="0"/>
        </w:rPr>
        <w:tab/>
        <w:t>(1)</w:t>
      </w:r>
      <w:r>
        <w:rPr>
          <w:snapToGrid w:val="0"/>
        </w:rPr>
        <w:tab/>
        <w:t>A gaming permit may be —</w:t>
      </w:r>
    </w:p>
    <w:p>
      <w:pPr>
        <w:pStyle w:val="Indenta"/>
        <w:spacing w:before="70"/>
        <w:rPr>
          <w:snapToGrid w:val="0"/>
        </w:rPr>
      </w:pPr>
      <w:r>
        <w:rPr>
          <w:snapToGrid w:val="0"/>
        </w:rPr>
        <w:tab/>
        <w:t>(a)</w:t>
      </w:r>
      <w:r>
        <w:rPr>
          <w:snapToGrid w:val="0"/>
        </w:rPr>
        <w:tab/>
        <w:t>a function permit, having effect —</w:t>
      </w:r>
    </w:p>
    <w:p>
      <w:pPr>
        <w:pStyle w:val="Indenti"/>
        <w:spacing w:before="70"/>
        <w:rPr>
          <w:snapToGrid w:val="0"/>
        </w:rPr>
      </w:pPr>
      <w:r>
        <w:rPr>
          <w:snapToGrid w:val="0"/>
        </w:rPr>
        <w:tab/>
        <w:t>(i)</w:t>
      </w:r>
      <w:r>
        <w:rPr>
          <w:snapToGrid w:val="0"/>
        </w:rPr>
        <w:tab/>
        <w:t>for the period, not being a period in excess of 7 days; or</w:t>
      </w:r>
    </w:p>
    <w:p>
      <w:pPr>
        <w:pStyle w:val="Indenti"/>
        <w:spacing w:before="70"/>
        <w:rPr>
          <w:snapToGrid w:val="0"/>
        </w:rPr>
      </w:pPr>
      <w:r>
        <w:rPr>
          <w:snapToGrid w:val="0"/>
        </w:rPr>
        <w:tab/>
        <w:t>(ii)</w:t>
      </w:r>
      <w:r>
        <w:rPr>
          <w:snapToGrid w:val="0"/>
        </w:rPr>
        <w:tab/>
        <w:t>during the function; and</w:t>
      </w:r>
    </w:p>
    <w:p>
      <w:pPr>
        <w:pStyle w:val="Indenti"/>
        <w:spacing w:before="70"/>
        <w:rPr>
          <w:snapToGrid w:val="0"/>
        </w:rPr>
      </w:pPr>
      <w:r>
        <w:rPr>
          <w:snapToGrid w:val="0"/>
        </w:rPr>
        <w:tab/>
        <w:t>(iii)</w:t>
      </w:r>
      <w:r>
        <w:rPr>
          <w:snapToGrid w:val="0"/>
        </w:rPr>
        <w:tab/>
        <w:t>in respect of the premises,</w:t>
      </w:r>
    </w:p>
    <w:p>
      <w:pPr>
        <w:pStyle w:val="Indenta"/>
        <w:spacing w:before="70"/>
        <w:rPr>
          <w:snapToGrid w:val="0"/>
        </w:rPr>
      </w:pPr>
      <w:r>
        <w:rPr>
          <w:snapToGrid w:val="0"/>
        </w:rPr>
        <w:tab/>
      </w:r>
      <w:r>
        <w:rPr>
          <w:snapToGrid w:val="0"/>
        </w:rPr>
        <w:tab/>
        <w:t>therein specified, subject to any conditions imposed; or</w:t>
      </w:r>
    </w:p>
    <w:p>
      <w:pPr>
        <w:pStyle w:val="Indenta"/>
        <w:spacing w:before="70"/>
        <w:rPr>
          <w:snapToGrid w:val="0"/>
        </w:rPr>
      </w:pPr>
      <w:r>
        <w:rPr>
          <w:snapToGrid w:val="0"/>
        </w:rPr>
        <w:tab/>
        <w:t>(b)</w:t>
      </w:r>
      <w:r>
        <w:rPr>
          <w:snapToGrid w:val="0"/>
        </w:rPr>
        <w:tab/>
        <w:t>a permit of a continuing nature, having effect —</w:t>
      </w:r>
    </w:p>
    <w:p>
      <w:pPr>
        <w:pStyle w:val="Indenti"/>
        <w:spacing w:before="70"/>
        <w:rPr>
          <w:snapToGrid w:val="0"/>
        </w:rPr>
      </w:pPr>
      <w:r>
        <w:rPr>
          <w:snapToGrid w:val="0"/>
        </w:rPr>
        <w:tab/>
        <w:t>(i)</w:t>
      </w:r>
      <w:r>
        <w:rPr>
          <w:snapToGrid w:val="0"/>
        </w:rPr>
        <w:tab/>
        <w:t>for the period, being a period not exceeding 12 months, therein specified; and</w:t>
      </w:r>
    </w:p>
    <w:p>
      <w:pPr>
        <w:pStyle w:val="Indenti"/>
        <w:spacing w:before="70"/>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ind w:left="890" w:hanging="890"/>
      </w:pPr>
      <w:r>
        <w:tab/>
        <w:t>[Section 47 amended by No. 35 of 2003 s. 167.]</w:t>
      </w:r>
    </w:p>
    <w:p>
      <w:pPr>
        <w:pStyle w:val="Heading5"/>
        <w:spacing w:before="240"/>
        <w:rPr>
          <w:snapToGrid w:val="0"/>
        </w:rPr>
      </w:pPr>
      <w:bookmarkStart w:id="198" w:name="_Toc406079884"/>
      <w:bookmarkStart w:id="199" w:name="_Toc423529637"/>
      <w:r>
        <w:rPr>
          <w:rStyle w:val="CharSectno"/>
        </w:rPr>
        <w:t>48</w:t>
      </w:r>
      <w:r>
        <w:rPr>
          <w:snapToGrid w:val="0"/>
        </w:rPr>
        <w:t>.</w:t>
      </w:r>
      <w:r>
        <w:rPr>
          <w:snapToGrid w:val="0"/>
        </w:rPr>
        <w:tab/>
        <w:t>Issue of permit on direction by Minister</w:t>
      </w:r>
      <w:bookmarkEnd w:id="198"/>
      <w:bookmarkEnd w:id="199"/>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 and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widowControl w:val="0"/>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direction given by the Minister to the Commission.</w:t>
      </w:r>
    </w:p>
    <w:p>
      <w:pPr>
        <w:pStyle w:val="Footnotesection"/>
        <w:ind w:left="890" w:hanging="890"/>
      </w:pPr>
      <w:r>
        <w:tab/>
        <w:t>[Section 48 amended by No. 16 of 1990 s. 33; No. 35 of 2003 s. 167.]</w:t>
      </w:r>
    </w:p>
    <w:p>
      <w:pPr>
        <w:pStyle w:val="Heading5"/>
        <w:rPr>
          <w:snapToGrid w:val="0"/>
        </w:rPr>
      </w:pPr>
      <w:bookmarkStart w:id="200" w:name="_Toc406079885"/>
      <w:bookmarkStart w:id="201" w:name="_Toc423529638"/>
      <w:r>
        <w:rPr>
          <w:rStyle w:val="CharSectno"/>
        </w:rPr>
        <w:t>49</w:t>
      </w:r>
      <w:r>
        <w:rPr>
          <w:snapToGrid w:val="0"/>
        </w:rPr>
        <w:t>.</w:t>
      </w:r>
      <w:r>
        <w:rPr>
          <w:snapToGrid w:val="0"/>
        </w:rPr>
        <w:tab/>
        <w:t>Applications for issue or renewal of permit, matters that may be considered when deciding</w:t>
      </w:r>
      <w:bookmarkEnd w:id="200"/>
      <w:bookmarkEnd w:id="201"/>
    </w:p>
    <w:p>
      <w:pPr>
        <w:pStyle w:val="Subsection"/>
        <w:rPr>
          <w:snapToGrid w:val="0"/>
        </w:rPr>
      </w:pPr>
      <w:r>
        <w:rPr>
          <w:snapToGrid w:val="0"/>
        </w:rPr>
        <w:tab/>
        <w:t>(1)</w:t>
      </w:r>
      <w:r>
        <w:rPr>
          <w:snapToGrid w:val="0"/>
        </w:rPr>
        <w:tab/>
        <w:t>In determining any application for the issue or renewal of a gaming permit regard may be had to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 and</w:t>
      </w:r>
    </w:p>
    <w:p>
      <w:pPr>
        <w:pStyle w:val="Indenta"/>
        <w:rPr>
          <w:snapToGrid w:val="0"/>
        </w:rPr>
      </w:pPr>
      <w:r>
        <w:rPr>
          <w:snapToGrid w:val="0"/>
        </w:rPr>
        <w:tab/>
        <w:t>(b)</w:t>
      </w:r>
      <w:r>
        <w:rPr>
          <w:snapToGrid w:val="0"/>
        </w:rPr>
        <w:tab/>
        <w:t>any arrangement or circumstances whereby the benefit arising from the holding of the permit may accrue to any other person; and</w:t>
      </w:r>
    </w:p>
    <w:p>
      <w:pPr>
        <w:pStyle w:val="Indenta"/>
        <w:rPr>
          <w:snapToGrid w:val="0"/>
        </w:rPr>
      </w:pPr>
      <w:r>
        <w:rPr>
          <w:snapToGrid w:val="0"/>
        </w:rPr>
        <w:tab/>
        <w:t>(c)</w:t>
      </w:r>
      <w:r>
        <w:rPr>
          <w:snapToGrid w:val="0"/>
        </w:rPr>
        <w:tab/>
        <w:t>the need for persons having relevant experience to be in attendance at, and where appropriate to conduct, the gaming; and</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 and</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keepLines/>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w:t>
      </w:r>
    </w:p>
    <w:p>
      <w:pPr>
        <w:pStyle w:val="Indenta"/>
        <w:rPr>
          <w:snapToGrid w:val="0"/>
        </w:rPr>
      </w:pPr>
      <w:r>
        <w:rPr>
          <w:snapToGrid w:val="0"/>
        </w:rPr>
        <w:tab/>
        <w:t>(a)</w:t>
      </w:r>
      <w:r>
        <w:rPr>
          <w:snapToGrid w:val="0"/>
        </w:rPr>
        <w:tab/>
        <w:t>any matters to which subsection (1) refers; and</w:t>
      </w:r>
    </w:p>
    <w:p>
      <w:pPr>
        <w:pStyle w:val="Indenta"/>
        <w:rPr>
          <w:snapToGrid w:val="0"/>
        </w:rPr>
      </w:pPr>
      <w:r>
        <w:rPr>
          <w:snapToGrid w:val="0"/>
        </w:rPr>
        <w:tab/>
        <w:t>(b)</w:t>
      </w:r>
      <w:r>
        <w:rPr>
          <w:snapToGrid w:val="0"/>
        </w:rPr>
        <w:tab/>
        <w:t>the manner in which —</w:t>
      </w:r>
    </w:p>
    <w:p>
      <w:pPr>
        <w:pStyle w:val="Indenti"/>
        <w:rPr>
          <w:snapToGrid w:val="0"/>
        </w:rPr>
      </w:pPr>
      <w:r>
        <w:rPr>
          <w:snapToGrid w:val="0"/>
        </w:rPr>
        <w:tab/>
        <w:t>(i)</w:t>
      </w:r>
      <w:r>
        <w:rPr>
          <w:snapToGrid w:val="0"/>
        </w:rPr>
        <w:tab/>
        <w:t>gaming has been conducted; and</w:t>
      </w:r>
    </w:p>
    <w:p>
      <w:pPr>
        <w:pStyle w:val="Indenti"/>
        <w:rPr>
          <w:snapToGrid w:val="0"/>
        </w:rPr>
      </w:pPr>
      <w:r>
        <w:rPr>
          <w:snapToGrid w:val="0"/>
        </w:rPr>
        <w:tab/>
        <w:t>(ii)</w:t>
      </w:r>
      <w:r>
        <w:rPr>
          <w:snapToGrid w:val="0"/>
        </w:rPr>
        <w:tab/>
        <w:t>the premises have been maintained; and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 and</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keepLines/>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ind w:left="890" w:hanging="890"/>
      </w:pPr>
      <w:r>
        <w:tab/>
        <w:t>[Section 49 amended by No. 35 of 2003 s. 167.]</w:t>
      </w:r>
    </w:p>
    <w:p>
      <w:pPr>
        <w:pStyle w:val="Heading5"/>
        <w:rPr>
          <w:snapToGrid w:val="0"/>
        </w:rPr>
      </w:pPr>
      <w:bookmarkStart w:id="202" w:name="_Toc406079886"/>
      <w:bookmarkStart w:id="203" w:name="_Toc423529639"/>
      <w:r>
        <w:rPr>
          <w:rStyle w:val="CharSectno"/>
        </w:rPr>
        <w:t>50</w:t>
      </w:r>
      <w:r>
        <w:rPr>
          <w:snapToGrid w:val="0"/>
        </w:rPr>
        <w:t>.</w:t>
      </w:r>
      <w:r>
        <w:rPr>
          <w:snapToGrid w:val="0"/>
        </w:rPr>
        <w:tab/>
        <w:t>Register of approvals, permit holders etc., Commission to keep and allow inspection of etc.</w:t>
      </w:r>
      <w:bookmarkEnd w:id="202"/>
      <w:bookmarkEnd w:id="203"/>
    </w:p>
    <w:p>
      <w:pPr>
        <w:pStyle w:val="Subsection"/>
        <w:rPr>
          <w:snapToGrid w:val="0"/>
        </w:rPr>
      </w:pPr>
      <w:r>
        <w:rPr>
          <w:snapToGrid w:val="0"/>
        </w:rPr>
        <w:tab/>
        <w:t>(1)</w:t>
      </w:r>
      <w:r>
        <w:rPr>
          <w:snapToGrid w:val="0"/>
        </w:rPr>
        <w:tab/>
        <w:t>The Commission shall maintain a register showing, in accordance with such manner as may be prescribed, particulars of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w:t>
      </w:r>
    </w:p>
    <w:p>
      <w:pPr>
        <w:pStyle w:val="Indenti"/>
        <w:rPr>
          <w:snapToGrid w:val="0"/>
        </w:rPr>
      </w:pPr>
      <w:r>
        <w:rPr>
          <w:snapToGrid w:val="0"/>
        </w:rPr>
        <w:tab/>
        <w:t>(i)</w:t>
      </w:r>
      <w:r>
        <w:rPr>
          <w:snapToGrid w:val="0"/>
        </w:rPr>
        <w:tab/>
        <w:t>generally, in relation to function permits; or</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ind w:left="890" w:hanging="890"/>
      </w:pPr>
      <w:r>
        <w:tab/>
        <w:t>[Section 50 amended by No. 16 of 1990 s. 33.]</w:t>
      </w:r>
    </w:p>
    <w:p>
      <w:pPr>
        <w:pStyle w:val="Heading5"/>
        <w:rPr>
          <w:snapToGrid w:val="0"/>
        </w:rPr>
      </w:pPr>
      <w:bookmarkStart w:id="204" w:name="_Toc406079887"/>
      <w:bookmarkStart w:id="205" w:name="_Toc423529640"/>
      <w:r>
        <w:rPr>
          <w:rStyle w:val="CharSectno"/>
        </w:rPr>
        <w:t>51</w:t>
      </w:r>
      <w:r>
        <w:rPr>
          <w:snapToGrid w:val="0"/>
        </w:rPr>
        <w:t>.</w:t>
      </w:r>
      <w:r>
        <w:rPr>
          <w:snapToGrid w:val="0"/>
        </w:rPr>
        <w:tab/>
        <w:t>Persons eligible to hold gaming permits, approval of</w:t>
      </w:r>
      <w:bookmarkEnd w:id="204"/>
      <w:bookmarkEnd w:id="205"/>
    </w:p>
    <w:p>
      <w:pPr>
        <w:pStyle w:val="Subsection"/>
        <w:spacing w:before="180"/>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spacing w:before="180"/>
        <w:rPr>
          <w:snapToGrid w:val="0"/>
        </w:rPr>
      </w:pPr>
      <w:r>
        <w:rPr>
          <w:snapToGrid w:val="0"/>
        </w:rPr>
        <w:tab/>
        <w:t>(2)</w:t>
      </w:r>
      <w:r>
        <w:rPr>
          <w:snapToGrid w:val="0"/>
        </w:rPr>
        <w:tab/>
        <w:t>The Commission shall not approve a person as eligible to hold a permit unless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 and</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keepLines/>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w:t>
      </w:r>
    </w:p>
    <w:p>
      <w:pPr>
        <w:pStyle w:val="Indenti"/>
        <w:rPr>
          <w:snapToGrid w:val="0"/>
        </w:rPr>
      </w:pPr>
      <w:r>
        <w:rPr>
          <w:snapToGrid w:val="0"/>
        </w:rPr>
        <w:tab/>
        <w:t>(i)</w:t>
      </w:r>
      <w:r>
        <w:rPr>
          <w:snapToGrid w:val="0"/>
        </w:rPr>
        <w:tab/>
        <w:t>the name of that person and of any body for which he is the nominee permit holder; and</w:t>
      </w:r>
    </w:p>
    <w:p>
      <w:pPr>
        <w:pStyle w:val="Indenti"/>
        <w:rPr>
          <w:snapToGrid w:val="0"/>
        </w:rPr>
      </w:pPr>
      <w:r>
        <w:rPr>
          <w:snapToGrid w:val="0"/>
        </w:rPr>
        <w:tab/>
        <w:t>(ii)</w:t>
      </w:r>
      <w:r>
        <w:rPr>
          <w:snapToGrid w:val="0"/>
        </w:rPr>
        <w:tab/>
        <w:t>the date of the issue, and the duration, of the permit and where it is a function permit, the nature of the function; and</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spacing w:before="120"/>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spacing w:before="100"/>
        <w:ind w:left="890" w:hanging="890"/>
      </w:pPr>
      <w:r>
        <w:tab/>
        <w:t>[Section 51 amended by No. 24 of 1998 s. 51; No. 35 of 2003 s. 167; No. 84 of 2004 s. 80.]</w:t>
      </w:r>
    </w:p>
    <w:p>
      <w:pPr>
        <w:pStyle w:val="Heading5"/>
        <w:spacing w:before="200"/>
        <w:rPr>
          <w:snapToGrid w:val="0"/>
        </w:rPr>
      </w:pPr>
      <w:bookmarkStart w:id="206" w:name="_Toc406079888"/>
      <w:bookmarkStart w:id="207" w:name="_Toc423529641"/>
      <w:r>
        <w:rPr>
          <w:rStyle w:val="CharSectno"/>
        </w:rPr>
        <w:t>52</w:t>
      </w:r>
      <w:r>
        <w:rPr>
          <w:snapToGrid w:val="0"/>
        </w:rPr>
        <w:t>.</w:t>
      </w:r>
      <w:r>
        <w:rPr>
          <w:snapToGrid w:val="0"/>
        </w:rPr>
        <w:tab/>
        <w:t>Applications for gaming permits</w:t>
      </w:r>
      <w:bookmarkEnd w:id="206"/>
      <w:bookmarkEnd w:id="207"/>
    </w:p>
    <w:p>
      <w:pPr>
        <w:pStyle w:val="Subsection"/>
        <w:spacing w:before="140"/>
        <w:rPr>
          <w:snapToGrid w:val="0"/>
        </w:rPr>
      </w:pPr>
      <w:r>
        <w:rPr>
          <w:snapToGrid w:val="0"/>
        </w:rPr>
        <w:tab/>
      </w:r>
      <w:r>
        <w:rPr>
          <w:snapToGrid w:val="0"/>
        </w:rPr>
        <w:tab/>
        <w:t>An application for the issue of a permit —</w:t>
      </w:r>
    </w:p>
    <w:p>
      <w:pPr>
        <w:pStyle w:val="Indenta"/>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w:t>
      </w:r>
    </w:p>
    <w:p>
      <w:pPr>
        <w:pStyle w:val="Indenti"/>
        <w:rPr>
          <w:snapToGrid w:val="0"/>
        </w:rPr>
      </w:pPr>
      <w:r>
        <w:rPr>
          <w:snapToGrid w:val="0"/>
        </w:rPr>
        <w:tab/>
        <w:t>(i)</w:t>
      </w:r>
      <w:r>
        <w:rPr>
          <w:snapToGrid w:val="0"/>
        </w:rPr>
        <w:tab/>
        <w:t>the applicant is a person entered in the register as eligible to hold a permit of that kind; and</w:t>
      </w:r>
    </w:p>
    <w:p>
      <w:pPr>
        <w:pStyle w:val="Indenti"/>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rPr>
          <w:snapToGrid w:val="0"/>
        </w:rPr>
      </w:pPr>
      <w:r>
        <w:rPr>
          <w:snapToGrid w:val="0"/>
        </w:rPr>
        <w:tab/>
        <w:t>(iii)</w:t>
      </w:r>
      <w:r>
        <w:rPr>
          <w:snapToGrid w:val="0"/>
        </w:rPr>
        <w:tab/>
        <w:t>any conditions applicable are not contravened or likely to be contravened,</w:t>
      </w:r>
    </w:p>
    <w:p>
      <w:pPr>
        <w:pStyle w:val="Indenta"/>
        <w:rPr>
          <w:snapToGrid w:val="0"/>
        </w:rPr>
      </w:pPr>
      <w:r>
        <w:rPr>
          <w:snapToGrid w:val="0"/>
        </w:rPr>
        <w:tab/>
      </w:r>
      <w:r>
        <w:rPr>
          <w:snapToGrid w:val="0"/>
        </w:rPr>
        <w:tab/>
        <w:t>and the magistrate shall cause the Commission to be notified accordingly; but</w:t>
      </w:r>
    </w:p>
    <w:p>
      <w:pPr>
        <w:pStyle w:val="Indenta"/>
        <w:keepNext/>
        <w:rPr>
          <w:snapToGrid w:val="0"/>
        </w:rPr>
      </w:pPr>
      <w:r>
        <w:rPr>
          <w:snapToGrid w:val="0"/>
        </w:rPr>
        <w:tab/>
        <w:t>(b)</w:t>
      </w:r>
      <w:r>
        <w:rPr>
          <w:snapToGrid w:val="0"/>
        </w:rPr>
        <w:tab/>
        <w:t>in the case of a permit of a continuing nature, shall be made to the Commission in writing in the prescribed manner,</w:t>
      </w:r>
    </w:p>
    <w:p>
      <w:pPr>
        <w:pStyle w:val="Subsection"/>
        <w:spacing w:before="12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spacing w:before="160"/>
        <w:ind w:left="890" w:hanging="890"/>
      </w:pPr>
      <w:r>
        <w:tab/>
        <w:t>[Section 52 amended by No. 35 of 2003 s. 167; No. 59 of 2004 s. 141.]</w:t>
      </w:r>
    </w:p>
    <w:p>
      <w:pPr>
        <w:pStyle w:val="Heading5"/>
        <w:rPr>
          <w:snapToGrid w:val="0"/>
        </w:rPr>
      </w:pPr>
      <w:bookmarkStart w:id="208" w:name="_Toc406079889"/>
      <w:bookmarkStart w:id="209" w:name="_Toc423529642"/>
      <w:r>
        <w:rPr>
          <w:rStyle w:val="CharSectno"/>
        </w:rPr>
        <w:t>53</w:t>
      </w:r>
      <w:r>
        <w:rPr>
          <w:snapToGrid w:val="0"/>
        </w:rPr>
        <w:t>.</w:t>
      </w:r>
      <w:r>
        <w:rPr>
          <w:snapToGrid w:val="0"/>
        </w:rPr>
        <w:tab/>
        <w:t>Fees and charges for gaming permits</w:t>
      </w:r>
      <w:bookmarkEnd w:id="208"/>
      <w:bookmarkEnd w:id="209"/>
    </w:p>
    <w:p>
      <w:pPr>
        <w:pStyle w:val="Subsection"/>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w:t>
      </w:r>
    </w:p>
    <w:p>
      <w:pPr>
        <w:pStyle w:val="Indenta"/>
        <w:spacing w:before="140"/>
        <w:rPr>
          <w:snapToGrid w:val="0"/>
        </w:rPr>
      </w:pPr>
      <w:r>
        <w:rPr>
          <w:snapToGrid w:val="0"/>
        </w:rPr>
        <w:tab/>
        <w:t>(a)</w:t>
      </w:r>
      <w:r>
        <w:rPr>
          <w:snapToGrid w:val="0"/>
        </w:rPr>
        <w:tab/>
        <w:t>for an application fee to be payable on the issue of the permit or grant of the approval; and</w:t>
      </w:r>
    </w:p>
    <w:p>
      <w:pPr>
        <w:pStyle w:val="Indenta"/>
        <w:spacing w:before="140"/>
        <w:rPr>
          <w:snapToGrid w:val="0"/>
        </w:rPr>
      </w:pPr>
      <w:r>
        <w:rPr>
          <w:snapToGrid w:val="0"/>
        </w:rPr>
        <w:tab/>
        <w:t>(b)</w:t>
      </w:r>
      <w:r>
        <w:rPr>
          <w:snapToGrid w:val="0"/>
        </w:rPr>
        <w:tab/>
        <w:t>for periodic, percentage or other payments to be made related to the volume or value of the gaming conducted or to be conducted or to its frequency; and</w:t>
      </w:r>
    </w:p>
    <w:p>
      <w:pPr>
        <w:pStyle w:val="Indenta"/>
        <w:spacing w:before="140"/>
        <w:rPr>
          <w:snapToGrid w:val="0"/>
        </w:rPr>
      </w:pPr>
      <w:r>
        <w:rPr>
          <w:snapToGrid w:val="0"/>
        </w:rPr>
        <w:tab/>
        <w:t>(c)</w:t>
      </w:r>
      <w:r>
        <w:rPr>
          <w:snapToGrid w:val="0"/>
        </w:rPr>
        <w:tab/>
        <w:t>for the giving of security, by means of a deposit or otherwise, for payments due or to become due; and</w:t>
      </w:r>
    </w:p>
    <w:p>
      <w:pPr>
        <w:pStyle w:val="Indenta"/>
        <w:spacing w:before="140"/>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spacing w:before="140"/>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spacing w:before="160"/>
        <w:ind w:left="890" w:hanging="890"/>
      </w:pPr>
      <w:r>
        <w:tab/>
        <w:t>[Section 53 amended by No. 35 of 2003 s. 167.]</w:t>
      </w:r>
    </w:p>
    <w:p>
      <w:pPr>
        <w:pStyle w:val="Heading5"/>
        <w:rPr>
          <w:snapToGrid w:val="0"/>
        </w:rPr>
      </w:pPr>
      <w:bookmarkStart w:id="210" w:name="_Toc406079890"/>
      <w:bookmarkStart w:id="211" w:name="_Toc423529643"/>
      <w:r>
        <w:rPr>
          <w:rStyle w:val="CharSectno"/>
        </w:rPr>
        <w:t>54</w:t>
      </w:r>
      <w:r>
        <w:rPr>
          <w:snapToGrid w:val="0"/>
        </w:rPr>
        <w:t>.</w:t>
      </w:r>
      <w:r>
        <w:rPr>
          <w:snapToGrid w:val="0"/>
        </w:rPr>
        <w:tab/>
        <w:t>Charging people to take part in permitted gaming</w:t>
      </w:r>
      <w:bookmarkEnd w:id="210"/>
      <w:bookmarkEnd w:id="211"/>
    </w:p>
    <w:p>
      <w:pPr>
        <w:pStyle w:val="Subsection"/>
        <w:rPr>
          <w:snapToGrid w:val="0"/>
        </w:rPr>
      </w:pPr>
      <w:r>
        <w:rPr>
          <w:snapToGrid w:val="0"/>
        </w:rPr>
        <w:tab/>
        <w:t>(1)</w:t>
      </w:r>
      <w:r>
        <w:rPr>
          <w:snapToGrid w:val="0"/>
        </w:rPr>
        <w:tab/>
        <w:t>Except where —</w:t>
      </w:r>
    </w:p>
    <w:p>
      <w:pPr>
        <w:pStyle w:val="Indenta"/>
        <w:spacing w:before="120"/>
        <w:rPr>
          <w:snapToGrid w:val="0"/>
        </w:rPr>
      </w:pPr>
      <w:r>
        <w:rPr>
          <w:snapToGrid w:val="0"/>
        </w:rPr>
        <w:tab/>
        <w:t>(a)</w:t>
      </w:r>
      <w:r>
        <w:rPr>
          <w:snapToGrid w:val="0"/>
        </w:rPr>
        <w:tab/>
        <w:t>a regulation made under this Act, pursuant to subsection (4) or otherwise; or</w:t>
      </w:r>
    </w:p>
    <w:p>
      <w:pPr>
        <w:pStyle w:val="Indenta"/>
        <w:spacing w:before="120"/>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w:t>
      </w:r>
    </w:p>
    <w:p>
      <w:pPr>
        <w:pStyle w:val="Indenta"/>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rPr>
          <w:snapToGrid w:val="0"/>
        </w:rPr>
      </w:pPr>
      <w:r>
        <w:rPr>
          <w:snapToGrid w:val="0"/>
        </w:rPr>
        <w:tab/>
        <w:t>(6)</w:t>
      </w:r>
      <w:r>
        <w:rPr>
          <w:snapToGrid w:val="0"/>
        </w:rPr>
        <w:tab/>
        <w:t>A charge shall not be made in relation to permitted gaming unless particulars of the charges and of the circumstances in which they are chargeable —</w:t>
      </w:r>
    </w:p>
    <w:p>
      <w:pPr>
        <w:pStyle w:val="Indenta"/>
        <w:rPr>
          <w:snapToGrid w:val="0"/>
        </w:rPr>
      </w:pPr>
      <w:r>
        <w:rPr>
          <w:snapToGrid w:val="0"/>
        </w:rPr>
        <w:tab/>
        <w:t>(a)</w:t>
      </w:r>
      <w:r>
        <w:rPr>
          <w:snapToGrid w:val="0"/>
        </w:rPr>
        <w:tab/>
        <w:t>are displayed at the premises; and</w:t>
      </w:r>
    </w:p>
    <w:p>
      <w:pPr>
        <w:pStyle w:val="Indenta"/>
        <w:keepNext/>
        <w:rPr>
          <w:snapToGrid w:val="0"/>
        </w:rPr>
      </w:pPr>
      <w:r>
        <w:rPr>
          <w:snapToGrid w:val="0"/>
        </w:rPr>
        <w:tab/>
        <w:t>(b)</w:t>
      </w:r>
      <w:r>
        <w:rPr>
          <w:snapToGrid w:val="0"/>
        </w:rPr>
        <w:tab/>
        <w:t>where the regulations or a condition so provide —</w:t>
      </w:r>
    </w:p>
    <w:p>
      <w:pPr>
        <w:pStyle w:val="Indenti"/>
        <w:rPr>
          <w:snapToGrid w:val="0"/>
        </w:rPr>
      </w:pPr>
      <w:r>
        <w:rPr>
          <w:snapToGrid w:val="0"/>
        </w:rPr>
        <w:tab/>
        <w:t>(i)</w:t>
      </w:r>
      <w:r>
        <w:rPr>
          <w:snapToGrid w:val="0"/>
        </w:rPr>
        <w:tab/>
        <w:t>the charges are approved by the Commission; and</w:t>
      </w:r>
    </w:p>
    <w:p>
      <w:pPr>
        <w:pStyle w:val="Indenti"/>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keepLines w:val="0"/>
        <w:ind w:left="890" w:hanging="890"/>
      </w:pPr>
      <w:r>
        <w:tab/>
        <w:t>[Section 54 amended by No. 35 of 2003 s. 149, 166 and 167.]</w:t>
      </w:r>
    </w:p>
    <w:p>
      <w:pPr>
        <w:pStyle w:val="Heading5"/>
        <w:rPr>
          <w:snapToGrid w:val="0"/>
        </w:rPr>
      </w:pPr>
      <w:bookmarkStart w:id="212" w:name="_Toc406079891"/>
      <w:bookmarkStart w:id="213" w:name="_Toc423529644"/>
      <w:r>
        <w:rPr>
          <w:rStyle w:val="CharSectno"/>
        </w:rPr>
        <w:t>55</w:t>
      </w:r>
      <w:r>
        <w:rPr>
          <w:snapToGrid w:val="0"/>
        </w:rPr>
        <w:t>.</w:t>
      </w:r>
      <w:r>
        <w:rPr>
          <w:snapToGrid w:val="0"/>
        </w:rPr>
        <w:tab/>
        <w:t>Approving premises for gaming</w:t>
      </w:r>
      <w:bookmarkEnd w:id="212"/>
      <w:bookmarkEnd w:id="213"/>
    </w:p>
    <w:p>
      <w:pPr>
        <w:pStyle w:val="Subsection"/>
        <w:keepNext/>
        <w:keepLines/>
        <w:rPr>
          <w:snapToGrid w:val="0"/>
        </w:rPr>
      </w:pPr>
      <w:r>
        <w:rPr>
          <w:snapToGrid w:val="0"/>
        </w:rPr>
        <w:tab/>
        <w:t>(1)</w:t>
      </w:r>
      <w:r>
        <w:rPr>
          <w:snapToGrid w:val="0"/>
        </w:rPr>
        <w:tab/>
        <w:t>An application for the grant by the Commission of approval to the use of premises for gaming —</w:t>
      </w:r>
    </w:p>
    <w:p>
      <w:pPr>
        <w:pStyle w:val="Indenta"/>
        <w:rPr>
          <w:snapToGrid w:val="0"/>
        </w:rPr>
      </w:pPr>
      <w:r>
        <w:rPr>
          <w:snapToGrid w:val="0"/>
        </w:rPr>
        <w:tab/>
        <w:t>(a)</w:t>
      </w:r>
      <w:r>
        <w:rPr>
          <w:snapToGrid w:val="0"/>
        </w:rPr>
        <w:tab/>
        <w:t>in the case of premises to be used for the purposes of a specific function permit, may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w:t>
      </w:r>
    </w:p>
    <w:p>
      <w:pPr>
        <w:pStyle w:val="Indenta"/>
        <w:rPr>
          <w:snapToGrid w:val="0"/>
        </w:rPr>
      </w:pPr>
      <w:r>
        <w:rPr>
          <w:snapToGrid w:val="0"/>
        </w:rPr>
        <w:tab/>
        <w:t>(a)</w:t>
      </w:r>
      <w:r>
        <w:rPr>
          <w:snapToGrid w:val="0"/>
        </w:rPr>
        <w:tab/>
        <w:t>specifically, to be used for the purposes of a specific function permit; or</w:t>
      </w:r>
    </w:p>
    <w:p>
      <w:pPr>
        <w:pStyle w:val="Indenta"/>
        <w:spacing w:before="100"/>
        <w:rPr>
          <w:snapToGrid w:val="0"/>
        </w:rPr>
      </w:pPr>
      <w:r>
        <w:rPr>
          <w:snapToGrid w:val="0"/>
        </w:rPr>
        <w:tab/>
        <w:t>(b)</w:t>
      </w:r>
      <w:r>
        <w:rPr>
          <w:snapToGrid w:val="0"/>
        </w:rPr>
        <w:tab/>
        <w:t>generally, to be used for the purposes of function permits from time to time; or</w:t>
      </w:r>
    </w:p>
    <w:p>
      <w:pPr>
        <w:pStyle w:val="Indenta"/>
        <w:spacing w:before="100"/>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w:t>
      </w:r>
    </w:p>
    <w:p>
      <w:pPr>
        <w:pStyle w:val="Indenta"/>
        <w:spacing w:before="100"/>
        <w:rPr>
          <w:snapToGrid w:val="0"/>
        </w:rPr>
      </w:pPr>
      <w:r>
        <w:rPr>
          <w:snapToGrid w:val="0"/>
        </w:rPr>
        <w:tab/>
        <w:t>(a)</w:t>
      </w:r>
      <w:r>
        <w:rPr>
          <w:snapToGrid w:val="0"/>
        </w:rPr>
        <w:tab/>
        <w:t xml:space="preserve">a report from the local government of the district in which the premises are situated, certifying that those premises conform, or if not conforming in what respect they do not conform, to the </w:t>
      </w:r>
      <w:r>
        <w:rPr>
          <w:i/>
          <w:snapToGrid w:val="0"/>
        </w:rPr>
        <w:t>Health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 and</w:t>
      </w:r>
    </w:p>
    <w:p>
      <w:pPr>
        <w:pStyle w:val="Indenta"/>
        <w:spacing w:before="100"/>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w:t>
      </w:r>
    </w:p>
    <w:p>
      <w:pPr>
        <w:pStyle w:val="Indenti"/>
        <w:spacing w:before="100"/>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spacing w:before="100"/>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An approval of premises granted by the Commission subsists in favour of the holder to whom or which the approval was first granted, or an assignee acceptable to the Commission entered in the register as the registered holder of that approval, and until —</w:t>
      </w:r>
    </w:p>
    <w:p>
      <w:pPr>
        <w:pStyle w:val="Indenta"/>
        <w:rPr>
          <w:snapToGrid w:val="0"/>
        </w:rPr>
      </w:pPr>
      <w:r>
        <w:rPr>
          <w:snapToGrid w:val="0"/>
        </w:rPr>
        <w:tab/>
        <w:t>(a)</w:t>
      </w:r>
      <w:r>
        <w:rPr>
          <w:snapToGrid w:val="0"/>
        </w:rPr>
        <w:tab/>
        <w:t>the term for which it was granted expires; or</w:t>
      </w:r>
    </w:p>
    <w:p>
      <w:pPr>
        <w:pStyle w:val="Indenta"/>
        <w:keepNext/>
        <w:rPr>
          <w:snapToGrid w:val="0"/>
        </w:rPr>
      </w:pPr>
      <w:r>
        <w:rPr>
          <w:snapToGrid w:val="0"/>
        </w:rPr>
        <w:tab/>
        <w:t>(b)</w:t>
      </w:r>
      <w:r>
        <w:rPr>
          <w:snapToGrid w:val="0"/>
        </w:rPr>
        <w:tab/>
        <w:t>its operation is suspended pursuant to an amendment; or</w:t>
      </w:r>
    </w:p>
    <w:p>
      <w:pPr>
        <w:pStyle w:val="Indenta"/>
        <w:keepNext/>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ind w:left="890" w:hanging="890"/>
      </w:pPr>
      <w:r>
        <w:tab/>
        <w:t>[Section 55 amended by No. 14 of 1996 s. 4; No. 35 of 2003 s. 167; No. 38 of 2005 s. 15.]</w:t>
      </w:r>
    </w:p>
    <w:p>
      <w:pPr>
        <w:pStyle w:val="Heading5"/>
        <w:rPr>
          <w:snapToGrid w:val="0"/>
        </w:rPr>
      </w:pPr>
      <w:bookmarkStart w:id="214" w:name="_Toc406079892"/>
      <w:bookmarkStart w:id="215" w:name="_Toc423529645"/>
      <w:r>
        <w:rPr>
          <w:rStyle w:val="CharSectno"/>
        </w:rPr>
        <w:t>56</w:t>
      </w:r>
      <w:r>
        <w:rPr>
          <w:snapToGrid w:val="0"/>
        </w:rPr>
        <w:t>.</w:t>
      </w:r>
      <w:r>
        <w:rPr>
          <w:snapToGrid w:val="0"/>
        </w:rPr>
        <w:tab/>
        <w:t>Renewing approvals, permits and certificates</w:t>
      </w:r>
      <w:bookmarkEnd w:id="214"/>
      <w:bookmarkEnd w:id="215"/>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216" w:name="_Toc406079893"/>
      <w:bookmarkStart w:id="217" w:name="_Toc423529646"/>
      <w:r>
        <w:rPr>
          <w:rStyle w:val="CharSectno"/>
        </w:rPr>
        <w:t>57</w:t>
      </w:r>
      <w:r>
        <w:rPr>
          <w:snapToGrid w:val="0"/>
        </w:rPr>
        <w:t>.</w:t>
      </w:r>
      <w:r>
        <w:rPr>
          <w:snapToGrid w:val="0"/>
        </w:rPr>
        <w:tab/>
        <w:t>Reports by permit holders, when required, content of etc.</w:t>
      </w:r>
      <w:bookmarkEnd w:id="216"/>
      <w:bookmarkEnd w:id="217"/>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 and</w:t>
      </w:r>
    </w:p>
    <w:p>
      <w:pPr>
        <w:pStyle w:val="Indenta"/>
        <w:rPr>
          <w:snapToGrid w:val="0"/>
        </w:rPr>
      </w:pPr>
      <w:r>
        <w:rPr>
          <w:snapToGrid w:val="0"/>
        </w:rPr>
        <w:tab/>
        <w:t>(b)</w:t>
      </w:r>
      <w:r>
        <w:rPr>
          <w:snapToGrid w:val="0"/>
        </w:rPr>
        <w:tab/>
        <w:t>each date and place at which gaming to which the permit purported to apply occurred; and</w:t>
      </w:r>
    </w:p>
    <w:p>
      <w:pPr>
        <w:pStyle w:val="Indenta"/>
        <w:rPr>
          <w:snapToGrid w:val="0"/>
        </w:rPr>
      </w:pPr>
      <w:r>
        <w:rPr>
          <w:snapToGrid w:val="0"/>
        </w:rPr>
        <w:tab/>
        <w:t>(c)</w:t>
      </w:r>
      <w:r>
        <w:rPr>
          <w:snapToGrid w:val="0"/>
        </w:rPr>
        <w:tab/>
        <w:t>the total amount of the proceeds of the permitted gaming; and</w:t>
      </w:r>
    </w:p>
    <w:p>
      <w:pPr>
        <w:pStyle w:val="Indenta"/>
        <w:keepNext/>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t>Penalty: $5 000, or imprisonment for 1 year, or both.</w:t>
      </w:r>
    </w:p>
    <w:p>
      <w:pPr>
        <w:pStyle w:val="Footnotesection"/>
        <w:ind w:left="890" w:hanging="890"/>
      </w:pPr>
      <w:r>
        <w:tab/>
        <w:t>[Section 57 amended by No. 35 of 2003 s. 167.]</w:t>
      </w:r>
    </w:p>
    <w:p>
      <w:pPr>
        <w:pStyle w:val="Heading5"/>
        <w:rPr>
          <w:snapToGrid w:val="0"/>
        </w:rPr>
      </w:pPr>
      <w:bookmarkStart w:id="218" w:name="_Toc406079894"/>
      <w:bookmarkStart w:id="219" w:name="_Toc423529647"/>
      <w:r>
        <w:rPr>
          <w:rStyle w:val="CharSectno"/>
        </w:rPr>
        <w:t>58</w:t>
      </w:r>
      <w:r>
        <w:rPr>
          <w:snapToGrid w:val="0"/>
        </w:rPr>
        <w:t>.</w:t>
      </w:r>
      <w:r>
        <w:rPr>
          <w:snapToGrid w:val="0"/>
        </w:rPr>
        <w:tab/>
        <w:t>Gaming permit may regulate use of proceeds from permitted gaming etc.</w:t>
      </w:r>
      <w:bookmarkEnd w:id="218"/>
      <w:bookmarkEnd w:id="219"/>
    </w:p>
    <w:p>
      <w:pPr>
        <w:pStyle w:val="Subsection"/>
        <w:keepNext/>
        <w:rPr>
          <w:snapToGrid w:val="0"/>
        </w:rPr>
      </w:pPr>
      <w:r>
        <w:rPr>
          <w:snapToGrid w:val="0"/>
        </w:rPr>
        <w:tab/>
        <w:t>(1)</w:t>
      </w:r>
      <w:r>
        <w:rPr>
          <w:snapToGrid w:val="0"/>
        </w:rPr>
        <w:tab/>
        <w:t>A condition imposed in relation to a permit may require the permit holder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rStyle w:val="CharDefText"/>
        </w:rPr>
        <w:t>object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w:t>
      </w:r>
    </w:p>
    <w:p>
      <w:pPr>
        <w:pStyle w:val="Indenta"/>
        <w:rPr>
          <w:snapToGrid w:val="0"/>
        </w:rPr>
      </w:pPr>
      <w:r>
        <w:rPr>
          <w:snapToGrid w:val="0"/>
        </w:rPr>
        <w:tab/>
        <w:t>(a)</w:t>
      </w:r>
      <w:r>
        <w:rPr>
          <w:snapToGrid w:val="0"/>
        </w:rPr>
        <w:tab/>
        <w:t>that the object, in whole or in part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object provides a use for part only of the money accruing from the permitted gaming; or</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 or</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spacing w:before="180"/>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$2 500.</w:t>
      </w:r>
    </w:p>
    <w:p>
      <w:pPr>
        <w:pStyle w:val="Footnotesection"/>
      </w:pPr>
      <w:r>
        <w:tab/>
        <w:t>[Section 58 amended by No. 50 of 2003 s. 66(4).]</w:t>
      </w:r>
    </w:p>
    <w:p>
      <w:pPr>
        <w:pStyle w:val="Heading5"/>
        <w:spacing w:before="240"/>
        <w:rPr>
          <w:snapToGrid w:val="0"/>
        </w:rPr>
      </w:pPr>
      <w:bookmarkStart w:id="220" w:name="_Toc406079895"/>
      <w:bookmarkStart w:id="221" w:name="_Toc423529648"/>
      <w:r>
        <w:rPr>
          <w:rStyle w:val="CharSectno"/>
        </w:rPr>
        <w:t>59</w:t>
      </w:r>
      <w:r>
        <w:rPr>
          <w:snapToGrid w:val="0"/>
        </w:rPr>
        <w:t>.</w:t>
      </w:r>
      <w:r>
        <w:rPr>
          <w:snapToGrid w:val="0"/>
        </w:rPr>
        <w:tab/>
        <w:t>Approvals etc. may require security to be given</w:t>
      </w:r>
      <w:bookmarkEnd w:id="220"/>
      <w:bookmarkEnd w:id="221"/>
    </w:p>
    <w:p>
      <w:pPr>
        <w:pStyle w:val="Subsection"/>
        <w:spacing w:before="180"/>
        <w:rPr>
          <w:snapToGrid w:val="0"/>
        </w:rPr>
      </w:pPr>
      <w:r>
        <w:rPr>
          <w:snapToGrid w:val="0"/>
        </w:rPr>
        <w:tab/>
        <w:t>(1)</w:t>
      </w:r>
      <w:r>
        <w:rPr>
          <w:snapToGrid w:val="0"/>
        </w:rPr>
        <w:tab/>
        <w:t>A condition imposed in relation to —</w:t>
      </w:r>
    </w:p>
    <w:p>
      <w:pPr>
        <w:pStyle w:val="Indenta"/>
        <w:spacing w:before="100"/>
        <w:rPr>
          <w:snapToGrid w:val="0"/>
        </w:rPr>
      </w:pPr>
      <w:r>
        <w:rPr>
          <w:snapToGrid w:val="0"/>
        </w:rPr>
        <w:tab/>
        <w:t>(a)</w:t>
      </w:r>
      <w:r>
        <w:rPr>
          <w:snapToGrid w:val="0"/>
        </w:rPr>
        <w:tab/>
        <w:t>the eligibility of any person to hold a permit; or</w:t>
      </w:r>
    </w:p>
    <w:p>
      <w:pPr>
        <w:pStyle w:val="Indenta"/>
        <w:spacing w:before="100"/>
        <w:rPr>
          <w:snapToGrid w:val="0"/>
        </w:rPr>
      </w:pPr>
      <w:r>
        <w:rPr>
          <w:snapToGrid w:val="0"/>
        </w:rPr>
        <w:tab/>
        <w:t>(b)</w:t>
      </w:r>
      <w:r>
        <w:rPr>
          <w:snapToGrid w:val="0"/>
        </w:rPr>
        <w:tab/>
        <w:t>the approval of a person as a nominee permit holder; or</w:t>
      </w:r>
    </w:p>
    <w:p>
      <w:pPr>
        <w:pStyle w:val="Indenta"/>
        <w:spacing w:before="100"/>
        <w:rPr>
          <w:snapToGrid w:val="0"/>
        </w:rPr>
      </w:pPr>
      <w:r>
        <w:rPr>
          <w:snapToGrid w:val="0"/>
        </w:rPr>
        <w:tab/>
        <w:t>(c)</w:t>
      </w:r>
      <w:r>
        <w:rPr>
          <w:snapToGrid w:val="0"/>
        </w:rPr>
        <w:tab/>
        <w:t>the approval of premises; or</w:t>
      </w:r>
    </w:p>
    <w:p>
      <w:pPr>
        <w:pStyle w:val="Indenta"/>
        <w:keepNext/>
        <w:keepLines/>
        <w:rPr>
          <w:snapToGrid w:val="0"/>
        </w:rPr>
      </w:pPr>
      <w:r>
        <w:rPr>
          <w:snapToGrid w:val="0"/>
        </w:rPr>
        <w:tab/>
        <w:t>(d)</w:t>
      </w:r>
      <w:r>
        <w:rPr>
          <w:snapToGrid w:val="0"/>
        </w:rPr>
        <w:tab/>
        <w:t>the issue of a permit or certificate,</w:t>
      </w:r>
    </w:p>
    <w:p>
      <w:pPr>
        <w:pStyle w:val="Subsection"/>
        <w:keepLines/>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ind w:left="890" w:hanging="890"/>
      </w:pPr>
      <w:r>
        <w:tab/>
        <w:t>[Section 59 amended by No. 16 of 1990 s. 33.]</w:t>
      </w:r>
    </w:p>
    <w:p>
      <w:pPr>
        <w:pStyle w:val="Heading5"/>
        <w:rPr>
          <w:snapToGrid w:val="0"/>
        </w:rPr>
      </w:pPr>
      <w:bookmarkStart w:id="222" w:name="_Toc406079896"/>
      <w:bookmarkStart w:id="223" w:name="_Toc423529649"/>
      <w:r>
        <w:rPr>
          <w:rStyle w:val="CharSectno"/>
        </w:rPr>
        <w:t>60</w:t>
      </w:r>
      <w:r>
        <w:rPr>
          <w:snapToGrid w:val="0"/>
        </w:rPr>
        <w:t>.</w:t>
      </w:r>
      <w:r>
        <w:rPr>
          <w:snapToGrid w:val="0"/>
        </w:rPr>
        <w:tab/>
        <w:t>Revoking and amending permits and certain approvals</w:t>
      </w:r>
      <w:bookmarkEnd w:id="222"/>
      <w:bookmarkEnd w:id="223"/>
    </w:p>
    <w:p>
      <w:pPr>
        <w:pStyle w:val="Subsection"/>
        <w:rPr>
          <w:snapToGrid w:val="0"/>
        </w:rPr>
      </w:pPr>
      <w:r>
        <w:rPr>
          <w:snapToGrid w:val="0"/>
        </w:rPr>
        <w:tab/>
        <w:t>(1)</w:t>
      </w:r>
      <w:r>
        <w:rPr>
          <w:snapToGrid w:val="0"/>
        </w:rPr>
        <w:tab/>
        <w:t>Where the Commission is satisfied that the circumstances so require, the Commission, subject to section 62, may in its discretion —</w:t>
      </w:r>
    </w:p>
    <w:p>
      <w:pPr>
        <w:pStyle w:val="Indenta"/>
        <w:rPr>
          <w:snapToGrid w:val="0"/>
        </w:rPr>
      </w:pPr>
      <w:r>
        <w:rPr>
          <w:snapToGrid w:val="0"/>
        </w:rPr>
        <w:tab/>
        <w:t>(a)</w:t>
      </w:r>
      <w:r>
        <w:rPr>
          <w:snapToGrid w:val="0"/>
        </w:rPr>
        <w:tab/>
        <w:t>revoke its approval as to the eligibility of any person to hold a permit; or</w:t>
      </w:r>
    </w:p>
    <w:p>
      <w:pPr>
        <w:pStyle w:val="Indenta"/>
        <w:rPr>
          <w:snapToGrid w:val="0"/>
        </w:rPr>
      </w:pPr>
      <w:r>
        <w:rPr>
          <w:snapToGrid w:val="0"/>
        </w:rPr>
        <w:tab/>
        <w:t>(b)</w:t>
      </w:r>
      <w:r>
        <w:rPr>
          <w:snapToGrid w:val="0"/>
        </w:rPr>
        <w:tab/>
        <w:t>revoke its approval of a person as a nominee permit holder; or</w:t>
      </w:r>
    </w:p>
    <w:p>
      <w:pPr>
        <w:pStyle w:val="Indenta"/>
        <w:rPr>
          <w:snapToGrid w:val="0"/>
        </w:rPr>
      </w:pPr>
      <w:r>
        <w:rPr>
          <w:snapToGrid w:val="0"/>
        </w:rPr>
        <w:tab/>
        <w:t>(c)</w:t>
      </w:r>
      <w:r>
        <w:rPr>
          <w:snapToGrid w:val="0"/>
        </w:rPr>
        <w:tab/>
        <w:t>where a permit holder is a corporation and —</w:t>
      </w:r>
    </w:p>
    <w:p>
      <w:pPr>
        <w:pStyle w:val="Indenti"/>
        <w:rPr>
          <w:snapToGrid w:val="0"/>
        </w:rPr>
      </w:pPr>
      <w:r>
        <w:rPr>
          <w:snapToGrid w:val="0"/>
        </w:rPr>
        <w:tab/>
        <w:t>(i)</w:t>
      </w:r>
      <w:r>
        <w:rPr>
          <w:snapToGrid w:val="0"/>
        </w:rPr>
        <w:tab/>
        <w:t>a dealing with shares or any other interest in the corporation takes place; or</w:t>
      </w:r>
    </w:p>
    <w:p>
      <w:pPr>
        <w:pStyle w:val="Indenti"/>
        <w:keepNext/>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 or</w:t>
      </w:r>
    </w:p>
    <w:p>
      <w:pPr>
        <w:pStyle w:val="Indenta"/>
        <w:keepNext/>
        <w:rPr>
          <w:snapToGrid w:val="0"/>
        </w:rPr>
      </w:pPr>
      <w:r>
        <w:rPr>
          <w:snapToGrid w:val="0"/>
        </w:rPr>
        <w:tab/>
        <w:t>(d)</w:t>
      </w:r>
      <w:r>
        <w:rPr>
          <w:snapToGrid w:val="0"/>
        </w:rPr>
        <w:tab/>
        <w:t>revoke a permit or a certificate; or</w:t>
      </w:r>
    </w:p>
    <w:p>
      <w:pPr>
        <w:pStyle w:val="Indenta"/>
        <w:keepNext/>
        <w:rPr>
          <w:snapToGrid w:val="0"/>
        </w:rPr>
      </w:pPr>
      <w:r>
        <w:rPr>
          <w:snapToGrid w:val="0"/>
        </w:rPr>
        <w:tab/>
        <w:t>(e)</w:t>
      </w:r>
      <w:r>
        <w:rPr>
          <w:snapToGrid w:val="0"/>
        </w:rPr>
        <w:tab/>
        <w:t>amend any such approval or permit or certificate.</w:t>
      </w:r>
    </w:p>
    <w:p>
      <w:pPr>
        <w:pStyle w:val="Subsection"/>
        <w:rPr>
          <w:snapToGrid w:val="0"/>
        </w:rPr>
      </w:pPr>
      <w:r>
        <w:rPr>
          <w:snapToGrid w:val="0"/>
        </w:rPr>
        <w:tab/>
        <w:t>(2)</w:t>
      </w:r>
      <w:r>
        <w:rPr>
          <w:snapToGrid w:val="0"/>
        </w:rPr>
        <w:tab/>
        <w:t>The revocation or amendment of an approval or a permit or a certificate pursuant to subsection (1) takes effect —</w:t>
      </w:r>
    </w:p>
    <w:p>
      <w:pPr>
        <w:pStyle w:val="Indenta"/>
        <w:spacing w:before="60"/>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rPr>
          <w:snapToGrid w:val="0"/>
        </w:rPr>
      </w:pPr>
      <w:r>
        <w:rPr>
          <w:snapToGrid w:val="0"/>
        </w:rPr>
        <w:tab/>
      </w:r>
      <w:r>
        <w:rPr>
          <w:snapToGrid w:val="0"/>
        </w:rPr>
        <w:tab/>
        <w:t>and the register shall be noted accordingly.</w:t>
      </w:r>
    </w:p>
    <w:p>
      <w:pPr>
        <w:pStyle w:val="Subsection"/>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ind w:left="890" w:hanging="890"/>
      </w:pPr>
      <w:r>
        <w:tab/>
        <w:t>[Section 60 amended by No. 16 of 1990 s. 33; No. 24 of 1998 s. 52.]</w:t>
      </w:r>
    </w:p>
    <w:p>
      <w:pPr>
        <w:pStyle w:val="Ednotesection"/>
      </w:pPr>
      <w:r>
        <w:t>[</w:t>
      </w:r>
      <w:r>
        <w:rPr>
          <w:b/>
        </w:rPr>
        <w:t>61.</w:t>
      </w:r>
      <w:r>
        <w:tab/>
        <w:t>Deleted by No. 16 of 1990 s. 33.]</w:t>
      </w:r>
    </w:p>
    <w:p>
      <w:pPr>
        <w:pStyle w:val="Heading5"/>
        <w:rPr>
          <w:snapToGrid w:val="0"/>
        </w:rPr>
      </w:pPr>
      <w:bookmarkStart w:id="224" w:name="_Toc406079897"/>
      <w:bookmarkStart w:id="225" w:name="_Toc423529650"/>
      <w:r>
        <w:rPr>
          <w:rStyle w:val="CharSectno"/>
        </w:rPr>
        <w:t>62</w:t>
      </w:r>
      <w:r>
        <w:rPr>
          <w:snapToGrid w:val="0"/>
        </w:rPr>
        <w:t>.</w:t>
      </w:r>
      <w:r>
        <w:rPr>
          <w:snapToGrid w:val="0"/>
        </w:rPr>
        <w:tab/>
        <w:t>Revocation or amendment of current approval etc., Commission to report to Minister; appeals to Minister</w:t>
      </w:r>
      <w:bookmarkEnd w:id="224"/>
      <w:bookmarkEnd w:id="225"/>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w:t>
      </w:r>
    </w:p>
    <w:p>
      <w:pPr>
        <w:pStyle w:val="Indenta"/>
        <w:rPr>
          <w:snapToGrid w:val="0"/>
        </w:rPr>
      </w:pPr>
      <w:r>
        <w:rPr>
          <w:snapToGrid w:val="0"/>
        </w:rPr>
        <w:tab/>
        <w:t>(a)</w:t>
      </w:r>
      <w:r>
        <w:rPr>
          <w:snapToGrid w:val="0"/>
        </w:rPr>
        <w:tab/>
        <w:t>revoking; or</w:t>
      </w:r>
    </w:p>
    <w:p>
      <w:pPr>
        <w:pStyle w:val="Indenta"/>
        <w:rPr>
          <w:snapToGrid w:val="0"/>
        </w:rPr>
      </w:pPr>
      <w:r>
        <w:rPr>
          <w:snapToGrid w:val="0"/>
        </w:rPr>
        <w:tab/>
        <w:t>(b)</w:t>
      </w:r>
      <w:r>
        <w:rPr>
          <w:snapToGrid w:val="0"/>
        </w:rPr>
        <w:tab/>
        <w:t>refusing to renew; or</w:t>
      </w:r>
    </w:p>
    <w:p>
      <w:pPr>
        <w:pStyle w:val="Indenta"/>
        <w:keepNext/>
        <w:rPr>
          <w:snapToGrid w:val="0"/>
        </w:rPr>
      </w:pPr>
      <w:r>
        <w:rPr>
          <w:snapToGrid w:val="0"/>
        </w:rPr>
        <w:tab/>
        <w:t>(c)</w:t>
      </w:r>
      <w:r>
        <w:rPr>
          <w:snapToGrid w:val="0"/>
        </w:rPr>
        <w:tab/>
        <w:t>amending,</w:t>
      </w:r>
    </w:p>
    <w:p>
      <w:pPr>
        <w:pStyle w:val="Subsection"/>
        <w:spacing w:before="120"/>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spacing w:before="180"/>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8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by No. 35 of 2003 s. 166.]</w:t>
      </w:r>
    </w:p>
    <w:p>
      <w:pPr>
        <w:pStyle w:val="Heading5"/>
        <w:spacing w:before="240"/>
        <w:rPr>
          <w:snapToGrid w:val="0"/>
        </w:rPr>
      </w:pPr>
      <w:bookmarkStart w:id="226" w:name="_Toc406079898"/>
      <w:bookmarkStart w:id="227" w:name="_Toc423529651"/>
      <w:r>
        <w:rPr>
          <w:rStyle w:val="CharSectno"/>
        </w:rPr>
        <w:t>63</w:t>
      </w:r>
      <w:r>
        <w:rPr>
          <w:snapToGrid w:val="0"/>
        </w:rPr>
        <w:t>.</w:t>
      </w:r>
      <w:r>
        <w:rPr>
          <w:snapToGrid w:val="0"/>
        </w:rPr>
        <w:tab/>
        <w:t>No credit to be given to person for permitted gaming; cheques for permitted gaming</w:t>
      </w:r>
      <w:bookmarkEnd w:id="226"/>
      <w:bookmarkEnd w:id="227"/>
    </w:p>
    <w:p>
      <w:pPr>
        <w:pStyle w:val="Subsection"/>
        <w:spacing w:before="18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w:t>
      </w:r>
    </w:p>
    <w:p>
      <w:pPr>
        <w:pStyle w:val="Indenta"/>
        <w:rPr>
          <w:snapToGrid w:val="0"/>
        </w:rPr>
      </w:pPr>
      <w:r>
        <w:rPr>
          <w:snapToGrid w:val="0"/>
        </w:rPr>
        <w:tab/>
        <w:t>(a)</w:t>
      </w:r>
      <w:r>
        <w:rPr>
          <w:snapToGrid w:val="0"/>
        </w:rPr>
        <w:tab/>
        <w:t>for enabling any person to take part in permitted gaming; or</w:t>
      </w:r>
    </w:p>
    <w:p>
      <w:pPr>
        <w:pStyle w:val="Indenta"/>
        <w:rPr>
          <w:snapToGrid w:val="0"/>
        </w:rPr>
      </w:pPr>
      <w:r>
        <w:rPr>
          <w:snapToGrid w:val="0"/>
        </w:rPr>
        <w:tab/>
        <w:t>(b)</w:t>
      </w:r>
      <w:r>
        <w:rPr>
          <w:snapToGrid w:val="0"/>
        </w:rPr>
        <w:tab/>
        <w:t>in respect of any losses incurred by any person in permitted gaming.</w:t>
      </w:r>
    </w:p>
    <w:p>
      <w:pPr>
        <w:pStyle w:val="Subsection"/>
        <w:spacing w:before="18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w:t>
      </w:r>
    </w:p>
    <w:p>
      <w:pPr>
        <w:pStyle w:val="Indenta"/>
        <w:rPr>
          <w:snapToGrid w:val="0"/>
        </w:rPr>
      </w:pPr>
      <w:r>
        <w:rPr>
          <w:snapToGrid w:val="0"/>
        </w:rPr>
        <w:tab/>
        <w:t>(a)</w:t>
      </w:r>
      <w:r>
        <w:rPr>
          <w:snapToGrid w:val="0"/>
        </w:rPr>
        <w:tab/>
        <w:t>the cheque is not a post</w:t>
      </w:r>
      <w:r>
        <w:rPr>
          <w:snapToGrid w:val="0"/>
        </w:rPr>
        <w:noBreakHyphen/>
        <w:t>dated cheque; and</w:t>
      </w:r>
    </w:p>
    <w:p>
      <w:pPr>
        <w:pStyle w:val="Indenta"/>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rStyle w:val="CharDefText"/>
        </w:rPr>
        <w:t>banking day</w:t>
      </w:r>
      <w:r>
        <w:rPr>
          <w:snapToGrid w:val="0"/>
        </w:rPr>
        <w:t xml:space="preserve"> means a day other than a bank holiday.</w:t>
      </w:r>
    </w:p>
    <w:p>
      <w:pPr>
        <w:pStyle w:val="Footnotesection"/>
        <w:ind w:left="890" w:hanging="890"/>
      </w:pPr>
      <w:r>
        <w:tab/>
        <w:t>[Section 63 amended by No. 24 of 2000 s. 52.]</w:t>
      </w:r>
    </w:p>
    <w:p>
      <w:pPr>
        <w:pStyle w:val="Heading3"/>
      </w:pPr>
      <w:bookmarkStart w:id="228" w:name="_Toc402969426"/>
      <w:bookmarkStart w:id="229" w:name="_Toc406075235"/>
      <w:bookmarkStart w:id="230" w:name="_Toc406075676"/>
      <w:bookmarkStart w:id="231" w:name="_Toc406079899"/>
      <w:bookmarkStart w:id="232" w:name="_Toc418677719"/>
      <w:bookmarkStart w:id="233" w:name="_Toc418677871"/>
      <w:bookmarkStart w:id="234" w:name="_Toc423529652"/>
      <w:r>
        <w:rPr>
          <w:rStyle w:val="CharDivNo"/>
        </w:rPr>
        <w:t>Division 2</w:t>
      </w:r>
      <w:r>
        <w:rPr>
          <w:snapToGrid w:val="0"/>
        </w:rPr>
        <w:t> — </w:t>
      </w:r>
      <w:r>
        <w:rPr>
          <w:rStyle w:val="CharDivText"/>
        </w:rPr>
        <w:t>Social gambling</w:t>
      </w:r>
      <w:bookmarkEnd w:id="228"/>
      <w:bookmarkEnd w:id="229"/>
      <w:bookmarkEnd w:id="230"/>
      <w:bookmarkEnd w:id="231"/>
      <w:bookmarkEnd w:id="232"/>
      <w:bookmarkEnd w:id="233"/>
      <w:bookmarkEnd w:id="234"/>
    </w:p>
    <w:p>
      <w:pPr>
        <w:pStyle w:val="Heading5"/>
        <w:rPr>
          <w:snapToGrid w:val="0"/>
        </w:rPr>
      </w:pPr>
      <w:bookmarkStart w:id="235" w:name="_Toc406079900"/>
      <w:bookmarkStart w:id="236" w:name="_Toc423529653"/>
      <w:r>
        <w:rPr>
          <w:rStyle w:val="CharSectno"/>
        </w:rPr>
        <w:t>64</w:t>
      </w:r>
      <w:r>
        <w:rPr>
          <w:snapToGrid w:val="0"/>
        </w:rPr>
        <w:t>.</w:t>
      </w:r>
      <w:r>
        <w:rPr>
          <w:snapToGrid w:val="0"/>
        </w:rPr>
        <w:tab/>
        <w:t>Social gambling defined</w:t>
      </w:r>
      <w:bookmarkEnd w:id="235"/>
      <w:bookmarkEnd w:id="236"/>
    </w:p>
    <w:p>
      <w:pPr>
        <w:pStyle w:val="Subsection"/>
        <w:rPr>
          <w:snapToGrid w:val="0"/>
        </w:rPr>
      </w:pPr>
      <w:r>
        <w:rPr>
          <w:snapToGrid w:val="0"/>
        </w:rPr>
        <w:tab/>
        <w:t>(1)</w:t>
      </w:r>
      <w:r>
        <w:rPr>
          <w:snapToGrid w:val="0"/>
        </w:rPr>
        <w:tab/>
        <w:t>This section does not, subject to subsection (3), apply to or in relation to —</w:t>
      </w:r>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keepNext/>
        <w:rPr>
          <w:snapToGrid w:val="0"/>
        </w:rPr>
      </w:pPr>
      <w:r>
        <w:rPr>
          <w:snapToGrid w:val="0"/>
        </w:rPr>
        <w:tab/>
        <w:t>(2)</w:t>
      </w:r>
      <w:r>
        <w:rPr>
          <w:snapToGrid w:val="0"/>
        </w:rPr>
        <w:tab/>
        <w:t xml:space="preserve">Subject to subsection (1), </w:t>
      </w:r>
      <w:r>
        <w:t>gambling</w:t>
      </w:r>
      <w:r>
        <w:rPr>
          <w:snapToGrid w:val="0"/>
        </w:rPr>
        <w:t xml:space="preserve"> which —</w:t>
      </w:r>
    </w:p>
    <w:p>
      <w:pPr>
        <w:pStyle w:val="Indenta"/>
        <w:rPr>
          <w:snapToGrid w:val="0"/>
        </w:rPr>
      </w:pPr>
      <w:r>
        <w:rPr>
          <w:snapToGrid w:val="0"/>
        </w:rPr>
        <w:tab/>
        <w:t>(a)</w:t>
      </w:r>
      <w:r>
        <w:rPr>
          <w:snapToGrid w:val="0"/>
        </w:rPr>
        <w:tab/>
        <w:t>is spontaneous, notwithstanding that it may occur regularly, habitually or by arrangement between the persons involved; and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 and</w:t>
      </w:r>
    </w:p>
    <w:p>
      <w:pPr>
        <w:pStyle w:val="Indenta"/>
        <w:keepNext/>
        <w:rPr>
          <w:snapToGrid w:val="0"/>
        </w:rPr>
      </w:pPr>
      <w:r>
        <w:rPr>
          <w:snapToGrid w:val="0"/>
        </w:rPr>
        <w:tab/>
        <w:t>(c)</w:t>
      </w:r>
      <w:r>
        <w:rPr>
          <w:snapToGrid w:val="0"/>
        </w:rPr>
        <w:tab/>
        <w:t>is so conducted that —</w:t>
      </w:r>
    </w:p>
    <w:p>
      <w:pPr>
        <w:pStyle w:val="Indenti"/>
        <w:rPr>
          <w:snapToGrid w:val="0"/>
        </w:rPr>
      </w:pPr>
      <w:r>
        <w:rPr>
          <w:snapToGrid w:val="0"/>
        </w:rPr>
        <w:tab/>
        <w:t>(i)</w:t>
      </w:r>
      <w:r>
        <w:rPr>
          <w:snapToGrid w:val="0"/>
        </w:rPr>
        <w:tab/>
        <w:t>no person is defrauded or cheated; and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 and</w:t>
      </w:r>
    </w:p>
    <w:p>
      <w:pPr>
        <w:pStyle w:val="Indenta"/>
        <w:rPr>
          <w:snapToGrid w:val="0"/>
        </w:rPr>
      </w:pPr>
      <w:r>
        <w:rPr>
          <w:snapToGrid w:val="0"/>
        </w:rPr>
        <w:tab/>
        <w:t>(e)</w:t>
      </w:r>
      <w:r>
        <w:rPr>
          <w:snapToGrid w:val="0"/>
        </w:rPr>
        <w:tab/>
        <w:t>does not contravene the requirements of the person responsible for the premises where it occurs; and</w:t>
      </w:r>
    </w:p>
    <w:p>
      <w:pPr>
        <w:pStyle w:val="Indenta"/>
        <w:rPr>
          <w:snapToGrid w:val="0"/>
        </w:rPr>
      </w:pPr>
      <w:r>
        <w:rPr>
          <w:snapToGrid w:val="0"/>
        </w:rPr>
        <w:tab/>
        <w:t>(f)</w:t>
      </w:r>
      <w:r>
        <w:rPr>
          <w:snapToGrid w:val="0"/>
        </w:rPr>
        <w:tab/>
        <w:t>is not —</w:t>
      </w:r>
    </w:p>
    <w:p>
      <w:pPr>
        <w:pStyle w:val="Indenti"/>
        <w:rPr>
          <w:snapToGrid w:val="0"/>
        </w:rPr>
      </w:pPr>
      <w:r>
        <w:rPr>
          <w:snapToGrid w:val="0"/>
        </w:rPr>
        <w:tab/>
        <w:t>(i)</w:t>
      </w:r>
      <w:r>
        <w:rPr>
          <w:snapToGrid w:val="0"/>
        </w:rPr>
        <w:tab/>
        <w:t>two</w:t>
      </w:r>
      <w:r>
        <w:rPr>
          <w:snapToGrid w:val="0"/>
        </w:rPr>
        <w:noBreakHyphen/>
        <w:t>up; or</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spacing w:before="60"/>
        <w:rPr>
          <w:snapToGrid w:val="0"/>
        </w:rPr>
      </w:pPr>
      <w:r>
        <w:rPr>
          <w:snapToGrid w:val="0"/>
        </w:rPr>
        <w:tab/>
      </w:r>
      <w:r>
        <w:rPr>
          <w:snapToGrid w:val="0"/>
        </w:rPr>
        <w:tab/>
        <w:t>and</w:t>
      </w:r>
    </w:p>
    <w:p>
      <w:pPr>
        <w:pStyle w:val="Indenta"/>
        <w:keepNext/>
        <w:spacing w:before="60"/>
        <w:rPr>
          <w:snapToGrid w:val="0"/>
        </w:rPr>
      </w:pPr>
      <w:r>
        <w:rPr>
          <w:snapToGrid w:val="0"/>
        </w:rPr>
        <w:tab/>
        <w:t>(g)</w:t>
      </w:r>
      <w:r>
        <w:rPr>
          <w:snapToGrid w:val="0"/>
        </w:rPr>
        <w:tab/>
        <w:t>being gaming, by the nature of the game is such that the chances in the game —</w:t>
      </w:r>
    </w:p>
    <w:p>
      <w:pPr>
        <w:pStyle w:val="Indenti"/>
        <w:spacing w:before="60"/>
        <w:rPr>
          <w:snapToGrid w:val="0"/>
        </w:rPr>
      </w:pPr>
      <w:r>
        <w:rPr>
          <w:snapToGrid w:val="0"/>
        </w:rPr>
        <w:tab/>
        <w:t>(i)</w:t>
      </w:r>
      <w:r>
        <w:rPr>
          <w:snapToGrid w:val="0"/>
        </w:rPr>
        <w:tab/>
        <w:t>are equally favourable to all the players; or</w:t>
      </w:r>
    </w:p>
    <w:p>
      <w:pPr>
        <w:pStyle w:val="Indenti"/>
        <w:keepLines/>
        <w:spacing w:before="60"/>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Subsection"/>
        <w:keepNext/>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w:t>
      </w:r>
    </w:p>
    <w:p>
      <w:pPr>
        <w:pStyle w:val="Indenta"/>
        <w:spacing w:before="60"/>
        <w:rPr>
          <w:snapToGrid w:val="0"/>
        </w:rPr>
      </w:pPr>
      <w:r>
        <w:rPr>
          <w:snapToGrid w:val="0"/>
        </w:rPr>
        <w:tab/>
        <w:t>(a)</w:t>
      </w:r>
      <w:r>
        <w:rPr>
          <w:snapToGrid w:val="0"/>
        </w:rPr>
        <w:tab/>
        <w:t>holds a current licence as a bookmaker under that Act; or</w:t>
      </w:r>
    </w:p>
    <w:p>
      <w:pPr>
        <w:pStyle w:val="Indenta"/>
        <w:spacing w:before="60"/>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spacing w:before="60"/>
        <w:rPr>
          <w:snapToGrid w:val="0"/>
        </w:rPr>
      </w:pPr>
      <w:r>
        <w:rPr>
          <w:snapToGrid w:val="0"/>
        </w:rPr>
        <w:tab/>
        <w:t>(c)</w:t>
      </w:r>
      <w:r>
        <w:rPr>
          <w:snapToGrid w:val="0"/>
        </w:rPr>
        <w:tab/>
        <w:t>is employed by or acts on behalf of a person of the kind referred to in paragraph (a) or paragraph (b),</w:t>
      </w:r>
    </w:p>
    <w:p>
      <w:pPr>
        <w:pStyle w:val="Subsection"/>
        <w:spacing w:before="120"/>
        <w:rPr>
          <w:snapToGrid w:val="0"/>
        </w:rPr>
      </w:pPr>
      <w:r>
        <w:rPr>
          <w:snapToGrid w:val="0"/>
        </w:rPr>
        <w:tab/>
      </w:r>
      <w:r>
        <w:rPr>
          <w:snapToGrid w:val="0"/>
        </w:rPr>
        <w:tab/>
        <w:t>shall be taken to constitute social gambling and is not unlawful.</w:t>
      </w:r>
    </w:p>
    <w:p>
      <w:pPr>
        <w:pStyle w:val="Subsection"/>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by No. 24 of 1998 s. 53; No. 35 of 2003 s. 150 and 166.]</w:t>
      </w:r>
    </w:p>
    <w:p>
      <w:pPr>
        <w:pStyle w:val="Ednotedivision"/>
      </w:pPr>
      <w:r>
        <w:t>[Division 3</w:t>
      </w:r>
      <w:r>
        <w:rPr>
          <w:b/>
        </w:rPr>
        <w:t xml:space="preserve"> </w:t>
      </w:r>
      <w:r>
        <w:rPr>
          <w:bCs/>
        </w:rPr>
        <w:t>(s. 65</w:t>
      </w:r>
      <w:r>
        <w:rPr>
          <w:bCs/>
        </w:rPr>
        <w:noBreakHyphen/>
        <w:t>79)</w:t>
      </w:r>
      <w:r>
        <w:t xml:space="preserve"> deleted by No. 16 of 1990 s. 31.]</w:t>
      </w:r>
    </w:p>
    <w:p>
      <w:pPr>
        <w:pStyle w:val="Heading3"/>
        <w:keepNext w:val="0"/>
      </w:pPr>
      <w:bookmarkStart w:id="237" w:name="_Toc402969428"/>
      <w:bookmarkStart w:id="238" w:name="_Toc406075237"/>
      <w:bookmarkStart w:id="239" w:name="_Toc406075678"/>
      <w:bookmarkStart w:id="240" w:name="_Toc406079901"/>
      <w:bookmarkStart w:id="241" w:name="_Toc418677721"/>
      <w:bookmarkStart w:id="242" w:name="_Toc418677873"/>
      <w:bookmarkStart w:id="243" w:name="_Toc423529654"/>
      <w:r>
        <w:rPr>
          <w:rStyle w:val="CharDivNo"/>
        </w:rPr>
        <w:t>Division 4</w:t>
      </w:r>
      <w:r>
        <w:rPr>
          <w:snapToGrid w:val="0"/>
        </w:rPr>
        <w:t> — </w:t>
      </w:r>
      <w:r>
        <w:rPr>
          <w:rStyle w:val="CharDivText"/>
        </w:rPr>
        <w:t>Permitted two</w:t>
      </w:r>
      <w:r>
        <w:rPr>
          <w:rStyle w:val="CharDivText"/>
        </w:rPr>
        <w:noBreakHyphen/>
        <w:t>up</w:t>
      </w:r>
      <w:bookmarkEnd w:id="237"/>
      <w:bookmarkEnd w:id="238"/>
      <w:bookmarkEnd w:id="239"/>
      <w:bookmarkEnd w:id="240"/>
      <w:bookmarkEnd w:id="241"/>
      <w:bookmarkEnd w:id="242"/>
      <w:bookmarkEnd w:id="243"/>
    </w:p>
    <w:p>
      <w:pPr>
        <w:pStyle w:val="Heading5"/>
        <w:keepNext w:val="0"/>
        <w:keepLines w:val="0"/>
        <w:rPr>
          <w:snapToGrid w:val="0"/>
        </w:rPr>
      </w:pPr>
      <w:bookmarkStart w:id="244" w:name="_Toc406079902"/>
      <w:bookmarkStart w:id="245" w:name="_Toc423529655"/>
      <w:r>
        <w:rPr>
          <w:rStyle w:val="CharSectno"/>
        </w:rPr>
        <w:t>80</w:t>
      </w:r>
      <w:r>
        <w:rPr>
          <w:snapToGrid w:val="0"/>
        </w:rPr>
        <w:t>.</w:t>
      </w:r>
      <w:r>
        <w:rPr>
          <w:snapToGrid w:val="0"/>
        </w:rPr>
        <w:tab/>
        <w:t>Two</w:t>
      </w:r>
      <w:r>
        <w:rPr>
          <w:snapToGrid w:val="0"/>
        </w:rPr>
        <w:noBreakHyphen/>
        <w:t>up at country race meetings</w:t>
      </w:r>
      <w:bookmarkEnd w:id="244"/>
      <w:bookmarkEnd w:id="245"/>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w:t>
      </w:r>
    </w:p>
    <w:p>
      <w:pPr>
        <w:pStyle w:val="Indenta"/>
        <w:rPr>
          <w:snapToGrid w:val="0"/>
        </w:rPr>
      </w:pPr>
      <w:r>
        <w:rPr>
          <w:snapToGrid w:val="0"/>
        </w:rPr>
        <w:tab/>
        <w:t>(a)</w:t>
      </w:r>
      <w:r>
        <w:rPr>
          <w:snapToGrid w:val="0"/>
        </w:rPr>
        <w:tab/>
        <w:t>takes place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is conducted —</w:t>
      </w:r>
    </w:p>
    <w:p>
      <w:pPr>
        <w:pStyle w:val="Indenti"/>
        <w:spacing w:before="100"/>
        <w:rPr>
          <w:snapToGrid w:val="0"/>
        </w:rPr>
      </w:pPr>
      <w:r>
        <w:rPr>
          <w:snapToGrid w:val="0"/>
        </w:rPr>
        <w:tab/>
        <w:t>(i)</w:t>
      </w:r>
      <w:r>
        <w:rPr>
          <w:snapToGrid w:val="0"/>
        </w:rPr>
        <w:tab/>
        <w:t>by or on behalf of the country race club, by a person authorised in writing by the committee of that club for the purpose; and</w:t>
      </w:r>
    </w:p>
    <w:p>
      <w:pPr>
        <w:pStyle w:val="Indenti"/>
        <w:spacing w:before="100"/>
        <w:rPr>
          <w:snapToGrid w:val="0"/>
        </w:rPr>
      </w:pPr>
      <w:r>
        <w:rPr>
          <w:snapToGrid w:val="0"/>
        </w:rPr>
        <w:tab/>
        <w:t>(ii)</w:t>
      </w:r>
      <w:r>
        <w:rPr>
          <w:snapToGrid w:val="0"/>
        </w:rPr>
        <w:tab/>
        <w:t>otherwise than during the racing for that day; and</w:t>
      </w:r>
    </w:p>
    <w:p>
      <w:pPr>
        <w:pStyle w:val="Indenti"/>
        <w:spacing w:before="100"/>
        <w:rPr>
          <w:snapToGrid w:val="0"/>
        </w:rPr>
      </w:pPr>
      <w:r>
        <w:rPr>
          <w:snapToGrid w:val="0"/>
        </w:rPr>
        <w:tab/>
        <w:t>(iii)</w:t>
      </w:r>
      <w:r>
        <w:rPr>
          <w:snapToGrid w:val="0"/>
        </w:rPr>
        <w:tab/>
        <w:t>in the manner in which the game two</w:t>
      </w:r>
      <w:r>
        <w:rPr>
          <w:snapToGrid w:val="0"/>
        </w:rPr>
        <w:noBreakHyphen/>
        <w:t>up is customarily conducted in that locality of the State, whether with coins or dice; and</w:t>
      </w:r>
    </w:p>
    <w:p>
      <w:pPr>
        <w:pStyle w:val="Indenti"/>
        <w:spacing w:before="100"/>
        <w:rPr>
          <w:snapToGrid w:val="0"/>
        </w:rPr>
      </w:pPr>
      <w:r>
        <w:rPr>
          <w:snapToGrid w:val="0"/>
        </w:rPr>
        <w:tab/>
        <w:t>(iiia)</w:t>
      </w:r>
      <w:r>
        <w:rPr>
          <w:snapToGrid w:val="0"/>
        </w:rPr>
        <w:tab/>
        <w:t>not for the purposes of private gain or any commercial undertaking; and</w:t>
      </w:r>
    </w:p>
    <w:p>
      <w:pPr>
        <w:pStyle w:val="Indenti"/>
        <w:spacing w:before="100"/>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(c)</w:t>
      </w:r>
      <w:r>
        <w:rPr>
          <w:snapToGrid w:val="0"/>
        </w:rPr>
        <w:tab/>
        <w:t>does not contravene any condition —</w:t>
      </w:r>
    </w:p>
    <w:p>
      <w:pPr>
        <w:pStyle w:val="Indenti"/>
        <w:spacing w:before="100"/>
        <w:rPr>
          <w:snapToGrid w:val="0"/>
        </w:rPr>
      </w:pPr>
      <w:r>
        <w:rPr>
          <w:snapToGrid w:val="0"/>
        </w:rPr>
        <w:tab/>
        <w:t>(i)</w:t>
      </w:r>
      <w:r>
        <w:rPr>
          <w:snapToGrid w:val="0"/>
        </w:rPr>
        <w:tab/>
        <w:t>specifically imposed in respect of that permit; or</w:t>
      </w:r>
    </w:p>
    <w:p>
      <w:pPr>
        <w:pStyle w:val="Indenti"/>
        <w:spacing w:before="100"/>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rStyle w:val="CharDefText"/>
        </w:rPr>
        <w:t>race day</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100 km of the Burswood Casino as referred to in the </w:t>
      </w:r>
      <w:r>
        <w:rPr>
          <w:i/>
        </w:rPr>
        <w:t>Casino (Burswood Island) Agreement Act 1985</w:t>
      </w:r>
      <w:r>
        <w:t>.</w:t>
      </w:r>
    </w:p>
    <w:p>
      <w:pPr>
        <w:pStyle w:val="Footnotesection"/>
      </w:pPr>
      <w:r>
        <w:tab/>
        <w:t>[Section 80 amended by No. 24 of 1998 s. 54; No. 35 of 2003 s. 151; No. 25 of 2011 s. 9.]</w:t>
      </w:r>
    </w:p>
    <w:p>
      <w:pPr>
        <w:pStyle w:val="Heading5"/>
        <w:rPr>
          <w:snapToGrid w:val="0"/>
        </w:rPr>
      </w:pPr>
      <w:bookmarkStart w:id="246" w:name="_Toc406079903"/>
      <w:bookmarkStart w:id="247" w:name="_Toc423529656"/>
      <w:r>
        <w:rPr>
          <w:rStyle w:val="CharSectno"/>
        </w:rPr>
        <w:t>81</w:t>
      </w:r>
      <w:r>
        <w:rPr>
          <w:snapToGrid w:val="0"/>
        </w:rPr>
        <w:t>.</w:t>
      </w:r>
      <w:r>
        <w:rPr>
          <w:snapToGrid w:val="0"/>
        </w:rPr>
        <w:tab/>
        <w:t>Two</w:t>
      </w:r>
      <w:r>
        <w:rPr>
          <w:snapToGrid w:val="0"/>
        </w:rPr>
        <w:noBreakHyphen/>
        <w:t>up at other places</w:t>
      </w:r>
      <w:bookmarkEnd w:id="246"/>
      <w:bookmarkEnd w:id="247"/>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w:t>
      </w:r>
    </w:p>
    <w:p>
      <w:pPr>
        <w:pStyle w:val="Indenta"/>
        <w:rPr>
          <w:snapToGrid w:val="0"/>
        </w:rPr>
      </w:pPr>
      <w:r>
        <w:rPr>
          <w:snapToGrid w:val="0"/>
        </w:rPr>
        <w:tab/>
        <w:t>(a)</w:t>
      </w:r>
      <w:r>
        <w:rPr>
          <w:snapToGrid w:val="0"/>
        </w:rPr>
        <w:tab/>
        <w:t xml:space="preserve">takes place at approved premises, not being a place situate inside a radius in any direction of 100 km of the Burswood Casino as referred to in the </w:t>
      </w:r>
      <w:r>
        <w:rPr>
          <w:i/>
          <w:snapToGrid w:val="0"/>
        </w:rPr>
        <w:t>Casino (Burswood Island) Agreement Act 1985</w:t>
      </w:r>
      <w:r>
        <w:rPr>
          <w:snapToGrid w:val="0"/>
        </w:rPr>
        <w:t>; and</w:t>
      </w:r>
    </w:p>
    <w:p>
      <w:pPr>
        <w:pStyle w:val="Indenta"/>
        <w:keepNext/>
        <w:rPr>
          <w:snapToGrid w:val="0"/>
        </w:rPr>
      </w:pPr>
      <w:r>
        <w:rPr>
          <w:snapToGrid w:val="0"/>
        </w:rPr>
        <w:tab/>
        <w:t>(b)</w:t>
      </w:r>
      <w:r>
        <w:rPr>
          <w:snapToGrid w:val="0"/>
        </w:rPr>
        <w:tab/>
        <w:t>is conducted —</w:t>
      </w:r>
    </w:p>
    <w:p>
      <w:pPr>
        <w:pStyle w:val="Indenti"/>
        <w:rPr>
          <w:snapToGrid w:val="0"/>
        </w:rPr>
      </w:pPr>
      <w:r>
        <w:rPr>
          <w:snapToGrid w:val="0"/>
        </w:rPr>
        <w:tab/>
        <w:t>(i)</w:t>
      </w:r>
      <w:r>
        <w:rPr>
          <w:snapToGrid w:val="0"/>
        </w:rPr>
        <w:tab/>
        <w:t>in the manner in which the game two</w:t>
      </w:r>
      <w:r>
        <w:rPr>
          <w:snapToGrid w:val="0"/>
        </w:rPr>
        <w:noBreakHyphen/>
        <w:t>up is customarily conducted in that locality of the State, whether with coins or dice; and</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spacing w:before="120"/>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(2)</w:t>
      </w:r>
      <w:r>
        <w:rPr>
          <w:snapToGrid w:val="0"/>
        </w:rPr>
        <w:tab/>
        <w:t>For the purposes of section 51(2)(b) the Commission may have regard to the recreational and social aspects of any proposed gaming to which this section applies and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Subsection"/>
        <w:rPr>
          <w:snapToGrid w:val="0"/>
        </w:rPr>
      </w:pPr>
      <w:r>
        <w:rPr>
          <w:snapToGrid w:val="0"/>
        </w:rPr>
        <w:tab/>
        <w:t>(3)</w:t>
      </w:r>
      <w:r>
        <w:rPr>
          <w:snapToGrid w:val="0"/>
        </w:rPr>
        <w:tab/>
        <w:t>The playing of the game of two</w:t>
      </w:r>
      <w:r>
        <w:rPr>
          <w:snapToGrid w:val="0"/>
        </w:rPr>
        <w:noBreakHyphen/>
        <w:t xml:space="preserve">up and the gaming associated with that game conducted in all respects in accordance with the </w:t>
      </w:r>
      <w:r>
        <w:rPr>
          <w:i/>
          <w:snapToGrid w:val="0"/>
        </w:rPr>
        <w:t>Police (Kalgoorlie Two</w:t>
      </w:r>
      <w:r>
        <w:rPr>
          <w:i/>
          <w:snapToGrid w:val="0"/>
        </w:rPr>
        <w:noBreakHyphen/>
        <w:t>up Gaming) Regulations 1983</w:t>
      </w:r>
      <w:r>
        <w:rPr>
          <w:snapToGrid w:val="0"/>
        </w:rPr>
        <w:t xml:space="preserve"> as in force immediately prior to the coming into operation of this section shall be taken to constitute permitted two</w:t>
      </w:r>
      <w:r>
        <w:rPr>
          <w:snapToGrid w:val="0"/>
        </w:rPr>
        <w:noBreakHyphen/>
        <w:t>up and is not unlawful.</w:t>
      </w:r>
    </w:p>
    <w:p>
      <w:pPr>
        <w:pStyle w:val="Footnotesection"/>
      </w:pPr>
      <w:r>
        <w:tab/>
        <w:t>[Section 81 amended by No. 24 of 1998 s. 55; No. 35 of 2003 s. 152 and 167; No. 25 of 2011 s. 10.]</w:t>
      </w:r>
    </w:p>
    <w:p>
      <w:pPr>
        <w:pStyle w:val="Heading5"/>
        <w:rPr>
          <w:snapToGrid w:val="0"/>
        </w:rPr>
      </w:pPr>
      <w:bookmarkStart w:id="248" w:name="_Toc406079904"/>
      <w:bookmarkStart w:id="249" w:name="_Toc423529657"/>
      <w:r>
        <w:rPr>
          <w:rStyle w:val="CharSectno"/>
        </w:rPr>
        <w:t>82</w:t>
      </w:r>
      <w:r>
        <w:rPr>
          <w:snapToGrid w:val="0"/>
        </w:rPr>
        <w:t>.</w:t>
      </w:r>
      <w:r>
        <w:rPr>
          <w:snapToGrid w:val="0"/>
        </w:rPr>
        <w:tab/>
        <w:t>Conditions deemed in certain permits</w:t>
      </w:r>
      <w:bookmarkEnd w:id="248"/>
      <w:bookmarkEnd w:id="249"/>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by No. 24 of 1998 s. 56; No. 35 of 2003 s. 153.]</w:t>
      </w:r>
    </w:p>
    <w:p>
      <w:pPr>
        <w:pStyle w:val="Heading5"/>
        <w:rPr>
          <w:snapToGrid w:val="0"/>
        </w:rPr>
      </w:pPr>
      <w:bookmarkStart w:id="250" w:name="_Toc406079905"/>
      <w:bookmarkStart w:id="251" w:name="_Toc423529658"/>
      <w:r>
        <w:rPr>
          <w:rStyle w:val="CharSectno"/>
        </w:rPr>
        <w:t>83</w:t>
      </w:r>
      <w:r>
        <w:rPr>
          <w:snapToGrid w:val="0"/>
        </w:rPr>
        <w:t>.</w:t>
      </w:r>
      <w:r>
        <w:rPr>
          <w:snapToGrid w:val="0"/>
        </w:rPr>
        <w:tab/>
        <w:t>Regulations for this Division</w:t>
      </w:r>
      <w:bookmarkEnd w:id="250"/>
      <w:bookmarkEnd w:id="251"/>
    </w:p>
    <w:p>
      <w:pPr>
        <w:pStyle w:val="Subsection"/>
        <w:rPr>
          <w:snapToGrid w:val="0"/>
        </w:rPr>
      </w:pPr>
      <w:r>
        <w:rPr>
          <w:snapToGrid w:val="0"/>
        </w:rPr>
        <w:tab/>
      </w:r>
      <w:r>
        <w:rPr>
          <w:snapToGrid w:val="0"/>
        </w:rPr>
        <w:tab/>
        <w:t>Regulations made for the purposes of this Division may make provision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 and</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 and</w:t>
      </w:r>
    </w:p>
    <w:p>
      <w:pPr>
        <w:pStyle w:val="Indenta"/>
        <w:keepNext/>
        <w:rPr>
          <w:snapToGrid w:val="0"/>
        </w:rPr>
      </w:pPr>
      <w:r>
        <w:rPr>
          <w:snapToGrid w:val="0"/>
        </w:rPr>
        <w:tab/>
        <w:t>(c)</w:t>
      </w:r>
      <w:r>
        <w:rPr>
          <w:snapToGrid w:val="0"/>
        </w:rPr>
        <w:tab/>
        <w:t>for the immediate suspension of the operation of a permit in prescribed circumstances; and</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by No. 35 of 2003 s. 154 and 167.]</w:t>
      </w:r>
    </w:p>
    <w:p>
      <w:pPr>
        <w:pStyle w:val="Heading3"/>
      </w:pPr>
      <w:bookmarkStart w:id="252" w:name="_Toc402969433"/>
      <w:bookmarkStart w:id="253" w:name="_Toc406075242"/>
      <w:bookmarkStart w:id="254" w:name="_Toc406075683"/>
      <w:bookmarkStart w:id="255" w:name="_Toc406079906"/>
      <w:bookmarkStart w:id="256" w:name="_Toc418677726"/>
      <w:bookmarkStart w:id="257" w:name="_Toc418677878"/>
      <w:bookmarkStart w:id="258" w:name="_Toc423529659"/>
      <w:r>
        <w:rPr>
          <w:rStyle w:val="CharDivNo"/>
        </w:rPr>
        <w:t>Division 5</w:t>
      </w:r>
      <w:r>
        <w:rPr>
          <w:snapToGrid w:val="0"/>
        </w:rPr>
        <w:t> — </w:t>
      </w:r>
      <w:r>
        <w:rPr>
          <w:rStyle w:val="CharDivText"/>
        </w:rPr>
        <w:t>Gaming machines and other gaming equipment and its operation</w:t>
      </w:r>
      <w:bookmarkEnd w:id="252"/>
      <w:bookmarkEnd w:id="253"/>
      <w:bookmarkEnd w:id="254"/>
      <w:bookmarkEnd w:id="255"/>
      <w:bookmarkEnd w:id="256"/>
      <w:bookmarkEnd w:id="257"/>
      <w:bookmarkEnd w:id="258"/>
    </w:p>
    <w:p>
      <w:pPr>
        <w:pStyle w:val="Heading5"/>
        <w:rPr>
          <w:snapToGrid w:val="0"/>
        </w:rPr>
      </w:pPr>
      <w:bookmarkStart w:id="259" w:name="_Toc406079907"/>
      <w:bookmarkStart w:id="260" w:name="_Toc423529660"/>
      <w:r>
        <w:rPr>
          <w:rStyle w:val="CharSectno"/>
        </w:rPr>
        <w:t>84</w:t>
      </w:r>
      <w:r>
        <w:rPr>
          <w:snapToGrid w:val="0"/>
        </w:rPr>
        <w:t>.</w:t>
      </w:r>
      <w:r>
        <w:rPr>
          <w:snapToGrid w:val="0"/>
        </w:rPr>
        <w:tab/>
        <w:t>Terms used</w:t>
      </w:r>
      <w:bookmarkEnd w:id="259"/>
      <w:bookmarkEnd w:id="260"/>
    </w:p>
    <w:p>
      <w:pPr>
        <w:pStyle w:val="Subsection"/>
        <w:rPr>
          <w:snapToGrid w:val="0"/>
        </w:rPr>
      </w:pPr>
      <w:r>
        <w:rPr>
          <w:snapToGrid w:val="0"/>
        </w:rPr>
        <w:tab/>
        <w:t>(1)</w:t>
      </w:r>
      <w:r>
        <w:rPr>
          <w:snapToGrid w:val="0"/>
        </w:rPr>
        <w:tab/>
        <w:t>In this Division —</w:t>
      </w:r>
    </w:p>
    <w:p>
      <w:pPr>
        <w:pStyle w:val="Defstart"/>
      </w:pPr>
      <w:r>
        <w:rPr>
          <w:b/>
        </w:rPr>
        <w:tab/>
      </w:r>
      <w:r>
        <w:rPr>
          <w:rStyle w:val="CharDefText"/>
        </w:rPr>
        <w:t>gaming machine</w:t>
      </w:r>
      <w:r>
        <w:t xml:space="preserve"> means a machine which —</w:t>
      </w:r>
    </w:p>
    <w:p>
      <w:pPr>
        <w:pStyle w:val="Defpara"/>
      </w:pPr>
      <w:r>
        <w:tab/>
        <w:t>(a)</w:t>
      </w:r>
      <w:r>
        <w:tab/>
        <w:t>is constructed, adapted or used for playing a game of chance by means of that gaming machine; and</w:t>
      </w:r>
    </w:p>
    <w:p>
      <w:pPr>
        <w:pStyle w:val="Defpara"/>
      </w:pPr>
      <w:r>
        <w:tab/>
        <w:t>(b)</w:t>
      </w:r>
      <w:r>
        <w:tab/>
        <w:t>a player pays (except where he has an opportunity to play without payment as the result of having previously played successfully) to play —</w:t>
      </w:r>
    </w:p>
    <w:p>
      <w:pPr>
        <w:pStyle w:val="Defsubpara"/>
      </w:pPr>
      <w:r>
        <w:tab/>
        <w:t>(i)</w:t>
      </w:r>
      <w:r>
        <w:tab/>
        <w:t>by inserting money, or money’s worth in the form of a token; or</w:t>
      </w:r>
    </w:p>
    <w:p>
      <w:pPr>
        <w:pStyle w:val="Defsubpara"/>
      </w:pPr>
      <w:r>
        <w:tab/>
        <w:t>(ii)</w:t>
      </w:r>
      <w: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t>whether or not provision is made for the manipulation of the machine by a player;</w:t>
      </w:r>
    </w:p>
    <w:p>
      <w:pPr>
        <w:pStyle w:val="Defstart"/>
        <w:keepNext/>
      </w:pPr>
      <w:r>
        <w:rPr>
          <w:b/>
        </w:rPr>
        <w:tab/>
      </w:r>
      <w:r>
        <w:rPr>
          <w:rStyle w:val="CharDefText"/>
        </w:rPr>
        <w:t>prescribed gaming equipment</w:t>
      </w:r>
      <w:r>
        <w:t xml:space="preserve"> means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t>of a kind named or described in regulations made for the purposes of section 88;</w:t>
      </w:r>
    </w:p>
    <w:p>
      <w:pPr>
        <w:pStyle w:val="Defstart"/>
      </w:pPr>
      <w:r>
        <w:rPr>
          <w:b/>
        </w:rPr>
        <w:tab/>
      </w:r>
      <w:r>
        <w:rPr>
          <w:rStyle w:val="CharDefText"/>
        </w:rPr>
        <w:t>slot machine</w:t>
      </w:r>
      <w:r>
        <w:t xml:space="preserve"> means a machine that is constructed or adapted and used —</w:t>
      </w:r>
    </w:p>
    <w:p>
      <w:pPr>
        <w:pStyle w:val="Defpara"/>
        <w:spacing w:before="60"/>
      </w:pPr>
      <w:r>
        <w:tab/>
        <w:t>(a)</w:t>
      </w:r>
      <w:r>
        <w:tab/>
        <w:t>for the playing of music or of games designed primarily for amusement, relaxation or education; or</w:t>
      </w:r>
    </w:p>
    <w:p>
      <w:pPr>
        <w:pStyle w:val="Defpara"/>
        <w:spacing w:before="60"/>
      </w:pPr>
      <w:r>
        <w:tab/>
        <w:t>(b)</w:t>
      </w:r>
      <w:r>
        <w:tab/>
        <w:t>for the playing of games of skill; or</w:t>
      </w:r>
    </w:p>
    <w:p>
      <w:pPr>
        <w:pStyle w:val="Defpara"/>
        <w:spacing w:before="60"/>
      </w:pPr>
      <w:r>
        <w:tab/>
        <w:t>(c)</w:t>
      </w:r>
      <w:r>
        <w:tab/>
        <w:t>so that although a game of chance may be played, section 39(2)(e) applies; or</w:t>
      </w:r>
    </w:p>
    <w:p>
      <w:pPr>
        <w:pStyle w:val="Defpara"/>
        <w:spacing w:before="60"/>
      </w:pPr>
      <w:r>
        <w:tab/>
        <w:t>(d)</w:t>
      </w:r>
      <w:r>
        <w:tab/>
        <w:t>to yield with certainty previously ascertained goods of which the sale, or exposure for sale, is not prohibited by any written law; or</w:t>
      </w:r>
    </w:p>
    <w:p>
      <w:pPr>
        <w:pStyle w:val="Defpara"/>
        <w:spacing w:before="60"/>
      </w:pPr>
      <w:r>
        <w:tab/>
        <w:t>(e)</w:t>
      </w:r>
      <w:r>
        <w:tab/>
        <w:t>to dispense tickets, having a previously ascertained face value, in a lottery conducted under and in accordance with the requirements of a written law,</w:t>
      </w:r>
    </w:p>
    <w:p>
      <w:pPr>
        <w:pStyle w:val="Defstart"/>
      </w:pPr>
      <w:r>
        <w:tab/>
        <w:t>without affording any other consideration, advantage or reward and not for the purposes of wagering;</w:t>
      </w:r>
    </w:p>
    <w:p>
      <w:pPr>
        <w:pStyle w:val="Defstart"/>
        <w:rPr>
          <w:b/>
        </w:rPr>
      </w:pPr>
      <w:r>
        <w:rPr>
          <w:b/>
        </w:rPr>
        <w:tab/>
      </w:r>
      <w:r>
        <w:rPr>
          <w:rStyle w:val="CharDefText"/>
        </w:rPr>
        <w:t>unlawful gaming equipment</w:t>
      </w:r>
      <w:r>
        <w:t xml:space="preserve"> means gaming equipment of a kind the use or possession of which contravenes, or in the circumstances in which it is found contravenes, a prohibition proclaimed under section 85(2), or an unlawful gaming machine; and</w:t>
      </w:r>
    </w:p>
    <w:p>
      <w:pPr>
        <w:pStyle w:val="Defstart"/>
      </w:pPr>
      <w:r>
        <w:rPr>
          <w:b/>
        </w:rPr>
        <w:tab/>
      </w:r>
      <w:r>
        <w:rPr>
          <w:rStyle w:val="CharDefText"/>
        </w:rPr>
        <w:t>unlawful gaming machine</w:t>
      </w:r>
      <w:r>
        <w:t xml:space="preserve"> means a machine of a kind referred to in section 85(1)(a) or (b).</w:t>
      </w:r>
    </w:p>
    <w:p>
      <w:pPr>
        <w:pStyle w:val="Footnotesection"/>
      </w:pPr>
      <w:r>
        <w:rPr>
          <w:b/>
        </w:rPr>
        <w:tab/>
      </w:r>
      <w:r>
        <w:t>[Section 84 amended by No. 24 of 1998 s. 57; No. 35 of 2003 s. 155 and 167.]</w:t>
      </w:r>
    </w:p>
    <w:p>
      <w:pPr>
        <w:pStyle w:val="Heading5"/>
        <w:rPr>
          <w:snapToGrid w:val="0"/>
        </w:rPr>
      </w:pPr>
      <w:bookmarkStart w:id="261" w:name="_Toc406079908"/>
      <w:bookmarkStart w:id="262" w:name="_Toc423529661"/>
      <w:r>
        <w:rPr>
          <w:rStyle w:val="CharSectno"/>
        </w:rPr>
        <w:t>85</w:t>
      </w:r>
      <w:r>
        <w:rPr>
          <w:snapToGrid w:val="0"/>
        </w:rPr>
        <w:t>.</w:t>
      </w:r>
      <w:r>
        <w:rPr>
          <w:snapToGrid w:val="0"/>
        </w:rPr>
        <w:tab/>
        <w:t>Unlawful gaming machines etc., use and possession of prohibited</w:t>
      </w:r>
      <w:bookmarkEnd w:id="261"/>
      <w:bookmarkEnd w:id="262"/>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w:t>
      </w:r>
    </w:p>
    <w:p>
      <w:pPr>
        <w:pStyle w:val="Indenta"/>
        <w:spacing w:before="60"/>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w:t>
      </w:r>
    </w:p>
    <w:p>
      <w:pPr>
        <w:pStyle w:val="Indenti"/>
        <w:spacing w:before="110"/>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 or</w:t>
      </w:r>
    </w:p>
    <w:p>
      <w:pPr>
        <w:pStyle w:val="Indenti"/>
        <w:spacing w:before="110"/>
        <w:rPr>
          <w:snapToGrid w:val="0"/>
        </w:rPr>
      </w:pPr>
      <w:r>
        <w:rPr>
          <w:snapToGrid w:val="0"/>
        </w:rPr>
        <w:tab/>
        <w:t>(ii)</w:t>
      </w:r>
      <w:r>
        <w:rPr>
          <w:snapToGrid w:val="0"/>
        </w:rPr>
        <w:tab/>
        <w:t xml:space="preserve">that, although not so declared, is commonly played in casinos (whether in </w:t>
      </w:r>
      <w:smartTag w:uri="urn:schemas-microsoft-com:office:smarttags" w:element="place">
        <w:smartTag w:uri="urn:schemas-microsoft-com:office:smarttags" w:element="country-region">
          <w:r>
            <w:rPr>
              <w:snapToGrid w:val="0"/>
            </w:rPr>
            <w:t>Australia</w:t>
          </w:r>
        </w:smartTag>
      </w:smartTag>
      <w:r>
        <w:rPr>
          <w:snapToGrid w:val="0"/>
        </w:rPr>
        <w:t xml:space="preserve"> or elsewhere); or</w:t>
      </w:r>
    </w:p>
    <w:p>
      <w:pPr>
        <w:pStyle w:val="Indenti"/>
        <w:spacing w:before="110"/>
        <w:rPr>
          <w:snapToGrid w:val="0"/>
        </w:rPr>
      </w:pPr>
      <w:r>
        <w:rPr>
          <w:snapToGrid w:val="0"/>
        </w:rPr>
        <w:tab/>
        <w:t>(iii)</w:t>
      </w:r>
      <w:r>
        <w:rPr>
          <w:snapToGrid w:val="0"/>
        </w:rPr>
        <w:tab/>
        <w:t>that is a variation or derivative of a game referred to in subparagraph (i) or (ii);</w:t>
      </w:r>
    </w:p>
    <w:p>
      <w:pPr>
        <w:pStyle w:val="Indenta"/>
        <w:spacing w:before="110"/>
        <w:rPr>
          <w:snapToGrid w:val="0"/>
        </w:rPr>
      </w:pPr>
      <w:r>
        <w:rPr>
          <w:snapToGrid w:val="0"/>
        </w:rPr>
        <w:tab/>
      </w:r>
      <w:r>
        <w:rPr>
          <w:snapToGrid w:val="0"/>
        </w:rPr>
        <w:tab/>
        <w:t>or</w:t>
      </w:r>
    </w:p>
    <w:p>
      <w:pPr>
        <w:pStyle w:val="Indenta"/>
        <w:spacing w:before="110"/>
        <w:rPr>
          <w:snapToGrid w:val="0"/>
        </w:rPr>
      </w:pPr>
      <w:r>
        <w:rPr>
          <w:snapToGrid w:val="0"/>
        </w:rPr>
        <w:tab/>
        <w:t>(b)</w:t>
      </w:r>
      <w:r>
        <w:rPr>
          <w:snapToGrid w:val="0"/>
        </w:rPr>
        <w:tab/>
        <w:t>any other gaming machine, not being a machine used —</w:t>
      </w:r>
    </w:p>
    <w:p>
      <w:pPr>
        <w:pStyle w:val="Indenti"/>
        <w:spacing w:before="110"/>
        <w:rPr>
          <w:snapToGrid w:val="0"/>
        </w:rPr>
      </w:pPr>
      <w:r>
        <w:rPr>
          <w:snapToGrid w:val="0"/>
        </w:rPr>
        <w:tab/>
        <w:t>(i)</w:t>
      </w:r>
      <w:r>
        <w:rPr>
          <w:snapToGrid w:val="0"/>
        </w:rPr>
        <w:tab/>
        <w:t>as a slot machine; or</w:t>
      </w:r>
    </w:p>
    <w:p>
      <w:pPr>
        <w:pStyle w:val="Indenti"/>
        <w:keepNext/>
        <w:spacing w:before="110"/>
        <w:rPr>
          <w:snapToGrid w:val="0"/>
        </w:rPr>
      </w:pPr>
      <w:r>
        <w:rPr>
          <w:snapToGrid w:val="0"/>
        </w:rPr>
        <w:tab/>
        <w:t>(ii)</w:t>
      </w:r>
      <w:r>
        <w:rPr>
          <w:snapToGrid w:val="0"/>
        </w:rPr>
        <w:tab/>
        <w:t>in accordance with a permit or written law;</w:t>
      </w:r>
    </w:p>
    <w:p>
      <w:pPr>
        <w:pStyle w:val="Indenta"/>
        <w:spacing w:before="110"/>
        <w:rPr>
          <w:snapToGrid w:val="0"/>
        </w:rPr>
      </w:pPr>
      <w:r>
        <w:rPr>
          <w:snapToGrid w:val="0"/>
        </w:rPr>
        <w:tab/>
      </w:r>
      <w:r>
        <w:rPr>
          <w:snapToGrid w:val="0"/>
        </w:rPr>
        <w:tab/>
        <w:t>or</w:t>
      </w:r>
    </w:p>
    <w:p>
      <w:pPr>
        <w:pStyle w:val="Indenta"/>
        <w:spacing w:before="110"/>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spacing w:before="180"/>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w:t>
      </w:r>
    </w:p>
    <w:p>
      <w:pPr>
        <w:pStyle w:val="Indenta"/>
        <w:spacing w:before="100"/>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spacing w:before="100"/>
        <w:rPr>
          <w:snapToGrid w:val="0"/>
        </w:rPr>
      </w:pPr>
      <w:r>
        <w:rPr>
          <w:snapToGrid w:val="0"/>
        </w:rPr>
        <w:tab/>
        <w:t>(b)</w:t>
      </w:r>
      <w:r>
        <w:rPr>
          <w:snapToGrid w:val="0"/>
        </w:rPr>
        <w:tab/>
        <w:t xml:space="preserve">where he is satisfied that the thing is unlawful gaming </w:t>
      </w:r>
      <w:r>
        <w:t>equipment that the person is not entitled to possess under this Act, or</w:t>
      </w:r>
      <w:r>
        <w:rPr>
          <w:snapToGrid w:val="0"/>
        </w:rPr>
        <w:t xml:space="preserve">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spacing w:before="180"/>
        <w:rPr>
          <w:snapToGrid w:val="0"/>
        </w:rPr>
      </w:pPr>
      <w:r>
        <w:rPr>
          <w:snapToGrid w:val="0"/>
        </w:rPr>
        <w:tab/>
        <w:t>(4)</w:t>
      </w:r>
      <w:r>
        <w:rPr>
          <w:snapToGrid w:val="0"/>
        </w:rPr>
        <w:tab/>
        <w:t xml:space="preserve">Subject to </w:t>
      </w:r>
      <w:r>
        <w:t xml:space="preserve">subsections (5) and (6A), </w:t>
      </w:r>
      <w:r>
        <w:rPr>
          <w:snapToGrid w:val="0"/>
        </w:rPr>
        <w:t>a person having in his possession —</w:t>
      </w:r>
    </w:p>
    <w:p>
      <w:pPr>
        <w:pStyle w:val="Indenta"/>
        <w:spacing w:before="100"/>
        <w:rPr>
          <w:snapToGrid w:val="0"/>
        </w:rPr>
      </w:pPr>
      <w:r>
        <w:rPr>
          <w:snapToGrid w:val="0"/>
        </w:rPr>
        <w:tab/>
        <w:t>(a)</w:t>
      </w:r>
      <w:r>
        <w:rPr>
          <w:snapToGrid w:val="0"/>
        </w:rPr>
        <w:tab/>
        <w:t>an unlawful gaming machine; or</w:t>
      </w:r>
    </w:p>
    <w:p>
      <w:pPr>
        <w:pStyle w:val="Indenta"/>
        <w:spacing w:before="100"/>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(5)</w:t>
      </w:r>
      <w:r>
        <w:rPr>
          <w:snapToGrid w:val="0"/>
        </w:rPr>
        <w:tab/>
        <w:t>Subsection (4) does not apply to an authorised person having possession of a gaming machine or gaming equipment of a kind referred to in that subsection —</w:t>
      </w:r>
    </w:p>
    <w:p>
      <w:pPr>
        <w:pStyle w:val="Indenta"/>
        <w:spacing w:before="60"/>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spacing w:before="60"/>
        <w:rPr>
          <w:snapToGrid w:val="0"/>
        </w:rPr>
      </w:pPr>
      <w:r>
        <w:rPr>
          <w:snapToGrid w:val="0"/>
        </w:rPr>
        <w:tab/>
        <w:t>(b)</w:t>
      </w:r>
      <w:r>
        <w:rPr>
          <w:snapToGrid w:val="0"/>
        </w:rPr>
        <w:tab/>
        <w:t>in connection with the manufacture of gaming machines or gaming equipment.</w:t>
      </w:r>
    </w:p>
    <w:p>
      <w:pPr>
        <w:pStyle w:val="Subsection"/>
      </w:pPr>
      <w:r>
        <w:tab/>
        <w:t>(6A)</w:t>
      </w:r>
      <w:r>
        <w:tab/>
        <w:t>Subsection (4) does not apply to the possession of a gaming machine or gaming equipment of a kind referred to in that subsection, in prescribed circumstances.</w:t>
      </w:r>
    </w:p>
    <w:p>
      <w:pPr>
        <w:pStyle w:val="Subsection"/>
        <w:rPr>
          <w:snapToGrid w:val="0"/>
        </w:rPr>
      </w:pPr>
      <w:r>
        <w:rPr>
          <w:snapToGrid w:val="0"/>
        </w:rPr>
        <w:tab/>
        <w:t>(6)</w:t>
      </w:r>
      <w:r>
        <w:rPr>
          <w:snapToGrid w:val="0"/>
        </w:rPr>
        <w:tab/>
        <w:t>In subsection (5) —</w:t>
      </w:r>
    </w:p>
    <w:p>
      <w:pPr>
        <w:pStyle w:val="Defstart"/>
      </w:pPr>
      <w:r>
        <w:tab/>
      </w:r>
      <w:r>
        <w:rPr>
          <w:rStyle w:val="CharDefText"/>
        </w:rPr>
        <w:t>authorised person</w:t>
      </w:r>
      <w:r>
        <w:t xml:space="preserve"> means the Commission or a person authorised in writing by the Commission.</w:t>
      </w:r>
    </w:p>
    <w:p>
      <w:pPr>
        <w:pStyle w:val="Footnotesection"/>
      </w:pPr>
      <w:r>
        <w:tab/>
        <w:t>[Section 85 amended by No. 24 of 1998 s. 58; No. 6 of 2000 s. 11; No. 35 of 2003 s. 156 and 166; No. 25 of 2011 s. 11.]</w:t>
      </w:r>
    </w:p>
    <w:p>
      <w:pPr>
        <w:pStyle w:val="Heading5"/>
        <w:keepLines w:val="0"/>
        <w:rPr>
          <w:snapToGrid w:val="0"/>
        </w:rPr>
      </w:pPr>
      <w:bookmarkStart w:id="263" w:name="_Toc406079909"/>
      <w:bookmarkStart w:id="264" w:name="_Toc423529662"/>
      <w:r>
        <w:rPr>
          <w:rStyle w:val="CharSectno"/>
        </w:rPr>
        <w:t>86</w:t>
      </w:r>
      <w:r>
        <w:rPr>
          <w:snapToGrid w:val="0"/>
        </w:rPr>
        <w:t>.</w:t>
      </w:r>
      <w:r>
        <w:rPr>
          <w:snapToGrid w:val="0"/>
        </w:rPr>
        <w:tab/>
        <w:t>Use of unlawful cash or tokens in gaming machines</w:t>
      </w:r>
      <w:bookmarkEnd w:id="263"/>
      <w:bookmarkEnd w:id="264"/>
    </w:p>
    <w:p>
      <w:pPr>
        <w:pStyle w:val="Subsection"/>
        <w:rPr>
          <w:snapToGrid w:val="0"/>
        </w:rPr>
      </w:pPr>
      <w:r>
        <w:rPr>
          <w:snapToGrid w:val="0"/>
        </w:rPr>
        <w:tab/>
      </w:r>
      <w:r>
        <w:rPr>
          <w:snapToGrid w:val="0"/>
        </w:rPr>
        <w:tab/>
        <w:t>A person who inserts, or attempts to insert, in any gaming machine or slot machine of which the use or possession is lawful anything other than —</w:t>
      </w:r>
    </w:p>
    <w:p>
      <w:pPr>
        <w:pStyle w:val="Indenta"/>
        <w:spacing w:before="60"/>
        <w:rPr>
          <w:snapToGrid w:val="0"/>
        </w:rPr>
      </w:pPr>
      <w:r>
        <w:rPr>
          <w:snapToGrid w:val="0"/>
        </w:rPr>
        <w:tab/>
        <w:t>(a)</w:t>
      </w:r>
      <w:r>
        <w:rPr>
          <w:snapToGrid w:val="0"/>
        </w:rPr>
        <w:tab/>
        <w:t>money issued under the authority of a law of the Commonwealth; or</w:t>
      </w:r>
    </w:p>
    <w:p>
      <w:pPr>
        <w:pStyle w:val="Indenta"/>
        <w:spacing w:before="60"/>
        <w:rPr>
          <w:snapToGrid w:val="0"/>
        </w:rPr>
      </w:pPr>
      <w:r>
        <w:rPr>
          <w:snapToGrid w:val="0"/>
        </w:rPr>
        <w:tab/>
        <w:t>(b)</w:t>
      </w:r>
      <w:r>
        <w:rPr>
          <w:snapToGrid w:val="0"/>
        </w:rPr>
        <w:tab/>
        <w:t>a token provided by the operator of the machine for use in a machine of that kind,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265" w:name="_Toc406079910"/>
      <w:bookmarkStart w:id="266" w:name="_Toc423529663"/>
      <w:r>
        <w:rPr>
          <w:rStyle w:val="CharSectno"/>
        </w:rPr>
        <w:t>87</w:t>
      </w:r>
      <w:r>
        <w:rPr>
          <w:snapToGrid w:val="0"/>
        </w:rPr>
        <w:t>.</w:t>
      </w:r>
      <w:r>
        <w:rPr>
          <w:snapToGrid w:val="0"/>
        </w:rPr>
        <w:tab/>
        <w:t>Records about gaming equipment, powers to require keeping of</w:t>
      </w:r>
      <w:bookmarkEnd w:id="265"/>
      <w:bookmarkEnd w:id="266"/>
    </w:p>
    <w:p>
      <w:pPr>
        <w:pStyle w:val="Subsection"/>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w:t>
      </w:r>
    </w:p>
    <w:p>
      <w:pPr>
        <w:pStyle w:val="Indenta"/>
        <w:rPr>
          <w:snapToGrid w:val="0"/>
        </w:rPr>
      </w:pPr>
      <w:r>
        <w:rPr>
          <w:snapToGrid w:val="0"/>
        </w:rPr>
        <w:tab/>
        <w:t>(a)</w:t>
      </w:r>
      <w:r>
        <w:rPr>
          <w:snapToGrid w:val="0"/>
        </w:rPr>
        <w:tab/>
        <w:t>any payments made in respect of the equipment, whether by way of rent, maintenance charges or otherwise; and</w:t>
      </w:r>
    </w:p>
    <w:p>
      <w:pPr>
        <w:pStyle w:val="Indenta"/>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rPr>
          <w:snapToGrid w:val="0"/>
        </w:rPr>
      </w:pPr>
      <w:r>
        <w:rPr>
          <w:snapToGrid w:val="0"/>
        </w:rPr>
        <w:tab/>
        <w:t>(2)</w:t>
      </w:r>
      <w:r>
        <w:rPr>
          <w:snapToGrid w:val="0"/>
        </w:rPr>
        <w:tab/>
        <w:t xml:space="preserve">In this section, </w:t>
      </w:r>
      <w:r>
        <w:rPr>
          <w:rStyle w:val="CharDefText"/>
        </w:rPr>
        <w:t>specified</w:t>
      </w:r>
      <w:r>
        <w:rPr>
          <w:snapToGrid w:val="0"/>
        </w:rPr>
        <w:t xml:space="preserve"> means specified in the regulations or the relevant permit.</w:t>
      </w:r>
    </w:p>
    <w:p>
      <w:pPr>
        <w:pStyle w:val="Heading5"/>
        <w:rPr>
          <w:snapToGrid w:val="0"/>
        </w:rPr>
      </w:pPr>
      <w:bookmarkStart w:id="267" w:name="_Toc406079911"/>
      <w:bookmarkStart w:id="268" w:name="_Toc423529664"/>
      <w:r>
        <w:rPr>
          <w:rStyle w:val="CharSectno"/>
        </w:rPr>
        <w:t>88</w:t>
      </w:r>
      <w:r>
        <w:rPr>
          <w:snapToGrid w:val="0"/>
        </w:rPr>
        <w:t>.</w:t>
      </w:r>
      <w:r>
        <w:rPr>
          <w:snapToGrid w:val="0"/>
        </w:rPr>
        <w:tab/>
        <w:t>Prescribed gaming equipment, regulations about, certificates for sellers etc. of</w:t>
      </w:r>
      <w:bookmarkEnd w:id="267"/>
      <w:bookmarkEnd w:id="268"/>
    </w:p>
    <w:p>
      <w:pPr>
        <w:pStyle w:val="Subsection"/>
        <w:rPr>
          <w:snapToGrid w:val="0"/>
        </w:rPr>
      </w:pPr>
      <w:r>
        <w:rPr>
          <w:snapToGrid w:val="0"/>
        </w:rPr>
        <w:tab/>
        <w:t>(1)</w:t>
      </w:r>
      <w:r>
        <w:rPr>
          <w:snapToGrid w:val="0"/>
        </w:rPr>
        <w:tab/>
        <w:t>Regulations made under this Act may prohibit, or impose conditions in relation to —</w:t>
      </w:r>
    </w:p>
    <w:p>
      <w:pPr>
        <w:pStyle w:val="Indenta"/>
        <w:rPr>
          <w:snapToGrid w:val="0"/>
        </w:rPr>
      </w:pPr>
      <w:r>
        <w:rPr>
          <w:snapToGrid w:val="0"/>
        </w:rPr>
        <w:tab/>
        <w:t>(a)</w:t>
      </w:r>
      <w:r>
        <w:rPr>
          <w:snapToGrid w:val="0"/>
        </w:rPr>
        <w:tab/>
        <w:t>the sale, supply, maintenance or repair of prescribed gaming equipment; and</w:t>
      </w:r>
    </w:p>
    <w:p>
      <w:pPr>
        <w:pStyle w:val="Indenta"/>
        <w:rPr>
          <w:snapToGrid w:val="0"/>
        </w:rPr>
      </w:pPr>
      <w:r>
        <w:rPr>
          <w:snapToGrid w:val="0"/>
        </w:rPr>
        <w:tab/>
        <w:t>(b)</w:t>
      </w:r>
      <w:r>
        <w:rPr>
          <w:snapToGrid w:val="0"/>
        </w:rPr>
        <w:tab/>
        <w:t>the use or possession of prescribed gaming equipment; and</w:t>
      </w:r>
    </w:p>
    <w:p>
      <w:pPr>
        <w:pStyle w:val="Indenta"/>
        <w:rPr>
          <w:snapToGrid w:val="0"/>
        </w:rPr>
      </w:pPr>
      <w:r>
        <w:rPr>
          <w:snapToGrid w:val="0"/>
        </w:rPr>
        <w:tab/>
        <w:t>(c)</w:t>
      </w:r>
      <w:r>
        <w:rPr>
          <w:snapToGrid w:val="0"/>
        </w:rPr>
        <w:tab/>
        <w:t>the sale or supply of tokens for use in prescribed gaming equipment.</w:t>
      </w:r>
    </w:p>
    <w:p>
      <w:pPr>
        <w:pStyle w:val="Subsection"/>
        <w:keepNext/>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w:t>
      </w:r>
    </w:p>
    <w:p>
      <w:pPr>
        <w:pStyle w:val="Indenta"/>
        <w:widowControl w:val="0"/>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 and</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 and</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rPr>
          <w:snapToGrid w:val="0"/>
        </w:rPr>
      </w:pPr>
      <w:r>
        <w:rPr>
          <w:snapToGrid w:val="0"/>
        </w:rPr>
        <w:tab/>
        <w:t>(3)</w:t>
      </w:r>
      <w:r>
        <w:rPr>
          <w:snapToGrid w:val="0"/>
        </w:rPr>
        <w:tab/>
        <w:t>A person shall not —</w:t>
      </w:r>
    </w:p>
    <w:p>
      <w:pPr>
        <w:pStyle w:val="Indenta"/>
        <w:spacing w:before="60"/>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spacing w:before="180"/>
        <w:rPr>
          <w:snapToGrid w:val="0"/>
        </w:rPr>
      </w:pPr>
      <w:r>
        <w:rPr>
          <w:snapToGrid w:val="0"/>
        </w:rPr>
        <w:tab/>
      </w:r>
      <w:r>
        <w:rPr>
          <w:snapToGrid w:val="0"/>
        </w:rPr>
        <w:tab/>
        <w:t>being prescribed gaming equipment to which this subsection is by the regulations applied, unless the person so acting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(3)(a) does not apply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 or</w:t>
      </w:r>
    </w:p>
    <w:p>
      <w:pPr>
        <w:pStyle w:val="Indenta"/>
        <w:spacing w:before="54"/>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 or</w:t>
      </w:r>
    </w:p>
    <w:p>
      <w:pPr>
        <w:pStyle w:val="Indenta"/>
        <w:spacing w:before="54"/>
        <w:rPr>
          <w:snapToGrid w:val="0"/>
        </w:rPr>
      </w:pPr>
      <w:r>
        <w:rPr>
          <w:snapToGrid w:val="0"/>
        </w:rPr>
        <w:tab/>
        <w:t>(c)</w:t>
      </w:r>
      <w:r>
        <w:rPr>
          <w:snapToGrid w:val="0"/>
        </w:rPr>
        <w:tab/>
        <w:t>to the sale or supply of inoperable gaming equipment as scrap; or</w:t>
      </w:r>
    </w:p>
    <w:p>
      <w:pPr>
        <w:pStyle w:val="Indenta"/>
        <w:spacing w:before="54"/>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spacing w:before="120"/>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w:t>
      </w:r>
    </w:p>
    <w:p>
      <w:pPr>
        <w:pStyle w:val="Indenta"/>
        <w:spacing w:before="54"/>
        <w:rPr>
          <w:snapToGrid w:val="0"/>
        </w:rPr>
      </w:pPr>
      <w:r>
        <w:rPr>
          <w:snapToGrid w:val="0"/>
        </w:rPr>
        <w:tab/>
        <w:t>(a)</w:t>
      </w:r>
      <w:r>
        <w:rPr>
          <w:snapToGrid w:val="0"/>
        </w:rPr>
        <w:tab/>
        <w:t>in relation to the gaming equipment or gaming equipment of the kind therein specified in the circumstances so specified; or</w:t>
      </w:r>
    </w:p>
    <w:p>
      <w:pPr>
        <w:pStyle w:val="Indenta"/>
        <w:spacing w:before="54"/>
        <w:rPr>
          <w:snapToGrid w:val="0"/>
        </w:rPr>
      </w:pPr>
      <w:r>
        <w:rPr>
          <w:snapToGrid w:val="0"/>
        </w:rPr>
        <w:tab/>
        <w:t>(b)</w:t>
      </w:r>
      <w:r>
        <w:rPr>
          <w:snapToGrid w:val="0"/>
        </w:rPr>
        <w:tab/>
        <w:t>in relation to —</w:t>
      </w:r>
    </w:p>
    <w:p>
      <w:pPr>
        <w:pStyle w:val="Indenti"/>
        <w:spacing w:before="54"/>
        <w:rPr>
          <w:snapToGrid w:val="0"/>
        </w:rPr>
      </w:pPr>
      <w:r>
        <w:rPr>
          <w:snapToGrid w:val="0"/>
        </w:rPr>
        <w:tab/>
        <w:t>(i)</w:t>
      </w:r>
      <w:r>
        <w:rPr>
          <w:snapToGrid w:val="0"/>
        </w:rPr>
        <w:tab/>
        <w:t>the gaming equipment, or gaming equipment of the kind; and</w:t>
      </w:r>
    </w:p>
    <w:p>
      <w:pPr>
        <w:pStyle w:val="Indenti"/>
        <w:spacing w:before="54"/>
        <w:rPr>
          <w:snapToGrid w:val="0"/>
        </w:rPr>
      </w:pPr>
      <w:r>
        <w:rPr>
          <w:snapToGrid w:val="0"/>
        </w:rPr>
        <w:tab/>
        <w:t>(ii)</w:t>
      </w:r>
      <w:r>
        <w:rPr>
          <w:snapToGrid w:val="0"/>
        </w:rPr>
        <w:tab/>
        <w:t>the period, not being a period in excess of 5 years; and</w:t>
      </w:r>
    </w:p>
    <w:p>
      <w:pPr>
        <w:pStyle w:val="Indenti"/>
        <w:spacing w:before="54"/>
        <w:rPr>
          <w:snapToGrid w:val="0"/>
        </w:rPr>
      </w:pPr>
      <w:r>
        <w:rPr>
          <w:snapToGrid w:val="0"/>
        </w:rPr>
        <w:tab/>
        <w:t>(iii)</w:t>
      </w:r>
      <w:r>
        <w:rPr>
          <w:snapToGrid w:val="0"/>
        </w:rPr>
        <w:tab/>
        <w:t>the operations as to sale or supply, or as to maintenance of the mechanism of the respective kinds of gaming equipment,</w:t>
      </w:r>
    </w:p>
    <w:p>
      <w:pPr>
        <w:pStyle w:val="Indenta"/>
        <w:spacing w:before="54"/>
        <w:rPr>
          <w:snapToGrid w:val="0"/>
        </w:rPr>
      </w:pPr>
      <w:r>
        <w:rPr>
          <w:snapToGrid w:val="0"/>
        </w:rPr>
        <w:tab/>
      </w:r>
      <w:r>
        <w:rPr>
          <w:snapToGrid w:val="0"/>
        </w:rPr>
        <w:tab/>
        <w:t>therein specified,</w:t>
      </w:r>
    </w:p>
    <w:p>
      <w:pPr>
        <w:pStyle w:val="Subsection"/>
        <w:spacing w:before="100"/>
        <w:rPr>
          <w:snapToGrid w:val="0"/>
        </w:rPr>
      </w:pPr>
      <w:r>
        <w:rPr>
          <w:snapToGrid w:val="0"/>
        </w:rPr>
        <w:tab/>
      </w:r>
      <w:r>
        <w:rPr>
          <w:snapToGrid w:val="0"/>
        </w:rPr>
        <w:tab/>
        <w:t>and is renewable, but may be revoked at the discretion of the Commission pursuant to subsection (6).</w:t>
      </w:r>
    </w:p>
    <w:p>
      <w:pPr>
        <w:pStyle w:val="Subsection"/>
        <w:spacing w:before="180"/>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spacing w:before="180"/>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keepLines/>
        <w:spacing w:before="180"/>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Heading5"/>
        <w:rPr>
          <w:snapToGrid w:val="0"/>
        </w:rPr>
      </w:pPr>
      <w:bookmarkStart w:id="269" w:name="_Toc406079912"/>
      <w:bookmarkStart w:id="270" w:name="_Toc423529665"/>
      <w:r>
        <w:rPr>
          <w:rStyle w:val="CharSectno"/>
        </w:rPr>
        <w:t>89</w:t>
      </w:r>
      <w:r>
        <w:rPr>
          <w:snapToGrid w:val="0"/>
        </w:rPr>
        <w:t>.</w:t>
      </w:r>
      <w:r>
        <w:rPr>
          <w:snapToGrid w:val="0"/>
        </w:rPr>
        <w:tab/>
        <w:t>Prescribed gaming equipment, sale etc. of</w:t>
      </w:r>
      <w:bookmarkEnd w:id="269"/>
      <w:bookmarkEnd w:id="270"/>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In this section </w:t>
      </w:r>
      <w:r>
        <w:rPr>
          <w:rStyle w:val="CharDefText"/>
        </w:rPr>
        <w:t>terms</w:t>
      </w:r>
      <w:r>
        <w:rPr>
          <w:snapToGrid w:val="0"/>
        </w:rPr>
        <w:t xml:space="preserve"> includes any condition as to price, rent or any other payment.</w:t>
      </w:r>
    </w:p>
    <w:p>
      <w:pPr>
        <w:pStyle w:val="Heading5"/>
        <w:rPr>
          <w:snapToGrid w:val="0"/>
        </w:rPr>
      </w:pPr>
      <w:bookmarkStart w:id="271" w:name="_Toc406079913"/>
      <w:bookmarkStart w:id="272" w:name="_Toc423529666"/>
      <w:r>
        <w:rPr>
          <w:rStyle w:val="CharSectno"/>
        </w:rPr>
        <w:t>90</w:t>
      </w:r>
      <w:r>
        <w:rPr>
          <w:snapToGrid w:val="0"/>
        </w:rPr>
        <w:t>.</w:t>
      </w:r>
      <w:r>
        <w:rPr>
          <w:snapToGrid w:val="0"/>
        </w:rPr>
        <w:tab/>
        <w:t>Application of s. 88 and 89 to concessionaires</w:t>
      </w:r>
      <w:bookmarkEnd w:id="271"/>
      <w:bookmarkEnd w:id="272"/>
    </w:p>
    <w:p>
      <w:pPr>
        <w:pStyle w:val="Subsection"/>
        <w:spacing w:before="120"/>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keepNext w:val="0"/>
        <w:keepLines w:val="0"/>
        <w:rPr>
          <w:snapToGrid w:val="0"/>
        </w:rPr>
      </w:pPr>
      <w:bookmarkStart w:id="273" w:name="_Toc406079914"/>
      <w:bookmarkStart w:id="274" w:name="_Toc423529667"/>
      <w:r>
        <w:rPr>
          <w:rStyle w:val="CharSectno"/>
        </w:rPr>
        <w:t>91</w:t>
      </w:r>
      <w:r>
        <w:rPr>
          <w:snapToGrid w:val="0"/>
        </w:rPr>
        <w:t>.</w:t>
      </w:r>
      <w:r>
        <w:rPr>
          <w:snapToGrid w:val="0"/>
        </w:rPr>
        <w:tab/>
      </w:r>
      <w:smartTag w:uri="urn:schemas-microsoft-com:office:smarttags" w:element="City">
        <w:smartTag w:uri="urn:schemas-microsoft-com:office:smarttags" w:element="place">
          <w:r>
            <w:rPr>
              <w:snapToGrid w:val="0"/>
            </w:rPr>
            <w:t>Perm</w:t>
          </w:r>
        </w:smartTag>
      </w:smartTag>
      <w:r>
        <w:rPr>
          <w:snapToGrid w:val="0"/>
        </w:rPr>
        <w:t>itted gaming, restrictions on certain people in relation to</w:t>
      </w:r>
      <w:bookmarkEnd w:id="273"/>
      <w:bookmarkEnd w:id="274"/>
    </w:p>
    <w:p>
      <w:pPr>
        <w:pStyle w:val="Subsection"/>
        <w:spacing w:before="120"/>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Subsection (1) applies to any operation which is performed in relation to the permitted gaming and consists of —</w:t>
      </w:r>
    </w:p>
    <w:p>
      <w:pPr>
        <w:pStyle w:val="Indenta"/>
        <w:spacing w:before="60"/>
        <w:rPr>
          <w:snapToGrid w:val="0"/>
        </w:rPr>
      </w:pPr>
      <w:r>
        <w:rPr>
          <w:snapToGrid w:val="0"/>
        </w:rPr>
        <w:tab/>
        <w:t>(a)</w:t>
      </w:r>
      <w:r>
        <w:rPr>
          <w:snapToGrid w:val="0"/>
        </w:rPr>
        <w:tab/>
        <w:t>taking part in the gaming as a participant; or</w:t>
      </w:r>
    </w:p>
    <w:p>
      <w:pPr>
        <w:pStyle w:val="Indenta"/>
        <w:spacing w:before="60"/>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 or</w:t>
      </w:r>
    </w:p>
    <w:p>
      <w:pPr>
        <w:pStyle w:val="Indenta"/>
        <w:spacing w:before="60"/>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spacing w:before="60"/>
        <w:rPr>
          <w:snapToGrid w:val="0"/>
        </w:rPr>
      </w:pPr>
      <w:r>
        <w:rPr>
          <w:snapToGrid w:val="0"/>
        </w:rPr>
        <w:tab/>
        <w:t>(d)</w:t>
      </w:r>
      <w:r>
        <w:rPr>
          <w:snapToGrid w:val="0"/>
        </w:rPr>
        <w:tab/>
        <w:t>watching, otherwise than as manager, organiser or supervisor —</w:t>
      </w:r>
    </w:p>
    <w:p>
      <w:pPr>
        <w:pStyle w:val="Indenti"/>
        <w:spacing w:before="60"/>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spacing w:before="140"/>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spacing w:before="140"/>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t>Penalty: $2 000.</w:t>
      </w:r>
    </w:p>
    <w:p>
      <w:pPr>
        <w:pStyle w:val="Subsection"/>
        <w:spacing w:before="140"/>
        <w:rPr>
          <w:snapToGrid w:val="0"/>
        </w:rPr>
      </w:pPr>
      <w:r>
        <w:rPr>
          <w:snapToGrid w:val="0"/>
        </w:rPr>
        <w:tab/>
        <w:t>(5)</w:t>
      </w:r>
      <w:r>
        <w:rPr>
          <w:snapToGrid w:val="0"/>
        </w:rPr>
        <w:tab/>
        <w:t xml:space="preserve">In this section </w:t>
      </w:r>
      <w:r>
        <w:rPr>
          <w:rStyle w:val="CharDefText"/>
        </w:rPr>
        <w:t>service agreement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spacing w:before="140"/>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rStyle w:val="CharDefText"/>
        </w:rPr>
        <w:t>specified</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ind w:left="890" w:hanging="890"/>
      </w:pPr>
      <w:r>
        <w:tab/>
        <w:t>[Section 91 amended by No. 35 of 2003 s. 167.]</w:t>
      </w:r>
    </w:p>
    <w:p>
      <w:pPr>
        <w:pStyle w:val="Heading5"/>
        <w:keepNext w:val="0"/>
        <w:keepLines w:val="0"/>
        <w:rPr>
          <w:snapToGrid w:val="0"/>
        </w:rPr>
      </w:pPr>
      <w:bookmarkStart w:id="275" w:name="_Toc406079915"/>
      <w:bookmarkStart w:id="276" w:name="_Toc423529668"/>
      <w:r>
        <w:rPr>
          <w:rStyle w:val="CharSectno"/>
        </w:rPr>
        <w:t>92</w:t>
      </w:r>
      <w:r>
        <w:rPr>
          <w:snapToGrid w:val="0"/>
        </w:rPr>
        <w:t>.</w:t>
      </w:r>
      <w:r>
        <w:rPr>
          <w:snapToGrid w:val="0"/>
        </w:rPr>
        <w:tab/>
        <w:t>Certificates for s. 91</w:t>
      </w:r>
      <w:bookmarkEnd w:id="275"/>
      <w:bookmarkEnd w:id="276"/>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w:t>
      </w:r>
    </w:p>
    <w:p>
      <w:pPr>
        <w:pStyle w:val="Indenta"/>
        <w:spacing w:before="100"/>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spacing w:before="100"/>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w:t>
      </w:r>
    </w:p>
    <w:p>
      <w:pPr>
        <w:pStyle w:val="Indenta"/>
        <w:spacing w:before="100"/>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by No. 35 of 2003 s. 166 and 167.]</w:t>
      </w:r>
    </w:p>
    <w:p>
      <w:pPr>
        <w:pStyle w:val="Heading5"/>
        <w:rPr>
          <w:snapToGrid w:val="0"/>
        </w:rPr>
      </w:pPr>
      <w:bookmarkStart w:id="277" w:name="_Toc406079916"/>
      <w:bookmarkStart w:id="278" w:name="_Toc423529669"/>
      <w:r>
        <w:rPr>
          <w:rStyle w:val="CharSectno"/>
        </w:rPr>
        <w:t>93</w:t>
      </w:r>
      <w:r>
        <w:rPr>
          <w:snapToGrid w:val="0"/>
        </w:rPr>
        <w:t>.</w:t>
      </w:r>
      <w:r>
        <w:rPr>
          <w:snapToGrid w:val="0"/>
        </w:rPr>
        <w:tab/>
        <w:t>Offences in relation to s. 91</w:t>
      </w:r>
      <w:bookmarkEnd w:id="277"/>
      <w:bookmarkEnd w:id="278"/>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w:t>
      </w:r>
    </w:p>
    <w:p>
      <w:pPr>
        <w:pStyle w:val="Indenta"/>
        <w:rPr>
          <w:snapToGrid w:val="0"/>
        </w:rPr>
      </w:pPr>
      <w:r>
        <w:rPr>
          <w:snapToGrid w:val="0"/>
        </w:rPr>
        <w:tab/>
        <w:t>(a)</w:t>
      </w:r>
      <w:r>
        <w:rPr>
          <w:snapToGrid w:val="0"/>
        </w:rPr>
        <w:tab/>
        <w:t>the holder of the permit relating to that gaming; and</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93 amended by No. 35 of 2003 s. 167.]</w:t>
      </w:r>
    </w:p>
    <w:p>
      <w:pPr>
        <w:pStyle w:val="Heading3"/>
      </w:pPr>
      <w:bookmarkStart w:id="279" w:name="_Toc402969444"/>
      <w:bookmarkStart w:id="280" w:name="_Toc406075253"/>
      <w:bookmarkStart w:id="281" w:name="_Toc406075694"/>
      <w:bookmarkStart w:id="282" w:name="_Toc406079917"/>
      <w:bookmarkStart w:id="283" w:name="_Toc418677737"/>
      <w:bookmarkStart w:id="284" w:name="_Toc418677889"/>
      <w:bookmarkStart w:id="285" w:name="_Toc423529670"/>
      <w:r>
        <w:rPr>
          <w:rStyle w:val="CharDivNo"/>
        </w:rPr>
        <w:t>Division 6</w:t>
      </w:r>
      <w:r>
        <w:rPr>
          <w:snapToGrid w:val="0"/>
        </w:rPr>
        <w:t> — </w:t>
      </w:r>
      <w:r>
        <w:rPr>
          <w:rStyle w:val="CharDivText"/>
        </w:rPr>
        <w:t>Permitted bingo</w:t>
      </w:r>
      <w:bookmarkEnd w:id="279"/>
      <w:bookmarkEnd w:id="280"/>
      <w:bookmarkEnd w:id="281"/>
      <w:bookmarkEnd w:id="282"/>
      <w:bookmarkEnd w:id="283"/>
      <w:bookmarkEnd w:id="284"/>
      <w:bookmarkEnd w:id="285"/>
    </w:p>
    <w:p>
      <w:pPr>
        <w:pStyle w:val="Heading5"/>
        <w:rPr>
          <w:snapToGrid w:val="0"/>
        </w:rPr>
      </w:pPr>
      <w:bookmarkStart w:id="286" w:name="_Toc406079918"/>
      <w:bookmarkStart w:id="287" w:name="_Toc423529671"/>
      <w:r>
        <w:rPr>
          <w:rStyle w:val="CharSectno"/>
        </w:rPr>
        <w:t>94</w:t>
      </w:r>
      <w:r>
        <w:rPr>
          <w:snapToGrid w:val="0"/>
        </w:rPr>
        <w:t>.</w:t>
      </w:r>
      <w:r>
        <w:rPr>
          <w:snapToGrid w:val="0"/>
        </w:rPr>
        <w:tab/>
        <w:t>Terms used</w:t>
      </w:r>
      <w:bookmarkEnd w:id="286"/>
      <w:bookmarkEnd w:id="287"/>
    </w:p>
    <w:p>
      <w:pPr>
        <w:pStyle w:val="Subsection"/>
        <w:keepNext/>
        <w:rPr>
          <w:snapToGrid w:val="0"/>
        </w:rPr>
      </w:pPr>
      <w:r>
        <w:rPr>
          <w:snapToGrid w:val="0"/>
        </w:rPr>
        <w:tab/>
        <w:t>(1)</w:t>
      </w:r>
      <w:r>
        <w:rPr>
          <w:snapToGrid w:val="0"/>
        </w:rPr>
        <w:tab/>
        <w:t>In this Division, unless the contrary intention appears —</w:t>
      </w:r>
    </w:p>
    <w:p>
      <w:pPr>
        <w:pStyle w:val="Defstart"/>
      </w:pPr>
      <w:r>
        <w:rPr>
          <w:b/>
        </w:rPr>
        <w:tab/>
      </w:r>
      <w:r>
        <w:rPr>
          <w:rStyle w:val="CharDefText"/>
        </w:rPr>
        <w:t>bingo</w:t>
      </w:r>
      <w:r>
        <w:t xml:space="preserve"> means the game commonly known as bingo, housie</w:t>
      </w:r>
      <w:r>
        <w:noBreakHyphen/>
        <w:t>housie or tombola and includes any version of that game by whatever name called;</w:t>
      </w:r>
    </w:p>
    <w:p>
      <w:pPr>
        <w:pStyle w:val="Defstart"/>
      </w:pPr>
      <w:r>
        <w:rPr>
          <w:b/>
        </w:rPr>
        <w:tab/>
      </w:r>
      <w:r>
        <w:rPr>
          <w:rStyle w:val="CharDefText"/>
        </w:rPr>
        <w:t>charitable organisation</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r>
      <w:r>
        <w:rPr>
          <w:rStyle w:val="CharDefText"/>
        </w:rPr>
        <w:t>club</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r>
      <w:r>
        <w:rPr>
          <w:rStyle w:val="CharDefText"/>
        </w:rPr>
        <w:t>money</w:t>
      </w:r>
      <w:r>
        <w:t xml:space="preserve"> includes any token, voucher or other thing given by a player in exchange for cards and recognised for the purposes of the exchange to represent a particular sum of money, or money’s worth;</w:t>
      </w:r>
    </w:p>
    <w:p>
      <w:pPr>
        <w:pStyle w:val="Defstart"/>
      </w:pPr>
      <w:r>
        <w:rPr>
          <w:b/>
        </w:rPr>
        <w:tab/>
      </w:r>
      <w:r>
        <w:rPr>
          <w:rStyle w:val="CharDefText"/>
        </w:rPr>
        <w:t>multiple bingo</w:t>
      </w:r>
      <w:r>
        <w:t xml:space="preserve"> means bingo to which section 96 refers;</w:t>
      </w:r>
    </w:p>
    <w:p>
      <w:pPr>
        <w:pStyle w:val="Defstart"/>
      </w:pPr>
      <w:r>
        <w:rPr>
          <w:b/>
        </w:rPr>
        <w:tab/>
      </w:r>
      <w:r>
        <w:rPr>
          <w:rStyle w:val="CharDefText"/>
        </w:rPr>
        <w:t>organiser</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w:t>
      </w:r>
    </w:p>
    <w:p>
      <w:pPr>
        <w:pStyle w:val="Defstart"/>
      </w:pPr>
      <w:r>
        <w:rPr>
          <w:b/>
        </w:rPr>
        <w:tab/>
      </w:r>
      <w:r>
        <w:rPr>
          <w:rStyle w:val="CharDefText"/>
        </w:rPr>
        <w:t>prize</w:t>
      </w:r>
      <w:r>
        <w:t xml:space="preserve"> means anything won or to be won at bingo, whether money or something else having a value, and </w:t>
      </w:r>
      <w:r>
        <w:rPr>
          <w:rStyle w:val="CharDefText"/>
        </w:rPr>
        <w:t>value</w:t>
      </w:r>
      <w:r>
        <w:t xml:space="preserve"> and </w:t>
      </w:r>
      <w:r>
        <w:rPr>
          <w:rStyle w:val="CharDefText"/>
        </w:rPr>
        <w:t>paid</w:t>
      </w:r>
      <w:r>
        <w:t xml:space="preserve"> in relation to prizes shall be construed accordingly;</w:t>
      </w:r>
    </w:p>
    <w:p>
      <w:pPr>
        <w:pStyle w:val="Defstart"/>
      </w:pPr>
      <w:r>
        <w:rPr>
          <w:b/>
        </w:rPr>
        <w:tab/>
      </w:r>
      <w:r>
        <w:rPr>
          <w:rStyle w:val="CharDefText"/>
        </w:rPr>
        <w:t>promoter</w:t>
      </w:r>
      <w:r>
        <w:t>, in relation to bingo, means the person to whom the players look for the payment of prizes;</w:t>
      </w:r>
    </w:p>
    <w:p>
      <w:pPr>
        <w:pStyle w:val="Defstart"/>
      </w:pPr>
      <w:r>
        <w:rPr>
          <w:b/>
        </w:rPr>
        <w:tab/>
      </w:r>
      <w:r>
        <w:rPr>
          <w:rStyle w:val="CharDefText"/>
        </w:rPr>
        <w:t>simultaneous bingo</w:t>
      </w:r>
      <w:r>
        <w:t xml:space="preserve"> means bingo to which section 97 refers.</w:t>
      </w:r>
    </w:p>
    <w:p>
      <w:pPr>
        <w:pStyle w:val="Subsection"/>
        <w:spacing w:before="180"/>
        <w:rPr>
          <w:snapToGrid w:val="0"/>
        </w:rPr>
      </w:pPr>
      <w:r>
        <w:rPr>
          <w:snapToGrid w:val="0"/>
        </w:rPr>
        <w:tab/>
        <w:t>(2)</w:t>
      </w:r>
      <w:r>
        <w:rPr>
          <w:snapToGrid w:val="0"/>
        </w:rPr>
        <w:tab/>
        <w:t xml:space="preserve">For the purposes of this Division, a player’s </w:t>
      </w:r>
      <w:r>
        <w:rPr>
          <w:rStyle w:val="CharDefText"/>
        </w:rPr>
        <w:t>cards</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80"/>
        <w:rPr>
          <w:snapToGrid w:val="0"/>
        </w:rPr>
      </w:pPr>
      <w:bookmarkStart w:id="288" w:name="_Toc406079919"/>
      <w:bookmarkStart w:id="289" w:name="_Toc423529672"/>
      <w:r>
        <w:rPr>
          <w:rStyle w:val="CharSectno"/>
        </w:rPr>
        <w:t>95</w:t>
      </w:r>
      <w:r>
        <w:rPr>
          <w:snapToGrid w:val="0"/>
        </w:rPr>
        <w:t>.</w:t>
      </w:r>
      <w:r>
        <w:rPr>
          <w:snapToGrid w:val="0"/>
        </w:rPr>
        <w:tab/>
        <w:t>Permits to conduct bingo; who may play permitted bingo</w:t>
      </w:r>
      <w:bookmarkEnd w:id="288"/>
      <w:bookmarkEnd w:id="289"/>
    </w:p>
    <w:p>
      <w:pPr>
        <w:pStyle w:val="Subsection"/>
        <w:spacing w:before="12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 or</w:t>
      </w:r>
    </w:p>
    <w:p>
      <w:pPr>
        <w:pStyle w:val="Indenta"/>
        <w:spacing w:before="60"/>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rPr>
          <w:snapToGrid w:val="0"/>
        </w:rPr>
      </w:pPr>
      <w:r>
        <w:rPr>
          <w:snapToGrid w:val="0"/>
        </w:rPr>
        <w:tab/>
        <w:t>(2)</w:t>
      </w:r>
      <w:r>
        <w:rPr>
          <w:snapToGrid w:val="0"/>
        </w:rPr>
        <w:tab/>
        <w:t>A permit to which subsection (1)(a) applies shall not be issued unless the Commission is satisfied that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w:t>
      </w:r>
    </w:p>
    <w:p>
      <w:pPr>
        <w:pStyle w:val="Indenta"/>
        <w:widowControl w:val="0"/>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spacing w:before="120"/>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rPr>
          <w:snapToGrid w:val="0"/>
        </w:rPr>
      </w:pPr>
      <w:r>
        <w:rPr>
          <w:snapToGrid w:val="0"/>
        </w:rPr>
        <w:tab/>
        <w:t>(4)</w:t>
      </w:r>
      <w:r>
        <w:rPr>
          <w:snapToGrid w:val="0"/>
        </w:rPr>
        <w:tab/>
        <w:t>A person shall not participate in the gaming under this Division —</w:t>
      </w:r>
    </w:p>
    <w:p>
      <w:pPr>
        <w:pStyle w:val="Indenta"/>
        <w:spacing w:before="100"/>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spacing w:before="100"/>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t>Penalty: $100.</w:t>
      </w:r>
    </w:p>
    <w:p>
      <w:pPr>
        <w:pStyle w:val="Footnotesection"/>
      </w:pPr>
      <w:r>
        <w:tab/>
        <w:t>[Section 95 amended by No. 24 of 1998 s. 59.]</w:t>
      </w:r>
    </w:p>
    <w:p>
      <w:pPr>
        <w:pStyle w:val="Heading5"/>
        <w:rPr>
          <w:snapToGrid w:val="0"/>
        </w:rPr>
      </w:pPr>
      <w:bookmarkStart w:id="290" w:name="_Toc406079920"/>
      <w:bookmarkStart w:id="291" w:name="_Toc423529673"/>
      <w:r>
        <w:rPr>
          <w:rStyle w:val="CharSectno"/>
        </w:rPr>
        <w:t>96</w:t>
      </w:r>
      <w:r>
        <w:rPr>
          <w:snapToGrid w:val="0"/>
        </w:rPr>
        <w:t>.</w:t>
      </w:r>
      <w:r>
        <w:rPr>
          <w:snapToGrid w:val="0"/>
        </w:rPr>
        <w:tab/>
        <w:t>Multiple bingo</w:t>
      </w:r>
      <w:bookmarkEnd w:id="290"/>
      <w:bookmarkEnd w:id="291"/>
    </w:p>
    <w:p>
      <w:pPr>
        <w:pStyle w:val="Subsection"/>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rPr>
          <w:snapToGrid w:val="0"/>
        </w:rPr>
      </w:pPr>
      <w:r>
        <w:rPr>
          <w:snapToGrid w:val="0"/>
        </w:rPr>
        <w:tab/>
        <w:t>(2)</w:t>
      </w:r>
      <w:r>
        <w:rPr>
          <w:snapToGrid w:val="0"/>
        </w:rPr>
        <w:tab/>
        <w:t>Where multiple bingo is played —</w:t>
      </w:r>
    </w:p>
    <w:p>
      <w:pPr>
        <w:pStyle w:val="Indenta"/>
        <w:spacing w:before="100"/>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 and</w:t>
      </w:r>
    </w:p>
    <w:p>
      <w:pPr>
        <w:pStyle w:val="Indenta"/>
        <w:spacing w:before="100"/>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keepNext/>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spacing w:before="100"/>
        <w:rPr>
          <w:snapToGrid w:val="0"/>
        </w:rPr>
      </w:pPr>
      <w:r>
        <w:rPr>
          <w:snapToGrid w:val="0"/>
        </w:rPr>
        <w:tab/>
      </w:r>
      <w:r>
        <w:rPr>
          <w:snapToGrid w:val="0"/>
        </w:rPr>
        <w:tab/>
        <w:t>commits an offence.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In this section —</w:t>
      </w:r>
    </w:p>
    <w:p>
      <w:pPr>
        <w:pStyle w:val="Defstart"/>
      </w:pPr>
      <w:r>
        <w:rPr>
          <w:b/>
        </w:rPr>
        <w:tab/>
      </w:r>
      <w:r>
        <w:rPr>
          <w:rStyle w:val="CharDefText"/>
        </w:rPr>
        <w:t>multiple bingo</w:t>
      </w:r>
      <w:r>
        <w:t xml:space="preserve"> means a game of bingo played jointly on different bingo club premises in circumstances where —</w:t>
      </w:r>
    </w:p>
    <w:p>
      <w:pPr>
        <w:pStyle w:val="Defpara"/>
      </w:pPr>
      <w:r>
        <w:tab/>
        <w:t>(a)</w:t>
      </w:r>
      <w:r>
        <w:tab/>
        <w:t>the draw is determined before the beginning of the game by the organiser of the game and announced on each of those premises while the game is being played there; and</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w:t>
      </w:r>
    </w:p>
    <w:p>
      <w:pPr>
        <w:pStyle w:val="Defsubpara"/>
        <w:keepLines w:val="0"/>
      </w:pPr>
      <w:r>
        <w:tab/>
        <w:t>(i)</w:t>
      </w:r>
      <w:r>
        <w:tab/>
        <w:t>a prize calculated by reference to the stakes hazarded at a group of those premises which includes the premises on which he is taking part in the game; and</w:t>
      </w:r>
    </w:p>
    <w:p>
      <w:pPr>
        <w:pStyle w:val="Defsubpara"/>
      </w:pPr>
      <w:r>
        <w:tab/>
        <w:t>(ii)</w:t>
      </w:r>
      <w:r>
        <w:tab/>
        <w:t>a prize calculated by reference to the stakes hazarded at the last</w:t>
      </w:r>
      <w:r>
        <w:noBreakHyphen/>
        <w:t>mentioned premises.</w:t>
      </w:r>
    </w:p>
    <w:p>
      <w:pPr>
        <w:pStyle w:val="Heading5"/>
        <w:rPr>
          <w:snapToGrid w:val="0"/>
        </w:rPr>
      </w:pPr>
      <w:bookmarkStart w:id="292" w:name="_Toc406079921"/>
      <w:bookmarkStart w:id="293" w:name="_Toc423529674"/>
      <w:r>
        <w:rPr>
          <w:rStyle w:val="CharSectno"/>
        </w:rPr>
        <w:t>97</w:t>
      </w:r>
      <w:r>
        <w:rPr>
          <w:snapToGrid w:val="0"/>
        </w:rPr>
        <w:t>.</w:t>
      </w:r>
      <w:r>
        <w:rPr>
          <w:snapToGrid w:val="0"/>
        </w:rPr>
        <w:tab/>
        <w:t>Simultaneous bingo</w:t>
      </w:r>
      <w:bookmarkEnd w:id="292"/>
      <w:bookmarkEnd w:id="293"/>
    </w:p>
    <w:p>
      <w:pPr>
        <w:pStyle w:val="Subsection"/>
        <w:rPr>
          <w:snapToGrid w:val="0"/>
        </w:rPr>
      </w:pPr>
      <w:r>
        <w:rPr>
          <w:snapToGrid w:val="0"/>
        </w:rPr>
        <w:tab/>
        <w:t>(1)</w:t>
      </w:r>
      <w:r>
        <w:rPr>
          <w:snapToGrid w:val="0"/>
        </w:rPr>
        <w:tab/>
        <w:t>Where a game of bingo is played simultaneously on different premises in circumstances where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 and</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 and</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294" w:name="_Toc406079922"/>
      <w:bookmarkStart w:id="295" w:name="_Toc423529675"/>
      <w:r>
        <w:rPr>
          <w:rStyle w:val="CharSectno"/>
        </w:rPr>
        <w:t>98</w:t>
      </w:r>
      <w:r>
        <w:rPr>
          <w:snapToGrid w:val="0"/>
        </w:rPr>
        <w:t>.</w:t>
      </w:r>
      <w:r>
        <w:rPr>
          <w:snapToGrid w:val="0"/>
        </w:rPr>
        <w:tab/>
        <w:t>Conduct of bingo</w:t>
      </w:r>
      <w:bookmarkEnd w:id="294"/>
      <w:bookmarkEnd w:id="295"/>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 or</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t>Penalty: $2 000.</w:t>
      </w:r>
    </w:p>
    <w:p>
      <w:pPr>
        <w:pStyle w:val="Heading5"/>
        <w:rPr>
          <w:snapToGrid w:val="0"/>
        </w:rPr>
      </w:pPr>
      <w:bookmarkStart w:id="296" w:name="_Toc406079923"/>
      <w:bookmarkStart w:id="297" w:name="_Toc423529676"/>
      <w:r>
        <w:rPr>
          <w:rStyle w:val="CharSectno"/>
        </w:rPr>
        <w:t>99</w:t>
      </w:r>
      <w:r>
        <w:rPr>
          <w:snapToGrid w:val="0"/>
        </w:rPr>
        <w:t>.</w:t>
      </w:r>
      <w:r>
        <w:rPr>
          <w:snapToGrid w:val="0"/>
        </w:rPr>
        <w:tab/>
        <w:t>Recovering moneys payable to Commission for bingo</w:t>
      </w:r>
      <w:bookmarkEnd w:id="296"/>
      <w:bookmarkEnd w:id="297"/>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w:t>
      </w:r>
    </w:p>
    <w:p>
      <w:pPr>
        <w:pStyle w:val="Indenta"/>
        <w:rPr>
          <w:snapToGrid w:val="0"/>
        </w:rPr>
      </w:pPr>
      <w:r>
        <w:rPr>
          <w:snapToGrid w:val="0"/>
        </w:rPr>
        <w:tab/>
        <w:t>(a)</w:t>
      </w:r>
      <w:r>
        <w:rPr>
          <w:snapToGrid w:val="0"/>
        </w:rPr>
        <w:tab/>
        <w:t>the permit holder; and</w:t>
      </w:r>
    </w:p>
    <w:p>
      <w:pPr>
        <w:pStyle w:val="Indenta"/>
        <w:rPr>
          <w:snapToGrid w:val="0"/>
        </w:rPr>
      </w:pPr>
      <w:r>
        <w:rPr>
          <w:snapToGrid w:val="0"/>
        </w:rPr>
        <w:tab/>
        <w:t>(b)</w:t>
      </w:r>
      <w:r>
        <w:rPr>
          <w:snapToGrid w:val="0"/>
        </w:rPr>
        <w:tab/>
        <w:t>the promoter, and any person who took money as payment by players for cards or paid prizes to players; and</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298" w:name="_Toc406079924"/>
      <w:bookmarkStart w:id="299" w:name="_Toc423529677"/>
      <w:r>
        <w:rPr>
          <w:rStyle w:val="CharSectno"/>
        </w:rPr>
        <w:t>100</w:t>
      </w:r>
      <w:r>
        <w:rPr>
          <w:snapToGrid w:val="0"/>
        </w:rPr>
        <w:t>.</w:t>
      </w:r>
      <w:r>
        <w:rPr>
          <w:snapToGrid w:val="0"/>
        </w:rPr>
        <w:tab/>
        <w:t>Regulations as to bingo</w:t>
      </w:r>
      <w:bookmarkEnd w:id="298"/>
      <w:bookmarkEnd w:id="299"/>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w:t>
      </w:r>
    </w:p>
    <w:p>
      <w:pPr>
        <w:pStyle w:val="Indenta"/>
        <w:rPr>
          <w:snapToGrid w:val="0"/>
        </w:rPr>
      </w:pPr>
      <w:r>
        <w:rPr>
          <w:snapToGrid w:val="0"/>
        </w:rPr>
        <w:tab/>
        <w:t>(a)</w:t>
      </w:r>
      <w:r>
        <w:rPr>
          <w:snapToGrid w:val="0"/>
        </w:rPr>
        <w:tab/>
        <w:t>the number of games that may be played on any premises in any period of 24 hours; and</w:t>
      </w:r>
    </w:p>
    <w:p>
      <w:pPr>
        <w:pStyle w:val="Indenta"/>
        <w:rPr>
          <w:snapToGrid w:val="0"/>
        </w:rPr>
      </w:pPr>
      <w:r>
        <w:rPr>
          <w:snapToGrid w:val="0"/>
        </w:rPr>
        <w:tab/>
        <w:t>(b)</w:t>
      </w:r>
      <w:r>
        <w:rPr>
          <w:snapToGrid w:val="0"/>
        </w:rPr>
        <w:tab/>
        <w:t>the period for the playing of a game; and</w:t>
      </w:r>
    </w:p>
    <w:p>
      <w:pPr>
        <w:pStyle w:val="Indenta"/>
        <w:rPr>
          <w:snapToGrid w:val="0"/>
        </w:rPr>
      </w:pPr>
      <w:r>
        <w:rPr>
          <w:snapToGrid w:val="0"/>
        </w:rPr>
        <w:tab/>
        <w:t>(c)</w:t>
      </w:r>
      <w:r>
        <w:rPr>
          <w:snapToGrid w:val="0"/>
        </w:rPr>
        <w:tab/>
        <w:t>the hours during which gaming is permitted to take place; and</w:t>
      </w:r>
    </w:p>
    <w:p>
      <w:pPr>
        <w:pStyle w:val="Indenta"/>
        <w:rPr>
          <w:snapToGrid w:val="0"/>
        </w:rPr>
      </w:pPr>
      <w:r>
        <w:rPr>
          <w:snapToGrid w:val="0"/>
        </w:rPr>
        <w:tab/>
        <w:t>(d)</w:t>
      </w:r>
      <w:r>
        <w:rPr>
          <w:snapToGrid w:val="0"/>
        </w:rPr>
        <w:tab/>
        <w:t>the amount of the stakes; and</w:t>
      </w:r>
    </w:p>
    <w:p>
      <w:pPr>
        <w:pStyle w:val="Indenta"/>
        <w:rPr>
          <w:snapToGrid w:val="0"/>
        </w:rPr>
      </w:pPr>
      <w:r>
        <w:rPr>
          <w:snapToGrid w:val="0"/>
        </w:rPr>
        <w:tab/>
        <w:t>(e)</w:t>
      </w:r>
      <w:r>
        <w:rPr>
          <w:snapToGrid w:val="0"/>
        </w:rPr>
        <w:tab/>
        <w:t>the method of calculating the value or amount of the prizes; and</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 and</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 and</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 and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 and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 and</w:t>
      </w:r>
    </w:p>
    <w:p>
      <w:pPr>
        <w:pStyle w:val="Indenta"/>
        <w:rPr>
          <w:snapToGrid w:val="0"/>
        </w:rPr>
      </w:pPr>
      <w:r>
        <w:rPr>
          <w:snapToGrid w:val="0"/>
        </w:rPr>
        <w:tab/>
        <w:t>(l)</w:t>
      </w:r>
      <w:r>
        <w:rPr>
          <w:snapToGrid w:val="0"/>
        </w:rPr>
        <w:tab/>
        <w:t>authorising the Commission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 and</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 and</w:t>
      </w:r>
    </w:p>
    <w:p>
      <w:pPr>
        <w:pStyle w:val="Indenta"/>
        <w:rPr>
          <w:snapToGrid w:val="0"/>
        </w:rPr>
      </w:pPr>
      <w:r>
        <w:rPr>
          <w:snapToGrid w:val="0"/>
        </w:rPr>
        <w:tab/>
        <w:t>(n)</w:t>
      </w:r>
      <w:r>
        <w:rPr>
          <w:snapToGrid w:val="0"/>
        </w:rPr>
        <w:tab/>
        <w:t>the printing, sale, use and call back of cards; and</w:t>
      </w:r>
    </w:p>
    <w:p>
      <w:pPr>
        <w:pStyle w:val="Indenta"/>
        <w:keepNext/>
        <w:rPr>
          <w:snapToGrid w:val="0"/>
        </w:rPr>
      </w:pPr>
      <w:r>
        <w:rPr>
          <w:snapToGrid w:val="0"/>
        </w:rPr>
        <w:tab/>
        <w:t>(na)</w:t>
      </w:r>
      <w:r>
        <w:rPr>
          <w:snapToGrid w:val="0"/>
        </w:rPr>
        <w:tab/>
        <w:t>the persons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r>
      <w:r>
        <w:rPr>
          <w:snapToGrid w:val="0"/>
        </w:rPr>
        <w:tab/>
        <w:t>and</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by No. 24 of 1998 s. 60.]</w:t>
      </w:r>
    </w:p>
    <w:p>
      <w:pPr>
        <w:pStyle w:val="Heading3"/>
      </w:pPr>
      <w:bookmarkStart w:id="300" w:name="_Toc402969452"/>
      <w:bookmarkStart w:id="301" w:name="_Toc406075261"/>
      <w:bookmarkStart w:id="302" w:name="_Toc406075702"/>
      <w:bookmarkStart w:id="303" w:name="_Toc406079925"/>
      <w:bookmarkStart w:id="304" w:name="_Toc418677745"/>
      <w:bookmarkStart w:id="305" w:name="_Toc418677897"/>
      <w:bookmarkStart w:id="306" w:name="_Toc423529678"/>
      <w:r>
        <w:rPr>
          <w:rStyle w:val="CharDivNo"/>
        </w:rPr>
        <w:t>Division 7</w:t>
      </w:r>
      <w:r>
        <w:rPr>
          <w:snapToGrid w:val="0"/>
        </w:rPr>
        <w:t> — </w:t>
      </w:r>
      <w:r>
        <w:rPr>
          <w:rStyle w:val="CharDivText"/>
        </w:rPr>
        <w:t>Lotteries, and amusements with prizes etc.</w:t>
      </w:r>
      <w:bookmarkEnd w:id="300"/>
      <w:bookmarkEnd w:id="301"/>
      <w:bookmarkEnd w:id="302"/>
      <w:bookmarkEnd w:id="303"/>
      <w:bookmarkEnd w:id="304"/>
      <w:bookmarkEnd w:id="305"/>
      <w:bookmarkEnd w:id="306"/>
    </w:p>
    <w:p>
      <w:pPr>
        <w:pStyle w:val="Heading5"/>
        <w:rPr>
          <w:snapToGrid w:val="0"/>
        </w:rPr>
      </w:pPr>
      <w:bookmarkStart w:id="307" w:name="_Toc406079926"/>
      <w:bookmarkStart w:id="308" w:name="_Toc423529679"/>
      <w:r>
        <w:rPr>
          <w:rStyle w:val="CharSectno"/>
        </w:rPr>
        <w:t>101</w:t>
      </w:r>
      <w:r>
        <w:rPr>
          <w:snapToGrid w:val="0"/>
        </w:rPr>
        <w:t>.</w:t>
      </w:r>
      <w:r>
        <w:rPr>
          <w:snapToGrid w:val="0"/>
        </w:rPr>
        <w:tab/>
        <w:t>Terms used</w:t>
      </w:r>
      <w:bookmarkEnd w:id="307"/>
      <w:bookmarkEnd w:id="308"/>
    </w:p>
    <w:p>
      <w:pPr>
        <w:pStyle w:val="Subsection"/>
        <w:rPr>
          <w:snapToGrid w:val="0"/>
        </w:rPr>
      </w:pPr>
      <w:r>
        <w:rPr>
          <w:snapToGrid w:val="0"/>
        </w:rPr>
        <w:tab/>
        <w:t>(1)</w:t>
      </w:r>
      <w:r>
        <w:rPr>
          <w:snapToGrid w:val="0"/>
        </w:rPr>
        <w:tab/>
        <w:t>In this Division —</w:t>
      </w:r>
    </w:p>
    <w:p>
      <w:pPr>
        <w:pStyle w:val="Defstart"/>
        <w:spacing w:before="100"/>
      </w:pPr>
      <w:r>
        <w:rPr>
          <w:b/>
        </w:rPr>
        <w:tab/>
      </w:r>
      <w:r>
        <w:rPr>
          <w:rStyle w:val="CharDefText"/>
        </w:rPr>
        <w:t>batch</w:t>
      </w:r>
      <w:r>
        <w:t>, in relation to tickets in a continuing lottery, means a number of tickets that have the same series number and are distinguishable from the tickets in any other batch;</w:t>
      </w:r>
    </w:p>
    <w:p>
      <w:pPr>
        <w:pStyle w:val="Defstart"/>
        <w:spacing w:before="100"/>
      </w:pPr>
      <w:r>
        <w:rPr>
          <w:b/>
        </w:rPr>
        <w:tab/>
      </w:r>
      <w:r>
        <w:rPr>
          <w:rStyle w:val="CharDefText"/>
        </w:rPr>
        <w:t>closing date</w:t>
      </w:r>
      <w:r>
        <w:t>, in relation to a standard lottery, means the last date on which tickets may be sold or subscriptions received from entrants to the standard lottery;</w:t>
      </w:r>
    </w:p>
    <w:p>
      <w:pPr>
        <w:pStyle w:val="Defstart"/>
        <w:spacing w:before="100"/>
      </w:pPr>
      <w:r>
        <w:rPr>
          <w:b/>
        </w:rPr>
        <w:tab/>
      </w:r>
      <w:r>
        <w:rPr>
          <w:rStyle w:val="CharDefText"/>
        </w:rPr>
        <w:t>conducting</w:t>
      </w:r>
      <w:r>
        <w:t>, in relation to an unlawful lottery, includes any matter referred to in section 106(2);</w:t>
      </w:r>
    </w:p>
    <w:p>
      <w:pPr>
        <w:pStyle w:val="Defstart"/>
        <w:spacing w:before="100"/>
      </w:pPr>
      <w:r>
        <w:rPr>
          <w:b/>
        </w:rPr>
        <w:tab/>
      </w:r>
      <w:r>
        <w:rPr>
          <w:rStyle w:val="CharDefText"/>
        </w:rPr>
        <w:t>continuing lottery</w:t>
      </w:r>
      <w:r>
        <w:t xml:space="preserve"> means a continuing lottery within the meaning of subsection (2);</w:t>
      </w:r>
    </w:p>
    <w:p>
      <w:pPr>
        <w:pStyle w:val="Defstart"/>
        <w:spacing w:before="100"/>
      </w:pPr>
      <w:r>
        <w:rPr>
          <w:b/>
        </w:rPr>
        <w:tab/>
      </w:r>
      <w:r>
        <w:rPr>
          <w:rStyle w:val="CharDefText"/>
        </w:rPr>
        <w:t>date of drawing</w:t>
      </w:r>
      <w:r>
        <w:t>, in relation to a standard lottery, means the date fixed for the drawing of, or deciding the result of the standard lottery;</w:t>
      </w:r>
    </w:p>
    <w:p>
      <w:pPr>
        <w:pStyle w:val="Defstart"/>
        <w:spacing w:before="100"/>
      </w:pPr>
      <w:r>
        <w:rPr>
          <w:b/>
        </w:rPr>
        <w:tab/>
      </w:r>
      <w:r>
        <w:rPr>
          <w:rStyle w:val="CharDefText"/>
        </w:rPr>
        <w:t>drawing</w:t>
      </w:r>
      <w:r>
        <w:t>, in relation to a standard lottery, means the determination of the event or events which, according to the conditions of the standard lottery, decide the result;</w:t>
      </w:r>
    </w:p>
    <w:p>
      <w:pPr>
        <w:pStyle w:val="Defstart"/>
        <w:spacing w:before="100"/>
      </w:pPr>
      <w:r>
        <w:rPr>
          <w:b/>
        </w:rPr>
        <w:tab/>
      </w:r>
      <w:r>
        <w:rPr>
          <w:rStyle w:val="CharDefText"/>
        </w:rPr>
        <w:t>face value</w:t>
      </w:r>
      <w:r>
        <w:t>, in relation to a ticket intended to be sold in a continuing lottery, means the amount for which the ticket is intended to be sold to a person taking part in the lottery;</w:t>
      </w:r>
    </w:p>
    <w:p>
      <w:pPr>
        <w:pStyle w:val="Defstart"/>
        <w:spacing w:before="100"/>
      </w:pPr>
      <w:r>
        <w:rPr>
          <w:b/>
        </w:rPr>
        <w:tab/>
      </w:r>
      <w:r>
        <w:rPr>
          <w:rStyle w:val="CharDefText"/>
        </w:rPr>
        <w:t>foreign lottery</w:t>
      </w:r>
      <w:r>
        <w:t xml:space="preserve"> means a lottery which is conducted, drawn or decided wholly or partly outside the State, notwithstanding that the same may be legal according to the law of the place where it is conducted, drawn, or decided;</w:t>
      </w:r>
    </w:p>
    <w:p>
      <w:pPr>
        <w:pStyle w:val="Defstart"/>
        <w:spacing w:before="100"/>
      </w:pPr>
      <w:r>
        <w:rPr>
          <w:b/>
        </w:rPr>
        <w:tab/>
      </w:r>
      <w:r>
        <w:rPr>
          <w:rStyle w:val="CharDefText"/>
        </w:rPr>
        <w:t>opening date</w:t>
      </w:r>
      <w:r>
        <w:t>, in relation to a standard lottery, means the first day on which tickets in the standard lottery may be sold or on which subscriptions in the standard lottery may be received;</w:t>
      </w:r>
    </w:p>
    <w:p>
      <w:pPr>
        <w:pStyle w:val="Defstart"/>
        <w:spacing w:before="100"/>
      </w:pPr>
      <w:r>
        <w:rPr>
          <w:b/>
        </w:rPr>
        <w:tab/>
      </w:r>
      <w:r>
        <w:rPr>
          <w:rStyle w:val="CharDefText"/>
        </w:rPr>
        <w:t>quarter</w:t>
      </w:r>
      <w:r>
        <w:t xml:space="preserve"> means a period of 3 months commencing on 1 July, 1 October, 1 January or 1 April;</w:t>
      </w:r>
    </w:p>
    <w:p>
      <w:pPr>
        <w:pStyle w:val="Defstart"/>
        <w:keepNext/>
      </w:pPr>
      <w:r>
        <w:rPr>
          <w:b/>
        </w:rPr>
        <w:tab/>
      </w:r>
      <w:r>
        <w:rPr>
          <w:rStyle w:val="CharDefText"/>
        </w:rPr>
        <w:t>standard lottery</w:t>
      </w:r>
      <w:r>
        <w:t xml:space="preserve"> means a lottery other than a continuing lottery;</w:t>
      </w:r>
    </w:p>
    <w:p>
      <w:pPr>
        <w:pStyle w:val="Defstart"/>
      </w:pPr>
      <w:r>
        <w:rPr>
          <w:b/>
        </w:rPr>
        <w:tab/>
      </w:r>
      <w:r>
        <w:rPr>
          <w:rStyle w:val="CharDefText"/>
        </w:rPr>
        <w:t>ticket</w:t>
      </w:r>
      <w:r>
        <w:t>, in relation to a continuing lottery, means a ticket that is intended for sale in a continuing lottery;</w:t>
      </w:r>
    </w:p>
    <w:p>
      <w:pPr>
        <w:pStyle w:val="Defstart"/>
      </w:pPr>
      <w:r>
        <w:rPr>
          <w:b/>
        </w:rPr>
        <w:tab/>
      </w:r>
      <w:r>
        <w:rPr>
          <w:rStyle w:val="CharDefText"/>
        </w:rPr>
        <w:t>ticket</w:t>
      </w:r>
      <w:r>
        <w:t>, in relation to a standard lottery, includes any document evidencing the claim of a person to participate in the chances of the lottery;</w:t>
      </w:r>
    </w:p>
    <w:p>
      <w:pPr>
        <w:pStyle w:val="Defstart"/>
      </w:pPr>
      <w:r>
        <w:rPr>
          <w:b/>
        </w:rPr>
        <w:tab/>
      </w:r>
      <w:r>
        <w:rPr>
          <w:rStyle w:val="CharDefText"/>
        </w:rPr>
        <w:t>unlawful lottery</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[Section 101 amended by No. 16 of 1990 s. 33; No. 6 of 2000 s. 12; No. 45 of 2002 s. 13.]</w:t>
      </w:r>
    </w:p>
    <w:p>
      <w:pPr>
        <w:pStyle w:val="Heading5"/>
        <w:rPr>
          <w:snapToGrid w:val="0"/>
        </w:rPr>
      </w:pPr>
      <w:bookmarkStart w:id="309" w:name="_Toc406079927"/>
      <w:bookmarkStart w:id="310" w:name="_Toc423529680"/>
      <w:r>
        <w:rPr>
          <w:rStyle w:val="CharSectno"/>
        </w:rPr>
        <w:t>102</w:t>
      </w:r>
      <w:r>
        <w:rPr>
          <w:snapToGrid w:val="0"/>
        </w:rPr>
        <w:t>.</w:t>
      </w:r>
      <w:r>
        <w:rPr>
          <w:snapToGrid w:val="0"/>
        </w:rPr>
        <w:tab/>
        <w:t>Certain lotteries unlawful</w:t>
      </w:r>
      <w:bookmarkEnd w:id="309"/>
      <w:bookmarkEnd w:id="310"/>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[Section 102 amended by No. 16 of 1990 s. 33; No. 24 of 1998 s. 61(1); No. 26 of 1998 s. 23; No. 6 of 2000 s. 13; No. 35 of 2003 s. 157.]</w:t>
      </w:r>
    </w:p>
    <w:p>
      <w:pPr>
        <w:pStyle w:val="Heading5"/>
        <w:rPr>
          <w:snapToGrid w:val="0"/>
        </w:rPr>
      </w:pPr>
      <w:bookmarkStart w:id="311" w:name="_Toc406079928"/>
      <w:bookmarkStart w:id="312" w:name="_Toc423529681"/>
      <w:r>
        <w:rPr>
          <w:rStyle w:val="CharSectno"/>
        </w:rPr>
        <w:t>103</w:t>
      </w:r>
      <w:r>
        <w:rPr>
          <w:snapToGrid w:val="0"/>
        </w:rPr>
        <w:t>.</w:t>
      </w:r>
      <w:r>
        <w:rPr>
          <w:snapToGrid w:val="0"/>
        </w:rPr>
        <w:tab/>
      </w:r>
      <w:smartTag w:uri="urn:schemas-microsoft-com:office:smarttags" w:element="City">
        <w:smartTag w:uri="urn:schemas-microsoft-com:office:smarttags" w:element="place">
          <w:r>
            <w:rPr>
              <w:snapToGrid w:val="0"/>
            </w:rPr>
            <w:t>Perm</w:t>
          </w:r>
        </w:smartTag>
      </w:smartTag>
      <w:r>
        <w:rPr>
          <w:snapToGrid w:val="0"/>
        </w:rPr>
        <w:t>itted lotteries (deemed)</w:t>
      </w:r>
      <w:bookmarkEnd w:id="311"/>
      <w:bookmarkEnd w:id="312"/>
    </w:p>
    <w:p>
      <w:pPr>
        <w:pStyle w:val="Subsection"/>
        <w:rPr>
          <w:snapToGrid w:val="0"/>
        </w:rPr>
      </w:pPr>
      <w:r>
        <w:rPr>
          <w:snapToGrid w:val="0"/>
        </w:rPr>
        <w:tab/>
        <w:t>(1)</w:t>
      </w:r>
      <w:r>
        <w:rPr>
          <w:snapToGrid w:val="0"/>
        </w:rPr>
        <w:tab/>
        <w:t>A lottery in which —</w:t>
      </w:r>
    </w:p>
    <w:p>
      <w:pPr>
        <w:pStyle w:val="Indenta"/>
        <w:rPr>
          <w:snapToGrid w:val="0"/>
        </w:rPr>
      </w:pPr>
      <w:r>
        <w:rPr>
          <w:snapToGrid w:val="0"/>
        </w:rPr>
        <w:tab/>
        <w:t>(a)</w:t>
      </w:r>
      <w:r>
        <w:rPr>
          <w:snapToGrid w:val="0"/>
        </w:rPr>
        <w:tab/>
        <w:t>tickets or chances are sold to or subscriptions received from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 and</w:t>
      </w:r>
    </w:p>
    <w:p>
      <w:pPr>
        <w:pStyle w:val="Indenta"/>
        <w:rPr>
          <w:snapToGrid w:val="0"/>
        </w:rPr>
      </w:pPr>
      <w:r>
        <w:rPr>
          <w:snapToGrid w:val="0"/>
        </w:rPr>
        <w:tab/>
        <w:t>(b)</w:t>
      </w:r>
      <w:r>
        <w:rPr>
          <w:snapToGrid w:val="0"/>
        </w:rPr>
        <w:tab/>
        <w:t>the price of every ticket, chance or subscription is the same; and</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 and</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keepNext/>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w:t>
      </w:r>
    </w:p>
    <w:p>
      <w:pPr>
        <w:pStyle w:val="Indenta"/>
        <w:rPr>
          <w:snapToGrid w:val="0"/>
        </w:rPr>
      </w:pPr>
      <w:r>
        <w:rPr>
          <w:snapToGrid w:val="0"/>
        </w:rPr>
        <w:tab/>
        <w:t>(a)</w:t>
      </w:r>
      <w:r>
        <w:rPr>
          <w:snapToGrid w:val="0"/>
        </w:rPr>
        <w:tab/>
        <w:t>the tickets are alphabetically and numerically distinct but the same price; and</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keepNext/>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 and</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by No. 35 of 2003 s. 158.]</w:t>
      </w:r>
    </w:p>
    <w:p>
      <w:pPr>
        <w:pStyle w:val="Heading5"/>
        <w:rPr>
          <w:snapToGrid w:val="0"/>
        </w:rPr>
      </w:pPr>
      <w:bookmarkStart w:id="313" w:name="_Toc406079929"/>
      <w:bookmarkStart w:id="314" w:name="_Toc423529682"/>
      <w:r>
        <w:rPr>
          <w:rStyle w:val="CharSectno"/>
        </w:rPr>
        <w:t>104</w:t>
      </w:r>
      <w:r>
        <w:rPr>
          <w:snapToGrid w:val="0"/>
        </w:rPr>
        <w:t>.</w:t>
      </w:r>
      <w:r>
        <w:rPr>
          <w:snapToGrid w:val="0"/>
        </w:rPr>
        <w:tab/>
        <w:t>Permits for lotteries; duties of holders of permit for standard lottery</w:t>
      </w:r>
      <w:bookmarkEnd w:id="313"/>
      <w:bookmarkEnd w:id="314"/>
    </w:p>
    <w:p>
      <w:pPr>
        <w:pStyle w:val="Subsection"/>
        <w:rPr>
          <w:snapToGrid w:val="0"/>
        </w:rPr>
      </w:pPr>
      <w:r>
        <w:rPr>
          <w:snapToGrid w:val="0"/>
        </w:rPr>
        <w:tab/>
        <w:t>(1)</w:t>
      </w:r>
      <w:r>
        <w:rPr>
          <w:snapToGrid w:val="0"/>
        </w:rPr>
        <w:tab/>
        <w:t>A permit authorising the conduct of a lottery may be issued —</w:t>
      </w:r>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rPr>
          <w:snapToGrid w:val="0"/>
        </w:rPr>
      </w:pPr>
      <w:r>
        <w:rPr>
          <w:snapToGrid w:val="0"/>
        </w:rPr>
        <w:tab/>
        <w:t>(1c)</w:t>
      </w:r>
      <w:r>
        <w:rPr>
          <w:snapToGrid w:val="0"/>
        </w:rPr>
        <w:tab/>
        <w:t xml:space="preserve">A permit for a standard lottery of the kind generally known or described as a </w:t>
      </w:r>
      <w:smartTag w:uri="urn:schemas-microsoft-com:office:smarttags" w:element="place">
        <w:smartTag w:uri="urn:schemas-microsoft-com:office:smarttags" w:element="City">
          <w:r>
            <w:rPr>
              <w:snapToGrid w:val="0"/>
            </w:rPr>
            <w:t>calcutta</w:t>
          </w:r>
        </w:smartTag>
      </w:smartTag>
      <w:r>
        <w:rPr>
          <w:snapToGrid w:val="0"/>
        </w:rPr>
        <w:t xml:space="preserve"> shall be issued only to a race club or an approved club.</w:t>
      </w:r>
    </w:p>
    <w:p>
      <w:pPr>
        <w:pStyle w:val="Subsection"/>
        <w:rPr>
          <w:snapToGrid w:val="0"/>
        </w:rPr>
      </w:pPr>
      <w:r>
        <w:rPr>
          <w:snapToGrid w:val="0"/>
        </w:rPr>
        <w:tab/>
        <w:t>(2)</w:t>
      </w:r>
      <w:r>
        <w:rPr>
          <w:snapToGrid w:val="0"/>
        </w:rPr>
        <w:tab/>
        <w:t>A person applying for a permit authorising a standard lottery shall furnish to the Commission evidence satisfactory to the Commission as to —</w:t>
      </w:r>
    </w:p>
    <w:p>
      <w:pPr>
        <w:pStyle w:val="Indenta"/>
        <w:rPr>
          <w:snapToGrid w:val="0"/>
        </w:rPr>
      </w:pPr>
      <w:r>
        <w:rPr>
          <w:snapToGrid w:val="0"/>
        </w:rPr>
        <w:tab/>
        <w:t>(a)</w:t>
      </w:r>
      <w:r>
        <w:rPr>
          <w:snapToGrid w:val="0"/>
        </w:rPr>
        <w:tab/>
        <w:t>the proposed opening date and closing date and date of drawing; and</w:t>
      </w:r>
    </w:p>
    <w:p>
      <w:pPr>
        <w:pStyle w:val="Indenta"/>
        <w:rPr>
          <w:snapToGrid w:val="0"/>
        </w:rPr>
      </w:pPr>
      <w:r>
        <w:rPr>
          <w:snapToGrid w:val="0"/>
        </w:rPr>
        <w:tab/>
        <w:t>(b)</w:t>
      </w:r>
      <w:r>
        <w:rPr>
          <w:snapToGrid w:val="0"/>
        </w:rPr>
        <w:tab/>
        <w:t>the locality in which tickets or chances are to be offered for sale or in which subscriptions may be received; and</w:t>
      </w:r>
    </w:p>
    <w:p>
      <w:pPr>
        <w:pStyle w:val="Indenta"/>
        <w:rPr>
          <w:snapToGrid w:val="0"/>
        </w:rPr>
      </w:pPr>
      <w:r>
        <w:rPr>
          <w:snapToGrid w:val="0"/>
        </w:rPr>
        <w:tab/>
        <w:t>(c)</w:t>
      </w:r>
      <w:r>
        <w:rPr>
          <w:snapToGrid w:val="0"/>
        </w:rPr>
        <w:tab/>
        <w:t>the purpose for which the standard lottery is to be conducted; and</w:t>
      </w:r>
    </w:p>
    <w:p>
      <w:pPr>
        <w:pStyle w:val="Indenta"/>
        <w:rPr>
          <w:snapToGrid w:val="0"/>
        </w:rPr>
      </w:pPr>
      <w:r>
        <w:rPr>
          <w:snapToGrid w:val="0"/>
        </w:rPr>
        <w:tab/>
        <w:t>(d)</w:t>
      </w:r>
      <w:r>
        <w:rPr>
          <w:snapToGrid w:val="0"/>
        </w:rPr>
        <w:tab/>
        <w:t>the total number of tickets or chances to be offered for sale, or the total number of subscriptions proposed to be called for; and</w:t>
      </w:r>
    </w:p>
    <w:p>
      <w:pPr>
        <w:pStyle w:val="Indenta"/>
        <w:rPr>
          <w:snapToGrid w:val="0"/>
        </w:rPr>
      </w:pPr>
      <w:r>
        <w:rPr>
          <w:snapToGrid w:val="0"/>
        </w:rPr>
        <w:tab/>
        <w:t>(e)</w:t>
      </w:r>
      <w:r>
        <w:rPr>
          <w:snapToGrid w:val="0"/>
        </w:rPr>
        <w:tab/>
        <w:t>the price of each ticket, chance or subscription; and</w:t>
      </w:r>
    </w:p>
    <w:p>
      <w:pPr>
        <w:pStyle w:val="Indenta"/>
        <w:rPr>
          <w:snapToGrid w:val="0"/>
        </w:rPr>
      </w:pPr>
      <w:r>
        <w:rPr>
          <w:snapToGrid w:val="0"/>
        </w:rPr>
        <w:tab/>
        <w:t>(f)</w:t>
      </w:r>
      <w:r>
        <w:rPr>
          <w:snapToGrid w:val="0"/>
        </w:rPr>
        <w:tab/>
        <w:t>the total amount of the prize money or other prizes proposed to be distributed or offered in the standard lottery; and</w:t>
      </w:r>
    </w:p>
    <w:p>
      <w:pPr>
        <w:pStyle w:val="Indenta"/>
        <w:rPr>
          <w:snapToGrid w:val="0"/>
        </w:rPr>
      </w:pPr>
      <w:r>
        <w:rPr>
          <w:snapToGrid w:val="0"/>
        </w:rPr>
        <w:tab/>
        <w:t>(g)</w:t>
      </w:r>
      <w:r>
        <w:rPr>
          <w:snapToGrid w:val="0"/>
        </w:rPr>
        <w:tab/>
        <w:t>such other matters as may be prescribed or as are required by the Commission.</w:t>
      </w:r>
    </w:p>
    <w:p>
      <w:pPr>
        <w:pStyle w:val="Subsection"/>
        <w:keepNext/>
        <w:rPr>
          <w:snapToGrid w:val="0"/>
        </w:rPr>
      </w:pPr>
      <w:r>
        <w:rPr>
          <w:snapToGrid w:val="0"/>
        </w:rPr>
        <w:tab/>
        <w:t>(3)</w:t>
      </w:r>
      <w:r>
        <w:rPr>
          <w:snapToGrid w:val="0"/>
        </w:rPr>
        <w:tab/>
        <w:t>With respect to a standard lottery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 and</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 and</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 and</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 and</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 and</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 and</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 and</w:t>
      </w:r>
    </w:p>
    <w:p>
      <w:pPr>
        <w:pStyle w:val="Indenta"/>
        <w:rPr>
          <w:snapToGrid w:val="0"/>
        </w:rPr>
      </w:pPr>
      <w:r>
        <w:rPr>
          <w:snapToGrid w:val="0"/>
        </w:rPr>
        <w:tab/>
        <w:t>(f)</w:t>
      </w:r>
      <w:r>
        <w:rPr>
          <w:snapToGrid w:val="0"/>
        </w:rPr>
        <w:tab/>
        <w:t>unless paragraph (e) applies, the closing date shall be not more than 3 months from the opening date; and</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 and</w:t>
      </w:r>
    </w:p>
    <w:p>
      <w:pPr>
        <w:pStyle w:val="Indenta"/>
        <w:rPr>
          <w:snapToGrid w:val="0"/>
        </w:rPr>
      </w:pPr>
      <w:r>
        <w:rPr>
          <w:snapToGrid w:val="0"/>
        </w:rPr>
        <w:tab/>
        <w:t>(h)</w:t>
      </w:r>
      <w:r>
        <w:rPr>
          <w:snapToGrid w:val="0"/>
        </w:rPr>
        <w:tab/>
        <w:t>the price of every ticket, chance or subscription shall be the same, and shall be stated on the ticket; and</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t>Penalty: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t>Penalty: $1 000.</w:t>
      </w:r>
    </w:p>
    <w:p>
      <w:pPr>
        <w:pStyle w:val="Footnotesection"/>
      </w:pPr>
      <w:r>
        <w:tab/>
        <w:t>[Section 104 amended by No. 24 of 1998 s. 62; No. 6 of 2000 s. 14.]</w:t>
      </w:r>
    </w:p>
    <w:p>
      <w:pPr>
        <w:pStyle w:val="Heading5"/>
      </w:pPr>
      <w:bookmarkStart w:id="315" w:name="_Toc406079930"/>
      <w:bookmarkStart w:id="316" w:name="_Toc423529683"/>
      <w:r>
        <w:rPr>
          <w:rStyle w:val="CharSectno"/>
        </w:rPr>
        <w:t>104A</w:t>
      </w:r>
      <w:r>
        <w:t>.</w:t>
      </w:r>
      <w:r>
        <w:tab/>
        <w:t>Commission not liable for unpaid lottery prizes</w:t>
      </w:r>
      <w:bookmarkEnd w:id="315"/>
      <w:bookmarkEnd w:id="316"/>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by No. 24 of 1998 s. 63.]</w:t>
      </w:r>
    </w:p>
    <w:p>
      <w:pPr>
        <w:pStyle w:val="Heading5"/>
      </w:pPr>
      <w:bookmarkStart w:id="317" w:name="_Toc406079931"/>
      <w:bookmarkStart w:id="318" w:name="_Toc423529684"/>
      <w:r>
        <w:rPr>
          <w:rStyle w:val="CharSectno"/>
        </w:rPr>
        <w:t>104B</w:t>
      </w:r>
      <w:r>
        <w:t>.</w:t>
      </w:r>
      <w:r>
        <w:tab/>
        <w:t>Licensing of suppliers of lottery tickets</w:t>
      </w:r>
      <w:bookmarkEnd w:id="317"/>
      <w:bookmarkEnd w:id="318"/>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spacing w:before="60"/>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 or</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 or</w:t>
      </w:r>
    </w:p>
    <w:p>
      <w:pPr>
        <w:pStyle w:val="Indenta"/>
      </w:pPr>
      <w:r>
        <w:tab/>
        <w:t>(b)</w:t>
      </w:r>
      <w:r>
        <w:tab/>
        <w:t>holds any share, or has a beneficial interest in any share, in that body corporate; or</w:t>
      </w:r>
    </w:p>
    <w:p>
      <w:pPr>
        <w:pStyle w:val="Indenta"/>
      </w:pPr>
      <w:r>
        <w:tab/>
        <w:t>(c)</w:t>
      </w:r>
      <w:r>
        <w:tab/>
        <w:t>holds any unit in a unit trust scheme of which the body corporate is the trustee; or</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by No. 6 of 2000 s. 15; amended by No. 12 of 2008 Sch. 1 cl. 9.]</w:t>
      </w:r>
    </w:p>
    <w:p>
      <w:pPr>
        <w:pStyle w:val="Heading5"/>
      </w:pPr>
      <w:bookmarkStart w:id="319" w:name="_Toc406079932"/>
      <w:bookmarkStart w:id="320" w:name="_Toc423529685"/>
      <w:r>
        <w:rPr>
          <w:rStyle w:val="CharSectno"/>
        </w:rPr>
        <w:t>104C</w:t>
      </w:r>
      <w:r>
        <w:t>.</w:t>
      </w:r>
      <w:r>
        <w:tab/>
        <w:t>Licences of licensed suppliers, cancelling etc.</w:t>
      </w:r>
      <w:bookmarkEnd w:id="319"/>
      <w:bookmarkEnd w:id="320"/>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 or</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spacing w:before="100"/>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spacing w:before="100"/>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$5 000.</w:t>
      </w:r>
    </w:p>
    <w:p>
      <w:pPr>
        <w:pStyle w:val="Footnotesection"/>
      </w:pPr>
      <w:r>
        <w:tab/>
        <w:t>[Section 104C inserted by No. 6 of 2000 s. 15.]</w:t>
      </w:r>
    </w:p>
    <w:p>
      <w:pPr>
        <w:pStyle w:val="Heading5"/>
      </w:pPr>
      <w:bookmarkStart w:id="321" w:name="_Toc406079933"/>
      <w:bookmarkStart w:id="322" w:name="_Toc423529686"/>
      <w:r>
        <w:rPr>
          <w:rStyle w:val="CharSectno"/>
        </w:rPr>
        <w:t>104D</w:t>
      </w:r>
      <w:r>
        <w:t>.</w:t>
      </w:r>
      <w:r>
        <w:tab/>
        <w:t>Refusal or cancellation of supplier’s licence, Commission to report to Minister; appeals to Minister</w:t>
      </w:r>
      <w:bookmarkEnd w:id="321"/>
      <w:bookmarkEnd w:id="322"/>
    </w:p>
    <w:p>
      <w:pPr>
        <w:pStyle w:val="Subsection"/>
        <w:keepNext/>
        <w:outlineLvl w:val="0"/>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keepNext/>
        <w:keepLines/>
        <w:outlineLvl w:val="0"/>
      </w:pPr>
      <w:r>
        <w:tab/>
        <w:t>(2)</w:t>
      </w:r>
      <w:r>
        <w:tab/>
        <w:t>A person aggrieved by a determination of the Commission may submit an appeal to the Minister in accordance with section 62.</w:t>
      </w:r>
    </w:p>
    <w:p>
      <w:pPr>
        <w:pStyle w:val="Footnotesection"/>
        <w:ind w:left="890" w:hanging="890"/>
      </w:pPr>
      <w:r>
        <w:tab/>
        <w:t>[Section 104D inserted by No. 6 of 2000 s. 15.]</w:t>
      </w:r>
    </w:p>
    <w:p>
      <w:pPr>
        <w:pStyle w:val="Heading5"/>
      </w:pPr>
      <w:bookmarkStart w:id="323" w:name="_Toc406079934"/>
      <w:bookmarkStart w:id="324" w:name="_Toc423529687"/>
      <w:r>
        <w:rPr>
          <w:rStyle w:val="CharSectno"/>
        </w:rPr>
        <w:t>104E</w:t>
      </w:r>
      <w:r>
        <w:t>.</w:t>
      </w:r>
      <w:r>
        <w:tab/>
        <w:t>Suppliers to give Commission tickets if licence cancelled etc.</w:t>
      </w:r>
      <w:bookmarkEnd w:id="323"/>
      <w:bookmarkEnd w:id="324"/>
    </w:p>
    <w:p>
      <w:pPr>
        <w:pStyle w:val="Subsection"/>
      </w:pPr>
      <w:r>
        <w:tab/>
        <w:t>(1)</w:t>
      </w:r>
      <w:r>
        <w:tab/>
        <w:t>Where —</w:t>
      </w:r>
    </w:p>
    <w:p>
      <w:pPr>
        <w:pStyle w:val="Indenta"/>
        <w:spacing w:before="60"/>
      </w:pPr>
      <w:r>
        <w:tab/>
        <w:t>(a)</w:t>
      </w:r>
      <w:r>
        <w:tab/>
        <w:t>under —</w:t>
      </w:r>
    </w:p>
    <w:p>
      <w:pPr>
        <w:pStyle w:val="Indenti"/>
        <w:spacing w:before="60"/>
      </w:pPr>
      <w:r>
        <w:tab/>
        <w:t>(i)</w:t>
      </w:r>
      <w:r>
        <w:tab/>
        <w:t>section 104C, the licence of a person is cancelled; or</w:t>
      </w:r>
    </w:p>
    <w:p>
      <w:pPr>
        <w:pStyle w:val="Indenti"/>
        <w:spacing w:before="60"/>
      </w:pPr>
      <w:r>
        <w:tab/>
        <w:t>(ii)</w:t>
      </w:r>
      <w:r>
        <w:tab/>
        <w:t>section 104B, a further licence for a person is refused;</w:t>
      </w:r>
    </w:p>
    <w:p>
      <w:pPr>
        <w:pStyle w:val="Indenta"/>
        <w:spacing w:before="60"/>
      </w:pPr>
      <w:r>
        <w:tab/>
      </w:r>
      <w:r>
        <w:tab/>
        <w:t>and</w:t>
      </w:r>
    </w:p>
    <w:p>
      <w:pPr>
        <w:pStyle w:val="Indenta"/>
        <w:spacing w:before="60"/>
      </w:pPr>
      <w:r>
        <w:tab/>
        <w:t>(b)</w:t>
      </w:r>
      <w:r>
        <w:tab/>
        <w:t>the person has not submitted an appeal against the cancellation or refusal; and</w:t>
      </w:r>
    </w:p>
    <w:p>
      <w:pPr>
        <w:pStyle w:val="Indenta"/>
        <w:spacing w:before="60"/>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spacing w:before="100"/>
      </w:pPr>
      <w:r>
        <w:tab/>
        <w:t>Penalty: $5 000.</w:t>
      </w:r>
    </w:p>
    <w:p>
      <w:pPr>
        <w:pStyle w:val="Subsection"/>
        <w:spacing w:before="180"/>
      </w:pPr>
      <w:r>
        <w:tab/>
        <w:t>(2)</w:t>
      </w:r>
      <w:r>
        <w:tab/>
        <w:t>Where —</w:t>
      </w:r>
    </w:p>
    <w:p>
      <w:pPr>
        <w:pStyle w:val="Indenta"/>
        <w:spacing w:before="60"/>
      </w:pPr>
      <w:r>
        <w:tab/>
        <w:t>(a)</w:t>
      </w:r>
      <w:r>
        <w:tab/>
        <w:t>under —</w:t>
      </w:r>
    </w:p>
    <w:p>
      <w:pPr>
        <w:pStyle w:val="Indenti"/>
        <w:spacing w:before="60"/>
      </w:pPr>
      <w:r>
        <w:tab/>
        <w:t>(i)</w:t>
      </w:r>
      <w:r>
        <w:tab/>
        <w:t>section 104C, the licence of a person is cancelled; or</w:t>
      </w:r>
    </w:p>
    <w:p>
      <w:pPr>
        <w:pStyle w:val="Indenti"/>
        <w:spacing w:before="60"/>
      </w:pPr>
      <w:r>
        <w:tab/>
        <w:t>(ii)</w:t>
      </w:r>
      <w:r>
        <w:tab/>
        <w:t>section 104B, a further licence for a person is refused;</w:t>
      </w:r>
    </w:p>
    <w:p>
      <w:pPr>
        <w:pStyle w:val="Indenta"/>
        <w:spacing w:before="60"/>
      </w:pPr>
      <w:r>
        <w:tab/>
      </w:r>
      <w:r>
        <w:tab/>
        <w:t>and</w:t>
      </w:r>
    </w:p>
    <w:p>
      <w:pPr>
        <w:pStyle w:val="Indenta"/>
        <w:spacing w:before="60"/>
      </w:pPr>
      <w:r>
        <w:tab/>
        <w:t>(b)</w:t>
      </w:r>
      <w:r>
        <w:tab/>
        <w:t>the person has appealed against the cancellation or refusal; and</w:t>
      </w:r>
    </w:p>
    <w:p>
      <w:pPr>
        <w:pStyle w:val="Indenta"/>
      </w:pPr>
      <w:r>
        <w:tab/>
        <w:t>(c)</w:t>
      </w:r>
      <w:r>
        <w:tab/>
        <w:t>the appeal has been dealt with by the Minister; and</w:t>
      </w:r>
    </w:p>
    <w:p>
      <w:pPr>
        <w:pStyle w:val="Indenta"/>
        <w:keepLines/>
      </w:pPr>
      <w:r>
        <w:tab/>
        <w:t>(d)</w:t>
      </w:r>
      <w:r>
        <w:tab/>
        <w:t>the Minister has confirmed the cancellation of the licence or confirmed the refusal to issue a further licence,</w:t>
      </w:r>
    </w:p>
    <w:p>
      <w:pPr>
        <w:pStyle w:val="Subsection"/>
        <w:keepLines/>
        <w:spacing w:before="180"/>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keepLines/>
      </w:pPr>
      <w:r>
        <w:tab/>
        <w:t>Penalty: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$5 000.</w:t>
      </w:r>
    </w:p>
    <w:p>
      <w:pPr>
        <w:pStyle w:val="Footnotesection"/>
        <w:ind w:left="890" w:hanging="890"/>
      </w:pPr>
      <w:r>
        <w:tab/>
        <w:t>[Section 104E inserted by No. 6 of 2000 s. 15.]</w:t>
      </w:r>
    </w:p>
    <w:p>
      <w:pPr>
        <w:pStyle w:val="Heading5"/>
      </w:pPr>
      <w:bookmarkStart w:id="325" w:name="_Toc406079935"/>
      <w:bookmarkStart w:id="326" w:name="_Toc423529688"/>
      <w:r>
        <w:rPr>
          <w:rStyle w:val="CharSectno"/>
        </w:rPr>
        <w:t>104F</w:t>
      </w:r>
      <w:r>
        <w:t>.</w:t>
      </w:r>
      <w:r>
        <w:tab/>
        <w:t>Licensed suppliers to lodge returns and pay continuing lotteries levy</w:t>
      </w:r>
      <w:bookmarkEnd w:id="325"/>
      <w:bookmarkEnd w:id="326"/>
    </w:p>
    <w:p>
      <w:pPr>
        <w:pStyle w:val="Subsection"/>
        <w:keepNext/>
        <w:keepLines/>
      </w:pPr>
      <w:r>
        <w:tab/>
        <w:t>(1)</w:t>
      </w:r>
      <w:r>
        <w:tab/>
        <w:t>A licensed supplier shall —</w:t>
      </w:r>
    </w:p>
    <w:p>
      <w:pPr>
        <w:pStyle w:val="Indenta"/>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$5 000.</w:t>
      </w:r>
    </w:p>
    <w:p>
      <w:pPr>
        <w:pStyle w:val="Subsection"/>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by No. 6 of 2000 s. 15.]</w:t>
      </w:r>
    </w:p>
    <w:p>
      <w:pPr>
        <w:pStyle w:val="Heading5"/>
      </w:pPr>
      <w:bookmarkStart w:id="327" w:name="_Toc406079936"/>
      <w:bookmarkStart w:id="328" w:name="_Toc423529689"/>
      <w:r>
        <w:rPr>
          <w:rStyle w:val="CharSectno"/>
        </w:rPr>
        <w:t>104G</w:t>
      </w:r>
      <w:r>
        <w:t>.</w:t>
      </w:r>
      <w:r>
        <w:tab/>
        <w:t>Continuing lotteries levy, application of</w:t>
      </w:r>
      <w:bookmarkEnd w:id="327"/>
      <w:bookmarkEnd w:id="328"/>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 xml:space="preserve">sixths) is to be credited to the </w:t>
      </w:r>
      <w:r>
        <w:rPr>
          <w:snapToGrid w:val="0"/>
        </w:rPr>
        <w:t>Consolidated Account</w:t>
      </w:r>
      <w:r>
        <w:t>;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 xml:space="preserve">thirteenths) is to be credited to the </w:t>
      </w:r>
      <w:r>
        <w:rPr>
          <w:snapToGrid w:val="0"/>
        </w:rPr>
        <w:t>Consolidated Account</w:t>
      </w:r>
      <w:r>
        <w:t>;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by No. 6 of 2000 s. 15; amended by No. 77 of 2006 s. 4.]</w:t>
      </w:r>
    </w:p>
    <w:p>
      <w:pPr>
        <w:pStyle w:val="Heading5"/>
        <w:spacing w:before="240"/>
      </w:pPr>
      <w:bookmarkStart w:id="329" w:name="_Toc406079937"/>
      <w:bookmarkStart w:id="330" w:name="_Toc423529690"/>
      <w:r>
        <w:rPr>
          <w:rStyle w:val="CharSectno"/>
        </w:rPr>
        <w:t>104H</w:t>
      </w:r>
      <w:r>
        <w:t>.</w:t>
      </w:r>
      <w:r>
        <w:tab/>
        <w:t>Exemption from levy</w:t>
      </w:r>
      <w:bookmarkEnd w:id="329"/>
      <w:bookmarkEnd w:id="330"/>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by No. 6 of 2000 s. 15.]</w:t>
      </w:r>
    </w:p>
    <w:p>
      <w:pPr>
        <w:pStyle w:val="Heading5"/>
        <w:spacing w:before="240"/>
      </w:pPr>
      <w:bookmarkStart w:id="331" w:name="_Toc406079938"/>
      <w:bookmarkStart w:id="332" w:name="_Toc423529691"/>
      <w:r>
        <w:rPr>
          <w:rStyle w:val="CharSectno"/>
        </w:rPr>
        <w:t>104I</w:t>
      </w:r>
      <w:r>
        <w:t>.</w:t>
      </w:r>
      <w:r>
        <w:tab/>
        <w:t>Refund of levy</w:t>
      </w:r>
      <w:bookmarkEnd w:id="331"/>
      <w:bookmarkEnd w:id="332"/>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by No. 6 of 2000 s. 15.]</w:t>
      </w:r>
    </w:p>
    <w:p>
      <w:pPr>
        <w:pStyle w:val="Heading5"/>
        <w:keepLines w:val="0"/>
        <w:spacing w:before="180"/>
      </w:pPr>
      <w:bookmarkStart w:id="333" w:name="_Toc406079939"/>
      <w:bookmarkStart w:id="334" w:name="_Toc423529692"/>
      <w:r>
        <w:rPr>
          <w:rStyle w:val="CharSectno"/>
        </w:rPr>
        <w:t>104J</w:t>
      </w:r>
      <w:r>
        <w:t>.</w:t>
      </w:r>
      <w:r>
        <w:tab/>
        <w:t>Tickets, protecting and accounting for; estimating levy for lost etc. tickets</w:t>
      </w:r>
      <w:bookmarkEnd w:id="333"/>
      <w:bookmarkEnd w:id="334"/>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 or</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keepNext/>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by No. 6 of 2000 s. 15.]</w:t>
      </w:r>
    </w:p>
    <w:p>
      <w:pPr>
        <w:pStyle w:val="Heading5"/>
      </w:pPr>
      <w:bookmarkStart w:id="335" w:name="_Toc406079940"/>
      <w:bookmarkStart w:id="336" w:name="_Toc423529693"/>
      <w:r>
        <w:rPr>
          <w:rStyle w:val="CharSectno"/>
        </w:rPr>
        <w:t>104K</w:t>
      </w:r>
      <w:r>
        <w:t>.</w:t>
      </w:r>
      <w:r>
        <w:tab/>
        <w:t>Tickets may be given to Commission for destruction</w:t>
      </w:r>
      <w:bookmarkEnd w:id="335"/>
      <w:bookmarkEnd w:id="336"/>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by No. 6 of 2000 s. 15.]</w:t>
      </w:r>
    </w:p>
    <w:p>
      <w:pPr>
        <w:pStyle w:val="Heading5"/>
      </w:pPr>
      <w:bookmarkStart w:id="337" w:name="_Toc406079941"/>
      <w:bookmarkStart w:id="338" w:name="_Toc423529694"/>
      <w:r>
        <w:rPr>
          <w:rStyle w:val="CharSectno"/>
        </w:rPr>
        <w:t>104L</w:t>
      </w:r>
      <w:r>
        <w:t>.</w:t>
      </w:r>
      <w:r>
        <w:tab/>
        <w:t>Offences by licensed suppliers</w:t>
      </w:r>
      <w:bookmarkEnd w:id="337"/>
      <w:bookmarkEnd w:id="338"/>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$5 000.</w:t>
      </w:r>
    </w:p>
    <w:p>
      <w:pPr>
        <w:pStyle w:val="Subsection"/>
        <w:keepNext/>
      </w:pPr>
      <w:r>
        <w:tab/>
        <w:t>(2)</w:t>
      </w:r>
      <w:r>
        <w:tab/>
        <w:t>A licensed supplier shall not supply tickets to any person within the State unless —</w:t>
      </w:r>
    </w:p>
    <w:p>
      <w:pPr>
        <w:pStyle w:val="Indenta"/>
      </w:pPr>
      <w:r>
        <w:tab/>
        <w:t>(a)</w:t>
      </w:r>
      <w:r>
        <w:tab/>
        <w:t>the licensed supplier supplies to that person all of the tickets in the batch; and</w:t>
      </w:r>
    </w:p>
    <w:p>
      <w:pPr>
        <w:pStyle w:val="Indenta"/>
      </w:pPr>
      <w:r>
        <w:tab/>
        <w:t>(b)</w:t>
      </w:r>
      <w:r>
        <w:tab/>
        <w:t>there is printed on each ticket —</w:t>
      </w:r>
    </w:p>
    <w:p>
      <w:pPr>
        <w:pStyle w:val="Indenti"/>
      </w:pPr>
      <w:r>
        <w:tab/>
        <w:t>(i)</w:t>
      </w:r>
      <w:r>
        <w:tab/>
        <w:t>the face value of the ticket; and</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$5 000.</w:t>
      </w:r>
    </w:p>
    <w:p>
      <w:pPr>
        <w:pStyle w:val="Subsection"/>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$5 000.</w:t>
      </w:r>
    </w:p>
    <w:p>
      <w:pPr>
        <w:pStyle w:val="Subsection"/>
      </w:pPr>
      <w:r>
        <w:tab/>
        <w:t>(4)</w:t>
      </w:r>
      <w:r>
        <w:tab/>
        <w:t>The Commission may, by notice in writing, revoke any approval given for the purposes of subsection (3).</w:t>
      </w:r>
    </w:p>
    <w:p>
      <w:pPr>
        <w:pStyle w:val="Footnotesection"/>
        <w:spacing w:before="100"/>
        <w:ind w:left="890" w:hanging="890"/>
      </w:pPr>
      <w:r>
        <w:tab/>
        <w:t>[Section 104L inserted by No. 6 of 2000 s. 15.]</w:t>
      </w:r>
    </w:p>
    <w:p>
      <w:pPr>
        <w:pStyle w:val="Heading5"/>
        <w:keepLines w:val="0"/>
      </w:pPr>
      <w:bookmarkStart w:id="339" w:name="_Toc406079942"/>
      <w:bookmarkStart w:id="340" w:name="_Toc423529695"/>
      <w:r>
        <w:rPr>
          <w:rStyle w:val="CharSectno"/>
        </w:rPr>
        <w:t>104M</w:t>
      </w:r>
      <w:r>
        <w:t>.</w:t>
      </w:r>
      <w:r>
        <w:tab/>
        <w:t>Offences involving continuing lottery tickets</w:t>
      </w:r>
      <w:bookmarkEnd w:id="339"/>
      <w:bookmarkEnd w:id="340"/>
    </w:p>
    <w:p>
      <w:pPr>
        <w:pStyle w:val="Subsection"/>
        <w:keepNext/>
      </w:pPr>
      <w:r>
        <w:tab/>
        <w:t>(1)</w:t>
      </w:r>
      <w:r>
        <w:tab/>
        <w:t>A person who is not a licensed supplier shall not —</w:t>
      </w:r>
    </w:p>
    <w:p>
      <w:pPr>
        <w:pStyle w:val="Indenta"/>
        <w:spacing w:before="60"/>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pPr>
      <w:r>
        <w:tab/>
        <w:t>Penalty: $5 000.</w:t>
      </w:r>
    </w:p>
    <w:p>
      <w:pPr>
        <w:pStyle w:val="Footnotesection"/>
      </w:pPr>
      <w:r>
        <w:tab/>
        <w:t>[Section 104M inserted by No. 6 of 2000 s. 15.]</w:t>
      </w:r>
    </w:p>
    <w:p>
      <w:pPr>
        <w:pStyle w:val="Heading5"/>
        <w:rPr>
          <w:snapToGrid w:val="0"/>
        </w:rPr>
      </w:pPr>
      <w:bookmarkStart w:id="341" w:name="_Toc406079943"/>
      <w:bookmarkStart w:id="342" w:name="_Toc423529696"/>
      <w:r>
        <w:rPr>
          <w:rStyle w:val="CharSectno"/>
        </w:rPr>
        <w:t>105</w:t>
      </w:r>
      <w:r>
        <w:rPr>
          <w:snapToGrid w:val="0"/>
        </w:rPr>
        <w:t>.</w:t>
      </w:r>
      <w:r>
        <w:rPr>
          <w:snapToGrid w:val="0"/>
        </w:rPr>
        <w:tab/>
        <w:t>Continuing lotteries, use of vending machines to sell tickets for</w:t>
      </w:r>
      <w:bookmarkEnd w:id="341"/>
      <w:bookmarkEnd w:id="342"/>
    </w:p>
    <w:p>
      <w:pPr>
        <w:pStyle w:val="Subsection"/>
        <w:spacing w:before="120"/>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spacing w:before="120"/>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by No. 24 of 1998 s. 64.]</w:t>
      </w:r>
    </w:p>
    <w:p>
      <w:pPr>
        <w:pStyle w:val="Heading5"/>
        <w:spacing w:before="180"/>
        <w:rPr>
          <w:snapToGrid w:val="0"/>
        </w:rPr>
      </w:pPr>
      <w:bookmarkStart w:id="343" w:name="_Toc406079944"/>
      <w:bookmarkStart w:id="344" w:name="_Toc423529697"/>
      <w:r>
        <w:rPr>
          <w:rStyle w:val="CharSectno"/>
        </w:rPr>
        <w:t>106</w:t>
      </w:r>
      <w:r>
        <w:rPr>
          <w:snapToGrid w:val="0"/>
        </w:rPr>
        <w:t>.</w:t>
      </w:r>
      <w:r>
        <w:rPr>
          <w:snapToGrid w:val="0"/>
        </w:rPr>
        <w:tab/>
        <w:t>Offences involving lotteries</w:t>
      </w:r>
      <w:bookmarkEnd w:id="343"/>
      <w:bookmarkEnd w:id="344"/>
    </w:p>
    <w:p>
      <w:pPr>
        <w:pStyle w:val="Subsection"/>
        <w:spacing w:before="12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(other than subsection (1) of that section) applies for the purposes of subsection (1)(a)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w:t>
      </w:r>
    </w:p>
    <w:p>
      <w:pPr>
        <w:pStyle w:val="Indenta"/>
        <w:spacing w:before="60"/>
        <w:rPr>
          <w:snapToGrid w:val="0"/>
        </w:rPr>
      </w:pPr>
      <w:r>
        <w:rPr>
          <w:snapToGrid w:val="0"/>
        </w:rPr>
        <w:tab/>
        <w:t>(a)</w:t>
      </w:r>
      <w:r>
        <w:rPr>
          <w:snapToGrid w:val="0"/>
        </w:rPr>
        <w:tab/>
        <w:t>prints any tickets for use in the lottery; or</w:t>
      </w:r>
    </w:p>
    <w:p>
      <w:pPr>
        <w:pStyle w:val="Indenta"/>
        <w:spacing w:before="60"/>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 or</w:t>
      </w:r>
    </w:p>
    <w:p>
      <w:pPr>
        <w:pStyle w:val="Indenta"/>
        <w:spacing w:before="60"/>
        <w:rPr>
          <w:snapToGrid w:val="0"/>
        </w:rPr>
      </w:pPr>
      <w:r>
        <w:rPr>
          <w:snapToGrid w:val="0"/>
        </w:rPr>
        <w:tab/>
        <w:t>(c)</w:t>
      </w:r>
      <w:r>
        <w:rPr>
          <w:snapToGrid w:val="0"/>
        </w:rPr>
        <w:tab/>
        <w:t>prints, publishes or distributes, or has in his possession for the purpose of publication or distribution —</w:t>
      </w:r>
    </w:p>
    <w:p>
      <w:pPr>
        <w:pStyle w:val="Indenti"/>
        <w:spacing w:before="60"/>
        <w:rPr>
          <w:snapToGrid w:val="0"/>
        </w:rPr>
      </w:pPr>
      <w:r>
        <w:rPr>
          <w:snapToGrid w:val="0"/>
        </w:rPr>
        <w:tab/>
        <w:t>(i)</w:t>
      </w:r>
      <w:r>
        <w:rPr>
          <w:snapToGrid w:val="0"/>
        </w:rPr>
        <w:tab/>
        <w:t>any advertisement of the lottery; or</w:t>
      </w:r>
    </w:p>
    <w:p>
      <w:pPr>
        <w:pStyle w:val="Indenti"/>
        <w:spacing w:before="60"/>
        <w:rPr>
          <w:snapToGrid w:val="0"/>
        </w:rPr>
      </w:pPr>
      <w:r>
        <w:rPr>
          <w:snapToGrid w:val="0"/>
        </w:rPr>
        <w:tab/>
        <w:t>(ii)</w:t>
      </w:r>
      <w:r>
        <w:rPr>
          <w:snapToGrid w:val="0"/>
        </w:rPr>
        <w:tab/>
        <w:t>any list, whether complete or not, of prize winners or winning tickets in the lottery; or</w:t>
      </w:r>
    </w:p>
    <w:p>
      <w:pPr>
        <w:pStyle w:val="Indenti"/>
        <w:spacing w:before="60"/>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brings, or invites any person to send, into the State for the purpose of sale or distribution any ticket in, or advertisement of, the lottery; or</w:t>
      </w:r>
    </w:p>
    <w:p>
      <w:pPr>
        <w:pStyle w:val="Indenta"/>
        <w:spacing w:before="60"/>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 or</w:t>
      </w:r>
    </w:p>
    <w:p>
      <w:pPr>
        <w:pStyle w:val="Indenta"/>
        <w:spacing w:before="60"/>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spacing w:before="60"/>
        <w:rPr>
          <w:snapToGrid w:val="0"/>
        </w:rPr>
      </w:pPr>
      <w:r>
        <w:rPr>
          <w:snapToGrid w:val="0"/>
        </w:rPr>
        <w:tab/>
        <w:t>(g)</w:t>
      </w:r>
      <w:r>
        <w:rPr>
          <w:snapToGrid w:val="0"/>
        </w:rPr>
        <w:tab/>
        <w:t>receives money, any valuable thing, or any goods for the purposes of the lottery,</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spacing w:before="140"/>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spacing w:before="100"/>
        <w:ind w:left="890" w:hanging="890"/>
      </w:pPr>
      <w:r>
        <w:tab/>
        <w:t>[Section 106 amended by No. 24 of 1998 s. 65.]</w:t>
      </w:r>
    </w:p>
    <w:p>
      <w:pPr>
        <w:pStyle w:val="Heading5"/>
        <w:rPr>
          <w:snapToGrid w:val="0"/>
        </w:rPr>
      </w:pPr>
      <w:bookmarkStart w:id="345" w:name="_Toc406079945"/>
      <w:bookmarkStart w:id="346" w:name="_Toc423529698"/>
      <w:r>
        <w:rPr>
          <w:rStyle w:val="CharSectno"/>
        </w:rPr>
        <w:t>107</w:t>
      </w:r>
      <w:r>
        <w:rPr>
          <w:snapToGrid w:val="0"/>
        </w:rPr>
        <w:t>.</w:t>
      </w:r>
      <w:r>
        <w:rPr>
          <w:snapToGrid w:val="0"/>
        </w:rPr>
        <w:tab/>
        <w:t>Amusements with prizes, which are permitted</w:t>
      </w:r>
      <w:bookmarkEnd w:id="345"/>
      <w:bookmarkEnd w:id="346"/>
    </w:p>
    <w:p>
      <w:pPr>
        <w:pStyle w:val="Subsection"/>
        <w:rPr>
          <w:snapToGrid w:val="0"/>
        </w:rPr>
      </w:pPr>
      <w:r>
        <w:rPr>
          <w:snapToGrid w:val="0"/>
        </w:rPr>
        <w:tab/>
        <w:t>(1)</w:t>
      </w:r>
      <w:r>
        <w:rPr>
          <w:snapToGrid w:val="0"/>
        </w:rPr>
        <w:tab/>
        <w:t>Where any amusement with prizes which constitutes gaming or a lottery or both is provided in relation to or in connection with any entertainment or sporting event or for any charitable or social cause, and it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 and</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 and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r>
        <w:tab/>
        <w:t>[Section 107 amended by No. 35 of 2003 s. 159 and 167.]</w:t>
      </w:r>
    </w:p>
    <w:p>
      <w:pPr>
        <w:pStyle w:val="Heading5"/>
        <w:rPr>
          <w:snapToGrid w:val="0"/>
        </w:rPr>
      </w:pPr>
      <w:bookmarkStart w:id="347" w:name="_Toc406079946"/>
      <w:bookmarkStart w:id="348" w:name="_Toc423529699"/>
      <w:r>
        <w:rPr>
          <w:rStyle w:val="CharSectno"/>
        </w:rPr>
        <w:t>108</w:t>
      </w:r>
      <w:r>
        <w:rPr>
          <w:snapToGrid w:val="0"/>
        </w:rPr>
        <w:t>.</w:t>
      </w:r>
      <w:r>
        <w:rPr>
          <w:snapToGrid w:val="0"/>
        </w:rPr>
        <w:tab/>
        <w:t>Some fund raising activities deemed permitted amusement with prizes</w:t>
      </w:r>
      <w:bookmarkEnd w:id="347"/>
      <w:bookmarkEnd w:id="348"/>
    </w:p>
    <w:p>
      <w:pPr>
        <w:pStyle w:val="Subsection"/>
        <w:keepNext/>
        <w:keepLines/>
        <w:rPr>
          <w:snapToGrid w:val="0"/>
        </w:rPr>
      </w:pPr>
      <w:r>
        <w:rPr>
          <w:snapToGrid w:val="0"/>
        </w:rPr>
        <w:tab/>
        <w:t>(1)</w:t>
      </w:r>
      <w:r>
        <w:rPr>
          <w:snapToGrid w:val="0"/>
        </w:rPr>
        <w:tab/>
        <w:t>The conduct of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 or</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t>Penalty: $2 000.</w:t>
      </w:r>
    </w:p>
    <w:p>
      <w:pPr>
        <w:pStyle w:val="Footnotesection"/>
      </w:pPr>
      <w:r>
        <w:tab/>
        <w:t>[Section 108 amended by No. 24 of 1998 s. 66; No. 35 of 2003 s. 160 and 166.]</w:t>
      </w:r>
    </w:p>
    <w:p>
      <w:pPr>
        <w:pStyle w:val="Heading5"/>
        <w:rPr>
          <w:snapToGrid w:val="0"/>
        </w:rPr>
      </w:pPr>
      <w:bookmarkStart w:id="349" w:name="_Toc406079947"/>
      <w:bookmarkStart w:id="350" w:name="_Toc423529700"/>
      <w:r>
        <w:rPr>
          <w:rStyle w:val="CharSectno"/>
        </w:rPr>
        <w:t>109</w:t>
      </w:r>
      <w:r>
        <w:rPr>
          <w:snapToGrid w:val="0"/>
        </w:rPr>
        <w:t>.</w:t>
      </w:r>
      <w:r>
        <w:rPr>
          <w:snapToGrid w:val="0"/>
        </w:rPr>
        <w:tab/>
        <w:t>Regulations for this Division</w:t>
      </w:r>
      <w:bookmarkEnd w:id="349"/>
      <w:bookmarkEnd w:id="350"/>
    </w:p>
    <w:p>
      <w:pPr>
        <w:pStyle w:val="Subsection"/>
        <w:rPr>
          <w:snapToGrid w:val="0"/>
        </w:rPr>
      </w:pPr>
      <w:r>
        <w:rPr>
          <w:snapToGrid w:val="0"/>
        </w:rPr>
        <w:tab/>
      </w:r>
      <w:r>
        <w:rPr>
          <w:snapToGrid w:val="0"/>
        </w:rPr>
        <w:tab/>
        <w:t>Regulations made for the purposes of this Division may make provision —</w:t>
      </w:r>
    </w:p>
    <w:p>
      <w:pPr>
        <w:pStyle w:val="Indenta"/>
        <w:rPr>
          <w:snapToGrid w:val="0"/>
        </w:rPr>
      </w:pPr>
      <w:r>
        <w:rPr>
          <w:snapToGrid w:val="0"/>
        </w:rPr>
        <w:tab/>
        <w:t>(a)</w:t>
      </w:r>
      <w:r>
        <w:rPr>
          <w:snapToGrid w:val="0"/>
        </w:rPr>
        <w:tab/>
        <w:t>as to the requirements for the keeping of accounts and the furnishings of reports by persons conducting lotteries; and</w:t>
      </w:r>
    </w:p>
    <w:p>
      <w:pPr>
        <w:pStyle w:val="Indenta"/>
        <w:rPr>
          <w:snapToGrid w:val="0"/>
        </w:rPr>
      </w:pPr>
      <w:r>
        <w:rPr>
          <w:snapToGrid w:val="0"/>
        </w:rPr>
        <w:tab/>
        <w:t>(aa)</w:t>
      </w:r>
      <w:r>
        <w:rPr>
          <w:snapToGrid w:val="0"/>
        </w:rPr>
        <w:tab/>
        <w:t>in respect of the records to be maintained by licensed suppliers and the manner in which those records are to be kept; and</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 and</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 and</w:t>
      </w:r>
    </w:p>
    <w:p>
      <w:pPr>
        <w:pStyle w:val="Indenta"/>
        <w:rPr>
          <w:snapToGrid w:val="0"/>
        </w:rPr>
      </w:pPr>
      <w:r>
        <w:rPr>
          <w:snapToGrid w:val="0"/>
        </w:rPr>
        <w:tab/>
        <w:t>(d)</w:t>
      </w:r>
      <w:r>
        <w:rPr>
          <w:snapToGrid w:val="0"/>
        </w:rPr>
        <w:tab/>
        <w:t>as to the relation between the time of opening, closing, and drawing of a standard lottery; and</w:t>
      </w:r>
    </w:p>
    <w:p>
      <w:pPr>
        <w:pStyle w:val="Indenta"/>
        <w:spacing w:before="60"/>
        <w:rPr>
          <w:snapToGrid w:val="0"/>
        </w:rPr>
      </w:pPr>
      <w:r>
        <w:rPr>
          <w:snapToGrid w:val="0"/>
        </w:rPr>
        <w:tab/>
        <w:t>(e)</w:t>
      </w:r>
      <w:r>
        <w:rPr>
          <w:snapToGrid w:val="0"/>
        </w:rPr>
        <w:tab/>
        <w:t>as to the conduct of continuing lotteries; and</w:t>
      </w:r>
    </w:p>
    <w:p>
      <w:pPr>
        <w:pStyle w:val="Indenta"/>
        <w:spacing w:before="60"/>
        <w:rPr>
          <w:snapToGrid w:val="0"/>
        </w:rPr>
      </w:pPr>
      <w:r>
        <w:rPr>
          <w:snapToGrid w:val="0"/>
        </w:rPr>
        <w:tab/>
        <w:t>(f)</w:t>
      </w:r>
      <w:r>
        <w:rPr>
          <w:snapToGrid w:val="0"/>
        </w:rPr>
        <w:tab/>
        <w:t>as to the use of vending machines in relation to lotteries; and</w:t>
      </w:r>
    </w:p>
    <w:p>
      <w:pPr>
        <w:pStyle w:val="Indenta"/>
        <w:spacing w:before="60"/>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 and</w:t>
      </w:r>
    </w:p>
    <w:p>
      <w:pPr>
        <w:pStyle w:val="Indenta"/>
        <w:spacing w:before="60"/>
        <w:rPr>
          <w:snapToGrid w:val="0"/>
        </w:rPr>
      </w:pPr>
      <w:r>
        <w:rPr>
          <w:snapToGrid w:val="0"/>
        </w:rPr>
        <w:tab/>
        <w:t>(h)</w:t>
      </w:r>
      <w:r>
        <w:rPr>
          <w:snapToGrid w:val="0"/>
        </w:rPr>
        <w:tab/>
        <w:t>as to the printing of tickets and the security of printing arrangements or of tickets, and as to the information which must, or must not, appear on a ticket; and</w:t>
      </w:r>
    </w:p>
    <w:p>
      <w:pPr>
        <w:pStyle w:val="Indenta"/>
        <w:spacing w:before="60"/>
        <w:rPr>
          <w:snapToGrid w:val="0"/>
        </w:rPr>
      </w:pPr>
      <w:r>
        <w:rPr>
          <w:snapToGrid w:val="0"/>
        </w:rPr>
        <w:tab/>
        <w:t>(j)</w:t>
      </w:r>
      <w:r>
        <w:rPr>
          <w:snapToGrid w:val="0"/>
        </w:rPr>
        <w:tab/>
        <w:t>as to the matters in respect of which expenses may be incurred, or if incurred shall be taken not to be deductible for the purposes of this Division; and</w:t>
      </w:r>
    </w:p>
    <w:p>
      <w:pPr>
        <w:pStyle w:val="Indenta"/>
        <w:spacing w:before="60"/>
        <w:rPr>
          <w:snapToGrid w:val="0"/>
        </w:rPr>
      </w:pPr>
      <w:r>
        <w:rPr>
          <w:snapToGrid w:val="0"/>
        </w:rPr>
        <w:tab/>
        <w:t>(k)</w:t>
      </w:r>
      <w:r>
        <w:rPr>
          <w:snapToGrid w:val="0"/>
        </w:rPr>
        <w:tab/>
        <w:t>prescribing the conditions governing the employment of agents; and</w:t>
      </w:r>
    </w:p>
    <w:p>
      <w:pPr>
        <w:pStyle w:val="Indenta"/>
        <w:spacing w:before="60"/>
        <w:rPr>
          <w:snapToGrid w:val="0"/>
        </w:rPr>
      </w:pPr>
      <w:r>
        <w:rPr>
          <w:snapToGrid w:val="0"/>
        </w:rPr>
        <w:tab/>
        <w:t>(l)</w:t>
      </w:r>
      <w:r>
        <w:rPr>
          <w:snapToGrid w:val="0"/>
        </w:rPr>
        <w:tab/>
        <w:t>the use of postal services in connection with activities to which this Division applies; and</w:t>
      </w:r>
    </w:p>
    <w:p>
      <w:pPr>
        <w:pStyle w:val="Indenta"/>
        <w:spacing w:before="60"/>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ind w:left="890" w:hanging="890"/>
      </w:pPr>
      <w:r>
        <w:tab/>
        <w:t>[Section 109 amended by No. 24 of 1998 s. 67; No. 6 of 2000 s. 16.]</w:t>
      </w:r>
    </w:p>
    <w:p>
      <w:pPr>
        <w:pStyle w:val="Heading3"/>
        <w:rPr>
          <w:snapToGrid w:val="0"/>
        </w:rPr>
      </w:pPr>
      <w:bookmarkStart w:id="351" w:name="_Toc402969475"/>
      <w:bookmarkStart w:id="352" w:name="_Toc406075284"/>
      <w:bookmarkStart w:id="353" w:name="_Toc406075725"/>
      <w:bookmarkStart w:id="354" w:name="_Toc406079948"/>
      <w:bookmarkStart w:id="355" w:name="_Toc418677768"/>
      <w:bookmarkStart w:id="356" w:name="_Toc418677920"/>
      <w:bookmarkStart w:id="357" w:name="_Toc423529701"/>
      <w:r>
        <w:rPr>
          <w:rStyle w:val="CharDivNo"/>
        </w:rPr>
        <w:t>Division 8</w:t>
      </w:r>
      <w:r>
        <w:rPr>
          <w:snapToGrid w:val="0"/>
        </w:rPr>
        <w:t> — </w:t>
      </w:r>
      <w:r>
        <w:rPr>
          <w:rStyle w:val="CharDivText"/>
        </w:rPr>
        <w:t>Unclaimed winnings</w:t>
      </w:r>
      <w:bookmarkEnd w:id="351"/>
      <w:bookmarkEnd w:id="352"/>
      <w:bookmarkEnd w:id="353"/>
      <w:bookmarkEnd w:id="354"/>
      <w:bookmarkEnd w:id="355"/>
      <w:bookmarkEnd w:id="356"/>
      <w:bookmarkEnd w:id="357"/>
    </w:p>
    <w:p>
      <w:pPr>
        <w:pStyle w:val="Footnoteheading"/>
        <w:tabs>
          <w:tab w:val="left" w:pos="910"/>
        </w:tabs>
      </w:pPr>
      <w:r>
        <w:tab/>
        <w:t>[Heading inserted by No. 24 of 1998 s. 68(1).]</w:t>
      </w:r>
    </w:p>
    <w:p>
      <w:pPr>
        <w:pStyle w:val="Heading5"/>
      </w:pPr>
      <w:bookmarkStart w:id="358" w:name="_Toc406079949"/>
      <w:bookmarkStart w:id="359" w:name="_Toc423529702"/>
      <w:r>
        <w:rPr>
          <w:rStyle w:val="CharSectno"/>
        </w:rPr>
        <w:t>109A</w:t>
      </w:r>
      <w:r>
        <w:t>.</w:t>
      </w:r>
      <w:r>
        <w:tab/>
        <w:t>Terms used</w:t>
      </w:r>
      <w:bookmarkEnd w:id="358"/>
      <w:bookmarkEnd w:id="359"/>
    </w:p>
    <w:p>
      <w:pPr>
        <w:pStyle w:val="Subsection"/>
      </w:pPr>
      <w:r>
        <w:tab/>
      </w:r>
      <w:r>
        <w:tab/>
        <w:t>In this Division —</w:t>
      </w:r>
    </w:p>
    <w:p>
      <w:pPr>
        <w:pStyle w:val="Defstart"/>
      </w:pPr>
      <w:r>
        <w:tab/>
      </w:r>
      <w:r>
        <w:rPr>
          <w:rStyle w:val="CharDefText"/>
        </w:rPr>
        <w:t>Trust</w:t>
      </w:r>
      <w:r>
        <w:t xml:space="preserve"> means the Gaming Community Trust established under section 109D;</w:t>
      </w:r>
    </w:p>
    <w:p>
      <w:pPr>
        <w:pStyle w:val="Defstart"/>
      </w:pPr>
      <w:r>
        <w:rPr>
          <w:b/>
        </w:rPr>
        <w:tab/>
      </w:r>
      <w:r>
        <w:rPr>
          <w:rStyle w:val="CharDefText"/>
        </w:rPr>
        <w:t>Trust Account</w:t>
      </w:r>
      <w:r>
        <w:t xml:space="preserve"> means the Gaming Community Trust Account referred to in section 109C;</w:t>
      </w:r>
    </w:p>
    <w:p>
      <w:pPr>
        <w:pStyle w:val="Defstart"/>
      </w:pPr>
      <w:r>
        <w:tab/>
      </w:r>
      <w:r>
        <w:rPr>
          <w:rStyle w:val="CharDefText"/>
        </w:rPr>
        <w:t>unclaimed winnings</w:t>
      </w:r>
      <w:r>
        <w:t xml:space="preserve"> includes any stake hazarded or bet placed that is repayable with the unclaimed winnings.</w:t>
      </w:r>
    </w:p>
    <w:p>
      <w:pPr>
        <w:pStyle w:val="Footnotesection"/>
      </w:pPr>
      <w:r>
        <w:tab/>
        <w:t>[Section 109A inserted by No. 24 of 1998 s. 68(1); amended by No. 77 of 2006 Sch. 1 cl. 71(3).]</w:t>
      </w:r>
    </w:p>
    <w:p>
      <w:pPr>
        <w:pStyle w:val="Heading5"/>
      </w:pPr>
      <w:bookmarkStart w:id="360" w:name="_Toc406079950"/>
      <w:bookmarkStart w:id="361" w:name="_Toc423529703"/>
      <w:r>
        <w:rPr>
          <w:rStyle w:val="CharSectno"/>
        </w:rPr>
        <w:t>109B</w:t>
      </w:r>
      <w:r>
        <w:t>.</w:t>
      </w:r>
      <w:r>
        <w:tab/>
        <w:t>Unclaimed winnings, Commission to be notified of etc.</w:t>
      </w:r>
      <w:bookmarkEnd w:id="360"/>
      <w:bookmarkEnd w:id="361"/>
    </w:p>
    <w:p>
      <w:pPr>
        <w:pStyle w:val="Subsection"/>
      </w:pPr>
      <w:r>
        <w:tab/>
        <w:t>(1)</w:t>
      </w:r>
      <w:r>
        <w:tab/>
        <w:t>If any winnings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rStyle w:val="CharDefText"/>
        </w:rPr>
        <w:t>unclaimed winnings</w:t>
      </w:r>
      <w:r>
        <w:t xml:space="preserve">), the permit holder, or the person responsible for the conduct of the gaming authorised by the permit or the game (the </w:t>
      </w:r>
      <w:r>
        <w:rPr>
          <w:rStyle w:val="CharDefText"/>
        </w:rPr>
        <w:t>responsible person</w:t>
      </w:r>
      <w:r>
        <w:t>), shall notify the Commission in writing of —</w:t>
      </w:r>
    </w:p>
    <w:p>
      <w:pPr>
        <w:pStyle w:val="Indenta"/>
      </w:pPr>
      <w:r>
        <w:tab/>
        <w:t>(c)</w:t>
      </w:r>
      <w:r>
        <w:tab/>
        <w:t>details of the unclaimed winnings; and</w:t>
      </w:r>
    </w:p>
    <w:p>
      <w:pPr>
        <w:pStyle w:val="Indenta"/>
      </w:pPr>
      <w:r>
        <w:tab/>
        <w:t>(d)</w:t>
      </w:r>
      <w:r>
        <w:tab/>
        <w:t xml:space="preserve">the name, and any known address, of the person entitled to be paid the unclaimed winnings (the </w:t>
      </w:r>
      <w:r>
        <w:rPr>
          <w:rStyle w:val="CharDefText"/>
        </w:rPr>
        <w:t>winner</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If, on the expiry of 2 months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the unclaimed winnings have not been claimed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spacing w:before="140"/>
      </w:pPr>
      <w:r>
        <w:tab/>
        <w:t>(4)</w:t>
      </w:r>
      <w:r>
        <w:tab/>
        <w:t>The Commission may give directions to the permit holder or the responsible person as to the disposal of any unclaimed winnings where —</w:t>
      </w:r>
    </w:p>
    <w:p>
      <w:pPr>
        <w:pStyle w:val="Indenta"/>
        <w:spacing w:before="60"/>
      </w:pPr>
      <w:r>
        <w:tab/>
        <w:t>(a)</w:t>
      </w:r>
      <w:r>
        <w:tab/>
        <w:t>the right of the winner to be paid the winnings has been extinguished under subsection (3); and</w:t>
      </w:r>
    </w:p>
    <w:p>
      <w:pPr>
        <w:pStyle w:val="Indenta"/>
        <w:keepNext/>
        <w:spacing w:before="60"/>
      </w:pPr>
      <w:r>
        <w:tab/>
        <w:t>(b)</w:t>
      </w:r>
      <w:r>
        <w:tab/>
        <w:t>the winnings are in a form other than money,</w:t>
      </w:r>
    </w:p>
    <w:p>
      <w:pPr>
        <w:pStyle w:val="Subsection"/>
        <w:spacing w:before="140"/>
      </w:pPr>
      <w:r>
        <w:tab/>
      </w:r>
      <w:r>
        <w:tab/>
        <w:t>and any proceeds of that disposal shall be taken to be unclaimed winnings to be dealt with under section 109C.</w:t>
      </w:r>
    </w:p>
    <w:p>
      <w:pPr>
        <w:pStyle w:val="Subsection"/>
        <w:spacing w:before="140"/>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spacing w:before="100"/>
        <w:ind w:left="890" w:hanging="890"/>
      </w:pPr>
      <w:r>
        <w:tab/>
        <w:t>[Section 109B inserted by No. 24 of 1998 s. 68(1); amended by No. 35 of 2003 s. 167.]</w:t>
      </w:r>
    </w:p>
    <w:p>
      <w:pPr>
        <w:pStyle w:val="Heading5"/>
        <w:spacing w:before="180"/>
      </w:pPr>
      <w:bookmarkStart w:id="362" w:name="_Toc406079951"/>
      <w:bookmarkStart w:id="363" w:name="_Toc423529704"/>
      <w:r>
        <w:rPr>
          <w:rStyle w:val="CharSectno"/>
        </w:rPr>
        <w:t>109C</w:t>
      </w:r>
      <w:r>
        <w:t>.</w:t>
      </w:r>
      <w:r>
        <w:tab/>
        <w:t>Gaming Community Trust Account</w:t>
      </w:r>
      <w:bookmarkEnd w:id="362"/>
      <w:bookmarkEnd w:id="363"/>
    </w:p>
    <w:p>
      <w:pPr>
        <w:pStyle w:val="Subsection"/>
        <w:spacing w:before="100"/>
        <w:rPr>
          <w:rFonts w:eastAsia="Arial Unicode MS"/>
        </w:rPr>
      </w:pPr>
      <w:r>
        <w:tab/>
        <w:t>(1)</w:t>
      </w:r>
      <w:r>
        <w:tab/>
        <w:t xml:space="preserve">An agency special purpose account called the Gaming Community Trust Account </w:t>
      </w:r>
      <w:r>
        <w:rPr>
          <w:bCs/>
        </w:rPr>
        <w:t xml:space="preserve">is established under section 16 </w:t>
      </w:r>
      <w:r>
        <w:t xml:space="preserve">of the </w:t>
      </w:r>
      <w:r>
        <w:rPr>
          <w:i/>
          <w:iCs/>
        </w:rPr>
        <w:t>Financial Management Act 2006</w:t>
      </w:r>
      <w:r>
        <w:t xml:space="preserve"> to which moneys </w:t>
      </w:r>
      <w:r>
        <w:rPr>
          <w:rFonts w:eastAsia="Arial Unicode MS"/>
        </w:rPr>
        <w:t>that are unclaimed winnings —</w:t>
      </w:r>
    </w:p>
    <w:p>
      <w:pPr>
        <w:pStyle w:val="Indenta"/>
        <w:spacing w:before="60"/>
        <w:rPr>
          <w:rFonts w:eastAsia="Arial Unicode MS"/>
        </w:rPr>
      </w:pPr>
      <w:r>
        <w:rPr>
          <w:rFonts w:eastAsia="Arial Unicode MS"/>
        </w:rPr>
        <w:tab/>
        <w:t>(a)</w:t>
      </w:r>
      <w:r>
        <w:rPr>
          <w:rFonts w:eastAsia="Arial Unicode MS"/>
        </w:rPr>
        <w:tab/>
        <w:t>to which section 109B(3) or (4) applies; or</w:t>
      </w:r>
    </w:p>
    <w:p>
      <w:pPr>
        <w:pStyle w:val="Indenta"/>
        <w:spacing w:before="60"/>
        <w:rPr>
          <w:rFonts w:eastAsia="Arial Unicode MS"/>
        </w:rPr>
      </w:pPr>
      <w:r>
        <w:rPr>
          <w:rFonts w:eastAsia="Arial Unicode MS"/>
        </w:rPr>
        <w:tab/>
        <w:t>(b)</w:t>
      </w:r>
      <w:r>
        <w:rPr>
          <w:rFonts w:eastAsia="Arial Unicode MS"/>
        </w:rPr>
        <w:tab/>
        <w:t xml:space="preserve">to which section 15(3) or (4) of the </w:t>
      </w:r>
      <w:r>
        <w:rPr>
          <w:rFonts w:eastAsia="Arial Unicode MS"/>
          <w:i/>
        </w:rPr>
        <w:t>Casino Control Act 1984</w:t>
      </w:r>
      <w:r>
        <w:rPr>
          <w:rFonts w:eastAsia="Arial Unicode MS"/>
        </w:rPr>
        <w:t xml:space="preserve"> applies,</w:t>
      </w:r>
    </w:p>
    <w:p>
      <w:pPr>
        <w:pStyle w:val="Subsection"/>
        <w:spacing w:before="120"/>
        <w:rPr>
          <w:rFonts w:eastAsia="Arial Unicode MS"/>
        </w:rPr>
      </w:pPr>
      <w:r>
        <w:rPr>
          <w:rFonts w:eastAsia="Arial Unicode MS"/>
        </w:rPr>
        <w:tab/>
      </w:r>
      <w:r>
        <w:rPr>
          <w:rFonts w:eastAsia="Arial Unicode MS"/>
        </w:rPr>
        <w:tab/>
        <w:t>are to be credited.</w:t>
      </w:r>
    </w:p>
    <w:p>
      <w:pPr>
        <w:pStyle w:val="Subsection"/>
        <w:spacing w:before="100"/>
      </w:pPr>
      <w:r>
        <w:tab/>
        <w:t>(2)</w:t>
      </w:r>
      <w:r>
        <w:tab/>
        <w:t>The Trust Account shall be applied to purposes recommended by the Trust and approved by the Minister for the benefit of the community.</w:t>
      </w:r>
    </w:p>
    <w:p>
      <w:pPr>
        <w:pStyle w:val="Subsection"/>
        <w:spacing w:before="100"/>
      </w:pPr>
      <w:r>
        <w:tab/>
        <w:t>(3)</w:t>
      </w:r>
      <w:r>
        <w:tab/>
        <w:t>The operation of the Trust Account shall be regarded as —</w:t>
      </w:r>
    </w:p>
    <w:p>
      <w:pPr>
        <w:pStyle w:val="Indenta"/>
        <w:spacing w:before="60"/>
      </w:pPr>
      <w:r>
        <w:tab/>
        <w:t>(a)</w:t>
      </w:r>
      <w:r>
        <w:tab/>
        <w:t xml:space="preserve">a service under the control of the Commission for the purposes of section 52 of the </w:t>
      </w:r>
      <w:r>
        <w:rPr>
          <w:i/>
        </w:rPr>
        <w:t>Financial Management Act 2006</w:t>
      </w:r>
      <w:r>
        <w:rPr>
          <w:iCs/>
        </w:rPr>
        <w:t xml:space="preserve">; </w:t>
      </w:r>
      <w:r>
        <w:t>and</w:t>
      </w:r>
    </w:p>
    <w:p>
      <w:pPr>
        <w:pStyle w:val="Indenta"/>
        <w:keepNext/>
      </w:pPr>
      <w:r>
        <w:tab/>
        <w:t>(b)</w:t>
      </w:r>
      <w:r>
        <w:tab/>
        <w:t>part of the operations of the Commission for the purposes of Part 5 of that Act.</w:t>
      </w:r>
    </w:p>
    <w:p>
      <w:pPr>
        <w:pStyle w:val="Footnotesection"/>
      </w:pPr>
      <w:r>
        <w:tab/>
        <w:t>[Section 109C inserted by No. 24 of 1998 s. 68(1); amended by No. 77 of 2006 Sch. 1 cl. 71(4)-(6).]</w:t>
      </w:r>
    </w:p>
    <w:p>
      <w:pPr>
        <w:pStyle w:val="Heading5"/>
      </w:pPr>
      <w:bookmarkStart w:id="364" w:name="_Toc406079952"/>
      <w:bookmarkStart w:id="365" w:name="_Toc423529705"/>
      <w:r>
        <w:rPr>
          <w:rStyle w:val="CharSectno"/>
        </w:rPr>
        <w:t>109D</w:t>
      </w:r>
      <w:r>
        <w:t>.</w:t>
      </w:r>
      <w:r>
        <w:tab/>
        <w:t>Gaming Community Trust</w:t>
      </w:r>
      <w:bookmarkEnd w:id="364"/>
      <w:bookmarkEnd w:id="365"/>
    </w:p>
    <w:p>
      <w:pPr>
        <w:pStyle w:val="Subsection"/>
        <w:spacing w:before="100"/>
      </w:pPr>
      <w:r>
        <w:tab/>
        <w:t>(1)</w:t>
      </w:r>
      <w:r>
        <w:tab/>
        <w:t>A body called the Gaming Community Trust is established.</w:t>
      </w:r>
    </w:p>
    <w:p>
      <w:pPr>
        <w:pStyle w:val="Subsection"/>
        <w:spacing w:before="100"/>
      </w:pPr>
      <w:r>
        <w:tab/>
        <w:t>(2)</w:t>
      </w:r>
      <w:r>
        <w:tab/>
        <w:t>The function of the Trust is to give advice and make recommendations to the Minister, on its own initiative or at the request of the Minister, on the application of moneys standing to the credit of the Trust Account for the benefit of the community.</w:t>
      </w:r>
    </w:p>
    <w:p>
      <w:pPr>
        <w:pStyle w:val="Subsection"/>
      </w:pPr>
      <w:r>
        <w:tab/>
        <w:t>(3)</w:t>
      </w:r>
      <w:r>
        <w:tab/>
        <w:t>The Trust shall consist of 5 members as follows —</w:t>
      </w:r>
    </w:p>
    <w:p>
      <w:pPr>
        <w:pStyle w:val="Indenta"/>
      </w:pPr>
      <w:r>
        <w:tab/>
        <w:t>(a)</w:t>
      </w:r>
      <w:r>
        <w:tab/>
        <w:t>the person holding or acting in the office of chairperson of the Commission, who shall be</w:t>
      </w:r>
      <w:r>
        <w:rPr>
          <w:iCs/>
        </w:rPr>
        <w:t xml:space="preserve"> ex officio </w:t>
      </w:r>
      <w:r>
        <w:t>chairman of the Trust; and</w:t>
      </w:r>
    </w:p>
    <w:p>
      <w:pPr>
        <w:pStyle w:val="Indenta"/>
      </w:pPr>
      <w:r>
        <w:tab/>
        <w:t>(b)</w:t>
      </w:r>
      <w:r>
        <w:tab/>
        <w:t>one person appointed by the Minister on the nomination of Burswood Nominees Pty Ltd;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The Minister may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Public Sector Commissioner.</w:t>
      </w:r>
    </w:p>
    <w:p>
      <w:pPr>
        <w:pStyle w:val="Subsection"/>
        <w:keepNext/>
      </w:pPr>
      <w:r>
        <w:tab/>
        <w:t>(9)</w:t>
      </w:r>
      <w:r>
        <w:tab/>
        <w:t>In this section —</w:t>
      </w:r>
    </w:p>
    <w:p>
      <w:pPr>
        <w:pStyle w:val="Defstart"/>
      </w:pPr>
      <w:r>
        <w:tab/>
      </w:r>
      <w:r>
        <w:rPr>
          <w:rStyle w:val="CharDefText"/>
        </w:rPr>
        <w:t>appointed member</w:t>
      </w:r>
      <w:r>
        <w:t xml:space="preserve"> means a member appointed by the Minister under subsection (3)(b) or (c).</w:t>
      </w:r>
    </w:p>
    <w:p>
      <w:pPr>
        <w:pStyle w:val="Footnotesection"/>
      </w:pPr>
      <w:r>
        <w:tab/>
        <w:t>[Section 109D inserted by No. 24 of 1998 s. 68(1); amended by No. 35 of 2003 s. 168; No. 77 of 2006 Sch. 1 cl. 71(7); No. 39 of 2010 s. 89.]</w:t>
      </w:r>
    </w:p>
    <w:p>
      <w:pPr>
        <w:pStyle w:val="Heading2"/>
      </w:pPr>
      <w:bookmarkStart w:id="366" w:name="_Toc402969480"/>
      <w:bookmarkStart w:id="367" w:name="_Toc406075289"/>
      <w:bookmarkStart w:id="368" w:name="_Toc406075730"/>
      <w:bookmarkStart w:id="369" w:name="_Toc406079953"/>
      <w:bookmarkStart w:id="370" w:name="_Toc418677773"/>
      <w:bookmarkStart w:id="371" w:name="_Toc418677925"/>
      <w:bookmarkStart w:id="372" w:name="_Toc423529706"/>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Supervision of RWWA</w:t>
      </w:r>
      <w:bookmarkEnd w:id="366"/>
      <w:bookmarkEnd w:id="367"/>
      <w:bookmarkEnd w:id="368"/>
      <w:bookmarkEnd w:id="369"/>
      <w:bookmarkEnd w:id="370"/>
      <w:bookmarkEnd w:id="371"/>
      <w:bookmarkEnd w:id="372"/>
    </w:p>
    <w:p>
      <w:pPr>
        <w:pStyle w:val="Footnoteheading"/>
        <w:tabs>
          <w:tab w:val="left" w:pos="910"/>
        </w:tabs>
      </w:pPr>
      <w:r>
        <w:tab/>
        <w:t>[Heading inserted by No. 35 of 2003 s. 161.]</w:t>
      </w:r>
    </w:p>
    <w:p>
      <w:pPr>
        <w:pStyle w:val="Heading5"/>
      </w:pPr>
      <w:bookmarkStart w:id="373" w:name="_Toc406079954"/>
      <w:bookmarkStart w:id="374" w:name="_Toc423529707"/>
      <w:r>
        <w:rPr>
          <w:rStyle w:val="CharSectno"/>
        </w:rPr>
        <w:t>109E</w:t>
      </w:r>
      <w:r>
        <w:t>.</w:t>
      </w:r>
      <w:r>
        <w:tab/>
        <w:t>Gambling operations of RWWA, meaning of</w:t>
      </w:r>
      <w:bookmarkEnd w:id="373"/>
      <w:bookmarkEnd w:id="374"/>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by No. 35 of 2003 s. 161.]</w:t>
      </w:r>
    </w:p>
    <w:p>
      <w:pPr>
        <w:pStyle w:val="Heading5"/>
      </w:pPr>
      <w:bookmarkStart w:id="375" w:name="_Toc406079955"/>
      <w:bookmarkStart w:id="376" w:name="_Toc423529708"/>
      <w:r>
        <w:rPr>
          <w:rStyle w:val="CharSectno"/>
        </w:rPr>
        <w:t>109F</w:t>
      </w:r>
      <w:r>
        <w:t>.</w:t>
      </w:r>
      <w:r>
        <w:tab/>
        <w:t>Supervision of RWWA by Commission etc.</w:t>
      </w:r>
      <w:bookmarkEnd w:id="375"/>
      <w:bookmarkEnd w:id="376"/>
    </w:p>
    <w:p>
      <w:pPr>
        <w:pStyle w:val="Subsection"/>
      </w:pPr>
      <w:r>
        <w:tab/>
        <w:t>(1)</w:t>
      </w:r>
      <w:r>
        <w:tab/>
        <w:t xml:space="preserve">Without limiting sections 20 to 20C of the </w:t>
      </w:r>
      <w:r>
        <w:rPr>
          <w:i/>
        </w:rPr>
        <w:t>Betting Control Act 1954</w:t>
      </w:r>
      <w:r>
        <w:t>, the Commission and an authorised officer have and may exercise in relation to —</w:t>
      </w:r>
    </w:p>
    <w:p>
      <w:pPr>
        <w:pStyle w:val="Indenta"/>
      </w:pPr>
      <w:r>
        <w:tab/>
        <w:t>(a)</w:t>
      </w:r>
      <w:r>
        <w:tab/>
        <w:t>RWWA, the directors of the board of RWWA, the employees, officers and agents of RWWA, and the premises and property of RWWA; and</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by No. 35 of 2003 s. 161.]</w:t>
      </w:r>
    </w:p>
    <w:p>
      <w:pPr>
        <w:pStyle w:val="Heading5"/>
      </w:pPr>
      <w:bookmarkStart w:id="377" w:name="_Toc406079956"/>
      <w:bookmarkStart w:id="378" w:name="_Toc423529709"/>
      <w:r>
        <w:rPr>
          <w:rStyle w:val="CharSectno"/>
        </w:rPr>
        <w:t>109G</w:t>
      </w:r>
      <w:r>
        <w:t>.</w:t>
      </w:r>
      <w:r>
        <w:tab/>
        <w:t>Directions to RWWA, Commission may give</w:t>
      </w:r>
      <w:bookmarkEnd w:id="377"/>
      <w:bookmarkEnd w:id="378"/>
    </w:p>
    <w:p>
      <w:pPr>
        <w:pStyle w:val="Subsection"/>
      </w:pPr>
      <w:r>
        <w:tab/>
        <w:t>(1)</w:t>
      </w:r>
      <w:r>
        <w:tab/>
        <w:t>The Commission may give directions to RWWA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by No. 35 of 2003 s. 161.]</w:t>
      </w:r>
    </w:p>
    <w:p>
      <w:pPr>
        <w:pStyle w:val="Heading5"/>
      </w:pPr>
      <w:bookmarkStart w:id="379" w:name="_Toc406079957"/>
      <w:bookmarkStart w:id="380" w:name="_Toc423529710"/>
      <w:r>
        <w:rPr>
          <w:rStyle w:val="CharSectno"/>
        </w:rPr>
        <w:t>109H</w:t>
      </w:r>
      <w:r>
        <w:t>.</w:t>
      </w:r>
      <w:r>
        <w:tab/>
        <w:t>RWWA must comply with directions</w:t>
      </w:r>
      <w:bookmarkEnd w:id="379"/>
      <w:bookmarkEnd w:id="380"/>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If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$5 000.</w:t>
      </w:r>
    </w:p>
    <w:p>
      <w:pPr>
        <w:pStyle w:val="Footnotesection"/>
      </w:pPr>
      <w:r>
        <w:tab/>
        <w:t>[Section 109H inserted by No. 35 of 2003 s. 161.]</w:t>
      </w:r>
    </w:p>
    <w:p>
      <w:pPr>
        <w:pStyle w:val="Heading5"/>
      </w:pPr>
      <w:bookmarkStart w:id="381" w:name="_Toc406079958"/>
      <w:bookmarkStart w:id="382" w:name="_Toc423529711"/>
      <w:r>
        <w:rPr>
          <w:rStyle w:val="CharSectno"/>
        </w:rPr>
        <w:t>109I</w:t>
      </w:r>
      <w:r>
        <w:t>.</w:t>
      </w:r>
      <w:r>
        <w:tab/>
        <w:t>Complaints about RWWA, Commission’s functions as to</w:t>
      </w:r>
      <w:bookmarkEnd w:id="381"/>
      <w:bookmarkEnd w:id="382"/>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by No. 35 of 2003 s. 161.]</w:t>
      </w:r>
    </w:p>
    <w:p>
      <w:pPr>
        <w:pStyle w:val="Heading5"/>
      </w:pPr>
      <w:bookmarkStart w:id="383" w:name="_Toc406079959"/>
      <w:bookmarkStart w:id="384" w:name="_Toc423529712"/>
      <w:r>
        <w:rPr>
          <w:rStyle w:val="CharSectno"/>
        </w:rPr>
        <w:t>109J</w:t>
      </w:r>
      <w:r>
        <w:t>.</w:t>
      </w:r>
      <w:r>
        <w:tab/>
        <w:t>Reports on and inquiries into RWWA</w:t>
      </w:r>
      <w:bookmarkEnd w:id="383"/>
      <w:bookmarkEnd w:id="384"/>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Related matters that may be made the subject of an inquiry include —</w:t>
      </w:r>
    </w:p>
    <w:p>
      <w:pPr>
        <w:pStyle w:val="Indenta"/>
      </w:pPr>
      <w:r>
        <w:tab/>
        <w:t>(a)</w:t>
      </w:r>
      <w:r>
        <w:tab/>
        <w:t>gambling operations of RWWA; and</w:t>
      </w:r>
    </w:p>
    <w:p>
      <w:pPr>
        <w:pStyle w:val="Indenta"/>
      </w:pPr>
      <w:r>
        <w:tab/>
        <w:t>(b)</w:t>
      </w:r>
      <w:r>
        <w:tab/>
        <w:t>RWWA’s compliance with the RWWA Act, this Act and other written laws; and</w:t>
      </w:r>
    </w:p>
    <w:p>
      <w:pPr>
        <w:pStyle w:val="Indenta"/>
      </w:pPr>
      <w:r>
        <w:tab/>
        <w:t>(c)</w:t>
      </w:r>
      <w:r>
        <w:tab/>
        <w:t>suspected corruption; and</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A direction given under subsection (2)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by No. 35 of 2003 s. 161.]</w:t>
      </w:r>
    </w:p>
    <w:p>
      <w:pPr>
        <w:pStyle w:val="Heading5"/>
      </w:pPr>
      <w:bookmarkStart w:id="385" w:name="_Toc406079960"/>
      <w:bookmarkStart w:id="386" w:name="_Toc423529713"/>
      <w:r>
        <w:rPr>
          <w:rStyle w:val="CharSectno"/>
        </w:rPr>
        <w:t>109K</w:t>
      </w:r>
      <w:r>
        <w:t>.</w:t>
      </w:r>
      <w:r>
        <w:tab/>
        <w:t>Report or inquiry under s. 109J, Minister’s powers following</w:t>
      </w:r>
      <w:bookmarkEnd w:id="385"/>
      <w:bookmarkEnd w:id="386"/>
    </w:p>
    <w:p>
      <w:pPr>
        <w:pStyle w:val="Subsection"/>
      </w:pPr>
      <w:r>
        <w:tab/>
        <w:t>(1)</w:t>
      </w:r>
      <w:r>
        <w:tab/>
        <w:t>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After receiving and considering each submission served under subsection (2) the Minister may, subject to subsection (4) and if the Minister considers it in the public interest to do so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by No. 35 of 2003 s. 161.]</w:t>
      </w:r>
    </w:p>
    <w:p>
      <w:pPr>
        <w:pStyle w:val="Heading2"/>
      </w:pPr>
      <w:bookmarkStart w:id="387" w:name="_Toc402969488"/>
      <w:bookmarkStart w:id="388" w:name="_Toc406075297"/>
      <w:bookmarkStart w:id="389" w:name="_Toc406075738"/>
      <w:bookmarkStart w:id="390" w:name="_Toc406079961"/>
      <w:bookmarkStart w:id="391" w:name="_Toc418677781"/>
      <w:bookmarkStart w:id="392" w:name="_Toc418677933"/>
      <w:bookmarkStart w:id="393" w:name="_Toc423529714"/>
      <w:r>
        <w:rPr>
          <w:rStyle w:val="CharPartNo"/>
        </w:rPr>
        <w:t>Part VI</w:t>
      </w:r>
      <w:r>
        <w:rPr>
          <w:rStyle w:val="CharDivNo"/>
        </w:rPr>
        <w:t> </w:t>
      </w:r>
      <w:r>
        <w:t>—</w:t>
      </w:r>
      <w:r>
        <w:rPr>
          <w:rStyle w:val="CharDivText"/>
        </w:rPr>
        <w:t> </w:t>
      </w:r>
      <w:r>
        <w:rPr>
          <w:rStyle w:val="CharPartText"/>
        </w:rPr>
        <w:t>Ancillary</w:t>
      </w:r>
      <w:bookmarkEnd w:id="387"/>
      <w:bookmarkEnd w:id="388"/>
      <w:bookmarkEnd w:id="389"/>
      <w:bookmarkEnd w:id="390"/>
      <w:bookmarkEnd w:id="391"/>
      <w:bookmarkEnd w:id="392"/>
      <w:bookmarkEnd w:id="393"/>
    </w:p>
    <w:p>
      <w:pPr>
        <w:pStyle w:val="Heading5"/>
        <w:rPr>
          <w:snapToGrid w:val="0"/>
        </w:rPr>
      </w:pPr>
      <w:bookmarkStart w:id="394" w:name="_Toc406079962"/>
      <w:bookmarkStart w:id="395" w:name="_Toc423529715"/>
      <w:r>
        <w:rPr>
          <w:rStyle w:val="CharSectno"/>
        </w:rPr>
        <w:t>110</w:t>
      </w:r>
      <w:r>
        <w:rPr>
          <w:snapToGrid w:val="0"/>
        </w:rPr>
        <w:t>.</w:t>
      </w:r>
      <w:r>
        <w:rPr>
          <w:snapToGrid w:val="0"/>
        </w:rPr>
        <w:tab/>
        <w:t>Gambling on premises licensed for retail sale of liquor</w:t>
      </w:r>
      <w:bookmarkEnd w:id="394"/>
      <w:bookmarkEnd w:id="395"/>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iCs/>
        </w:rPr>
        <w:t>Liquor Control Act 1988</w:t>
      </w:r>
      <w:r>
        <w:t xml:space="preserve"> </w:t>
      </w:r>
      <w:r>
        <w:rPr>
          <w:snapToGrid w:val="0"/>
        </w:rPr>
        <w:t>unless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 or</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iCs/>
        </w:rPr>
        <w:t>Liquor Control Act 1988</w:t>
      </w:r>
      <w:r>
        <w:t xml:space="preserve"> </w:t>
      </w:r>
      <w:r>
        <w:rPr>
          <w:snapToGrid w:val="0"/>
        </w:rPr>
        <w:t>in a part of the premises to which the public have access, the Commission shall ensure that such conditions are imposed as are necessary to secure that any such gaming in that part of the premises does not take place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[Section 110 amended by No. 125 of 1987 s. 33; No. 16 of 1990 s. 33; No. 24 of 1998 s. 69; No. 35 of 2003 s. 162 and 166; No. 73 of 2006 s. 114.]</w:t>
      </w:r>
    </w:p>
    <w:p>
      <w:pPr>
        <w:pStyle w:val="Heading5"/>
      </w:pPr>
      <w:bookmarkStart w:id="396" w:name="_Toc406079963"/>
      <w:bookmarkStart w:id="397" w:name="_Toc423529716"/>
      <w:r>
        <w:rPr>
          <w:rStyle w:val="CharSectno"/>
        </w:rPr>
        <w:t>110A</w:t>
      </w:r>
      <w:r>
        <w:t>.</w:t>
      </w:r>
      <w:r>
        <w:tab/>
        <w:t>Sports Wagering Account</w:t>
      </w:r>
      <w:bookmarkEnd w:id="396"/>
      <w:bookmarkEnd w:id="397"/>
    </w:p>
    <w:p>
      <w:pPr>
        <w:pStyle w:val="Subsection"/>
      </w:pPr>
      <w:r>
        <w:tab/>
        <w:t>(1)</w:t>
      </w:r>
      <w:r>
        <w:tab/>
        <w:t>An account called the Sports Wagering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moneys paid by RWWA under section 104 or 107 of the RWWA Act are to be credited.</w:t>
      </w:r>
    </w:p>
    <w:p>
      <w:pPr>
        <w:pStyle w:val="Subsection"/>
      </w:pPr>
      <w:r>
        <w:tab/>
        <w:t>(2)</w:t>
      </w:r>
      <w:r>
        <w:tab/>
        <w:t xml:space="preserve">Moneys for the time being held by the Commission in respect of payments of bookmakers’ betting levy made under section 15 of the </w:t>
      </w:r>
      <w:r>
        <w:rPr>
          <w:i/>
        </w:rPr>
        <w:t>Betting Control Act 1954</w:t>
      </w:r>
      <w:r>
        <w:t xml:space="preserve"> in relation to betting of the kind referred to in sections 4A and 4B of that Act are to be credited to the Sports Wagering Account until applied under subsection (3).</w:t>
      </w:r>
    </w:p>
    <w:p>
      <w:pPr>
        <w:pStyle w:val="Subsection"/>
      </w:pPr>
      <w:r>
        <w:tab/>
        <w:t>(3)</w:t>
      </w:r>
      <w:r>
        <w:tab/>
        <w:t>The Sports Wagering Account shall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The Commission shall, at quarterly intervals, notify the Minister of the Crown responsible for sport and recreation of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The Commission on being directed by the Minister of the Crown responsible for sport and recreation, shall distribute the moneys referred to in subsection (1) and the moneys from time to time standing to the credit of the Sports Wagering Account —</w:t>
      </w:r>
    </w:p>
    <w:p>
      <w:pPr>
        <w:pStyle w:val="Indenta"/>
      </w:pPr>
      <w:r>
        <w:tab/>
        <w:t>(a)</w:t>
      </w:r>
      <w:r>
        <w:tab/>
        <w:t>to the persons or bodies of persons; and</w:t>
      </w:r>
    </w:p>
    <w:p>
      <w:pPr>
        <w:pStyle w:val="Indenta"/>
      </w:pPr>
      <w:r>
        <w:tab/>
        <w:t>(b)</w:t>
      </w:r>
      <w:r>
        <w:tab/>
        <w:t>for the purposes; and</w:t>
      </w:r>
    </w:p>
    <w:p>
      <w:pPr>
        <w:pStyle w:val="Indenta"/>
      </w:pPr>
      <w:r>
        <w:tab/>
        <w:t>(c)</w:t>
      </w:r>
      <w:r>
        <w:tab/>
        <w:t>in the respective amounts,</w:t>
      </w:r>
    </w:p>
    <w:p>
      <w:pPr>
        <w:pStyle w:val="Subsection"/>
      </w:pPr>
      <w:r>
        <w:tab/>
      </w:r>
      <w:r>
        <w:tab/>
        <w:t>directed by that Minister.</w:t>
      </w:r>
    </w:p>
    <w:p>
      <w:pPr>
        <w:pStyle w:val="Footnotesection"/>
      </w:pPr>
      <w:r>
        <w:tab/>
        <w:t>[Section 110A inserted by No. 35 of 2003 s. 163; amended by No. 28 of 2006 s. 403; No. 77 of 2006 Sch. 1 cl. 71(8).]</w:t>
      </w:r>
    </w:p>
    <w:p>
      <w:pPr>
        <w:pStyle w:val="Heading5"/>
      </w:pPr>
      <w:bookmarkStart w:id="398" w:name="_Toc406079964"/>
      <w:bookmarkStart w:id="399" w:name="_Toc423529717"/>
      <w:r>
        <w:rPr>
          <w:rStyle w:val="CharSectno"/>
        </w:rPr>
        <w:t>110B</w:t>
      </w:r>
      <w:r>
        <w:t>.</w:t>
      </w:r>
      <w:r>
        <w:tab/>
        <w:t>Racing Bets Levy Account</w:t>
      </w:r>
      <w:bookmarkEnd w:id="398"/>
      <w:bookmarkEnd w:id="399"/>
    </w:p>
    <w:p>
      <w:pPr>
        <w:pStyle w:val="Subsection"/>
      </w:pPr>
      <w:r>
        <w:tab/>
        <w:t>(1)</w:t>
      </w:r>
      <w:r>
        <w:tab/>
        <w:t>An account called the Racing Bets Levy Account is to be established —</w:t>
      </w:r>
    </w:p>
    <w:p>
      <w:pPr>
        <w:pStyle w:val="Indenta"/>
      </w:pPr>
      <w:r>
        <w:tab/>
        <w:t>(a)</w:t>
      </w:r>
      <w:r>
        <w:tab/>
        <w:t xml:space="preserve">as an agency special purpose account under the </w:t>
      </w:r>
      <w:r>
        <w:rPr>
          <w:i/>
          <w:iCs/>
        </w:rPr>
        <w:t>Financial Management Act 2006</w:t>
      </w:r>
      <w:r>
        <w:t xml:space="preserve"> section 16; or</w:t>
      </w:r>
    </w:p>
    <w:p>
      <w:pPr>
        <w:pStyle w:val="Indenta"/>
      </w:pPr>
      <w:r>
        <w:tab/>
        <w:t>(b)</w:t>
      </w:r>
      <w:r>
        <w:tab/>
        <w:t>with the approval of the Treasurer, at a bank as defined in section 3 of that Act,</w:t>
      </w:r>
    </w:p>
    <w:p>
      <w:pPr>
        <w:pStyle w:val="Subsection"/>
      </w:pPr>
      <w:r>
        <w:tab/>
      </w:r>
      <w:r>
        <w:tab/>
        <w:t xml:space="preserve">to which the Commission must credit moneys paid to or recovered by the Commission under the </w:t>
      </w:r>
      <w:r>
        <w:rPr>
          <w:i/>
        </w:rPr>
        <w:t>Betting Control Act 1954</w:t>
      </w:r>
      <w:r>
        <w:t xml:space="preserve"> section 14A.</w:t>
      </w:r>
    </w:p>
    <w:p>
      <w:pPr>
        <w:pStyle w:val="Subsection"/>
      </w:pPr>
      <w:r>
        <w:tab/>
        <w:t>(2)</w:t>
      </w:r>
      <w:r>
        <w:tab/>
        <w:t>The Racing Bets Levy Account is to be administered by the Commission.</w:t>
      </w:r>
    </w:p>
    <w:p>
      <w:pPr>
        <w:pStyle w:val="Subsection"/>
      </w:pPr>
      <w:r>
        <w:tab/>
        <w:t>(3)</w:t>
      </w:r>
      <w:r>
        <w:tab/>
        <w:t>The Racing Bets Levy Account is to be applied for the purpose of the payment of the outgoings and expenses referred to in subsection (4)(a).</w:t>
      </w:r>
    </w:p>
    <w:p>
      <w:pPr>
        <w:pStyle w:val="Subsection"/>
      </w:pPr>
      <w:r>
        <w:tab/>
        <w:t>(4)</w:t>
      </w:r>
      <w:r>
        <w:tab/>
        <w:t>The Commission is to —</w:t>
      </w:r>
    </w:p>
    <w:p>
      <w:pPr>
        <w:pStyle w:val="Indenta"/>
      </w:pPr>
      <w:r>
        <w:tab/>
        <w:t>(a)</w:t>
      </w:r>
      <w:r>
        <w:tab/>
        <w:t>withdraw from the Racing Bets Levy Account, at monthly intervals, a sum approved by the Minister for outgoings and expenses incurred by the Commission in administering the Account; and</w:t>
      </w:r>
    </w:p>
    <w:p>
      <w:pPr>
        <w:pStyle w:val="Indenta"/>
      </w:pPr>
      <w:r>
        <w:tab/>
        <w:t>(b)</w:t>
      </w:r>
      <w:r>
        <w:tab/>
        <w:t>pay or credit, at prescribed intervals, the balance of that Account in accordance with this section.</w:t>
      </w:r>
    </w:p>
    <w:p>
      <w:pPr>
        <w:pStyle w:val="Subsection"/>
      </w:pPr>
      <w:r>
        <w:tab/>
        <w:t>(5)</w:t>
      </w:r>
      <w:r>
        <w:tab/>
        <w:t>The balance of the Racing Bets Levy Account is to be paid or credited to RWWA or paid or credited by the Commission, in such amounts as it determines, to the following —</w:t>
      </w:r>
    </w:p>
    <w:p>
      <w:pPr>
        <w:pStyle w:val="Indenta"/>
        <w:spacing w:before="60"/>
      </w:pPr>
      <w:r>
        <w:tab/>
        <w:t>(a)</w:t>
      </w:r>
      <w:r>
        <w:tab/>
        <w:t>thoroughbred racing clubs registered with RWWA;</w:t>
      </w:r>
    </w:p>
    <w:p>
      <w:pPr>
        <w:pStyle w:val="Indenta"/>
        <w:spacing w:before="60"/>
      </w:pPr>
      <w:r>
        <w:tab/>
        <w:t>(b)</w:t>
      </w:r>
      <w:r>
        <w:tab/>
        <w:t>harness racing clubs registered with RWWA;</w:t>
      </w:r>
    </w:p>
    <w:p>
      <w:pPr>
        <w:pStyle w:val="Indenta"/>
        <w:spacing w:before="60"/>
      </w:pPr>
      <w:r>
        <w:tab/>
        <w:t>(c)</w:t>
      </w:r>
      <w:r>
        <w:tab/>
        <w:t>greyhound racing clubs registered with RWWA.</w:t>
      </w:r>
    </w:p>
    <w:p>
      <w:pPr>
        <w:pStyle w:val="Footnotesection"/>
      </w:pPr>
      <w:r>
        <w:tab/>
        <w:t>[Section 110B inserted by No. 29 of 2009 s. 20.]</w:t>
      </w:r>
    </w:p>
    <w:p>
      <w:pPr>
        <w:pStyle w:val="Heading5"/>
        <w:spacing w:before="200"/>
        <w:rPr>
          <w:snapToGrid w:val="0"/>
        </w:rPr>
      </w:pPr>
      <w:bookmarkStart w:id="400" w:name="_Toc406079965"/>
      <w:bookmarkStart w:id="401" w:name="_Toc423529718"/>
      <w:r>
        <w:rPr>
          <w:rStyle w:val="CharSectno"/>
        </w:rPr>
        <w:t>111</w:t>
      </w:r>
      <w:r>
        <w:rPr>
          <w:snapToGrid w:val="0"/>
        </w:rPr>
        <w:t>.</w:t>
      </w:r>
      <w:r>
        <w:rPr>
          <w:snapToGrid w:val="0"/>
        </w:rPr>
        <w:tab/>
        <w:t>Burswood Casino Agreement cl. 22, when Commission may decide questions as to</w:t>
      </w:r>
      <w:bookmarkEnd w:id="400"/>
      <w:bookmarkEnd w:id="401"/>
    </w:p>
    <w:p>
      <w:pPr>
        <w:pStyle w:val="Subsection"/>
        <w:spacing w:before="100"/>
        <w:rPr>
          <w:snapToGrid w:val="0"/>
        </w:rPr>
      </w:pPr>
      <w:r>
        <w:rPr>
          <w:snapToGrid w:val="0"/>
        </w:rPr>
        <w:tab/>
      </w:r>
      <w:r>
        <w:rPr>
          <w:snapToGrid w:val="0"/>
        </w:rPr>
        <w:tab/>
        <w:t xml:space="preserve">In </w:t>
      </w:r>
      <w:r>
        <w:t>relation</w:t>
      </w:r>
      <w:r>
        <w:rPr>
          <w:snapToGrid w:val="0"/>
        </w:rPr>
        <w:t xml:space="preserve"> to the Agreement to which the </w:t>
      </w: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w:t>
      </w:r>
    </w:p>
    <w:p>
      <w:pPr>
        <w:pStyle w:val="Indenta"/>
        <w:spacing w:before="60"/>
        <w:rPr>
          <w:snapToGrid w:val="0"/>
        </w:rPr>
      </w:pPr>
      <w:r>
        <w:rPr>
          <w:snapToGrid w:val="0"/>
        </w:rPr>
        <w:tab/>
        <w:t>(a)</w:t>
      </w:r>
      <w:r>
        <w:rPr>
          <w:snapToGrid w:val="0"/>
        </w:rPr>
        <w:tab/>
        <w:t>the Trustee referred to in that Agreement; or</w:t>
      </w:r>
    </w:p>
    <w:p>
      <w:pPr>
        <w:pStyle w:val="Indenta"/>
        <w:spacing w:before="60"/>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spacing w:before="200"/>
        <w:rPr>
          <w:snapToGrid w:val="0"/>
        </w:rPr>
      </w:pPr>
      <w:bookmarkStart w:id="402" w:name="_Toc406079966"/>
      <w:bookmarkStart w:id="403" w:name="_Toc423529719"/>
      <w:r>
        <w:rPr>
          <w:rStyle w:val="CharSectno"/>
        </w:rPr>
        <w:t>112</w:t>
      </w:r>
      <w:r>
        <w:rPr>
          <w:snapToGrid w:val="0"/>
        </w:rPr>
        <w:t>.</w:t>
      </w:r>
      <w:r>
        <w:rPr>
          <w:snapToGrid w:val="0"/>
        </w:rPr>
        <w:tab/>
        <w:t xml:space="preserve">Transitional provisions as to </w:t>
      </w:r>
      <w:r>
        <w:rPr>
          <w:i/>
          <w:snapToGrid w:val="0"/>
        </w:rPr>
        <w:t>Casino Control Act 1984</w:t>
      </w:r>
      <w:bookmarkEnd w:id="402"/>
      <w:bookmarkEnd w:id="403"/>
    </w:p>
    <w:p>
      <w:pPr>
        <w:pStyle w:val="Subsection"/>
        <w:spacing w:before="100"/>
        <w:rPr>
          <w:snapToGrid w:val="0"/>
        </w:rPr>
      </w:pPr>
      <w:r>
        <w:rPr>
          <w:snapToGrid w:val="0"/>
        </w:rPr>
        <w:tab/>
        <w:t>(1)</w:t>
      </w:r>
      <w:r>
        <w:rPr>
          <w:snapToGrid w:val="0"/>
        </w:rPr>
        <w:tab/>
        <w:t xml:space="preserve">On and </w:t>
      </w:r>
      <w:r>
        <w:t>after</w:t>
      </w:r>
      <w:r>
        <w:rPr>
          <w:snapToGrid w:val="0"/>
        </w:rPr>
        <w:t xml:space="preserve">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spacing w:before="100"/>
        <w:rPr>
          <w:snapToGrid w:val="0"/>
        </w:rPr>
      </w:pPr>
      <w:r>
        <w:rPr>
          <w:snapToGrid w:val="0"/>
        </w:rPr>
        <w:tab/>
        <w:t>(2)</w:t>
      </w:r>
      <w:r>
        <w:rPr>
          <w:snapToGrid w:val="0"/>
        </w:rPr>
        <w:tab/>
        <w:t xml:space="preserve">A </w:t>
      </w:r>
      <w:r>
        <w:t>reference</w:t>
      </w:r>
      <w:r>
        <w:rPr>
          <w:snapToGrid w:val="0"/>
        </w:rPr>
        <w:t xml:space="preserve"> to the Casino Control Committee —</w:t>
      </w:r>
    </w:p>
    <w:p>
      <w:pPr>
        <w:pStyle w:val="Indenta"/>
        <w:spacing w:before="60"/>
        <w:rPr>
          <w:snapToGrid w:val="0"/>
        </w:rPr>
      </w:pPr>
      <w:r>
        <w:rPr>
          <w:snapToGrid w:val="0"/>
        </w:rPr>
        <w:tab/>
        <w:t>(a)</w:t>
      </w:r>
      <w:r>
        <w:rPr>
          <w:snapToGrid w:val="0"/>
        </w:rPr>
        <w:tab/>
        <w:t>in any written law passed or made; or</w:t>
      </w:r>
    </w:p>
    <w:p>
      <w:pPr>
        <w:pStyle w:val="Indenta"/>
        <w:spacing w:before="60"/>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spacing w:before="100"/>
        <w:rPr>
          <w:snapToGrid w:val="0"/>
        </w:rPr>
      </w:pPr>
      <w:r>
        <w:rPr>
          <w:snapToGrid w:val="0"/>
        </w:rPr>
        <w:tab/>
      </w:r>
      <w:r>
        <w:rPr>
          <w:snapToGrid w:val="0"/>
        </w:rPr>
        <w:tab/>
        <w:t xml:space="preserve">before the </w:t>
      </w:r>
      <w:r>
        <w:t>coming</w:t>
      </w:r>
      <w:r>
        <w:rPr>
          <w:snapToGrid w:val="0"/>
        </w:rPr>
        <w:t xml:space="preserve"> into operation of section 4 shall, unless the context is such that it would be inappropriate so to do, be read and construed as a reference to the Commission.</w:t>
      </w:r>
    </w:p>
    <w:p>
      <w:pPr>
        <w:pStyle w:val="Footnotesection"/>
      </w:pPr>
      <w:r>
        <w:tab/>
        <w:t>[Section 112 amended by No. 24 of 1998 s. 70.]</w:t>
      </w:r>
    </w:p>
    <w:p>
      <w:pPr>
        <w:pStyle w:val="Ednotesection"/>
      </w:pPr>
      <w:r>
        <w:t>[</w:t>
      </w:r>
      <w:r>
        <w:rPr>
          <w:b/>
        </w:rPr>
        <w:t>113.</w:t>
      </w:r>
      <w:r>
        <w:tab/>
        <w:t>Deleted by No. 16 of 1990 s. 33.]</w:t>
      </w:r>
    </w:p>
    <w:p>
      <w:pPr>
        <w:pStyle w:val="Ednotesection"/>
        <w:keepNext/>
      </w:pPr>
      <w:r>
        <w:t>[</w:t>
      </w:r>
      <w:r>
        <w:rPr>
          <w:b/>
        </w:rPr>
        <w:t>114.</w:t>
      </w:r>
      <w:r>
        <w:tab/>
        <w:t>Deleted by No. 24 of 1998 s. 71.]</w:t>
      </w:r>
    </w:p>
    <w:p>
      <w:pPr>
        <w:pStyle w:val="Ednotesection"/>
        <w:keepNext/>
      </w:pPr>
      <w:r>
        <w:t>[</w:t>
      </w:r>
      <w:r>
        <w:rPr>
          <w:b/>
        </w:rPr>
        <w:t>115.</w:t>
      </w:r>
      <w:r>
        <w:tab/>
        <w:t>Deleted by No. 35 of 2003 s. 164.]</w:t>
      </w:r>
    </w:p>
    <w:p>
      <w:pPr>
        <w:pStyle w:val="Ednotesection"/>
      </w:pPr>
      <w:r>
        <w:t>[</w:t>
      </w:r>
      <w:r>
        <w:rPr>
          <w:b/>
          <w:bCs/>
        </w:rPr>
        <w:t>116.</w:t>
      </w:r>
      <w:r>
        <w:tab/>
        <w:t>Omitted under the Reprints Act 1984 s. 7(4)(e).]</w:t>
      </w:r>
    </w:p>
    <w:p>
      <w:pPr>
        <w:pStyle w:val="Heading5"/>
        <w:rPr>
          <w:snapToGrid w:val="0"/>
        </w:rPr>
      </w:pPr>
      <w:bookmarkStart w:id="404" w:name="_Toc406079967"/>
      <w:bookmarkStart w:id="405" w:name="_Toc423529720"/>
      <w:r>
        <w:rPr>
          <w:rStyle w:val="CharSectno"/>
        </w:rPr>
        <w:t>117</w:t>
      </w:r>
      <w:r>
        <w:rPr>
          <w:snapToGrid w:val="0"/>
        </w:rPr>
        <w:t>.</w:t>
      </w:r>
      <w:r>
        <w:rPr>
          <w:snapToGrid w:val="0"/>
        </w:rPr>
        <w:tab/>
        <w:t>Regulations</w:t>
      </w:r>
      <w:bookmarkEnd w:id="404"/>
      <w:bookmarkEnd w:id="405"/>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for securing that gaming in respect of which a permit is for the time being in force is fairly and properly conducted; and</w:t>
      </w:r>
    </w:p>
    <w:p>
      <w:pPr>
        <w:pStyle w:val="Indenta"/>
        <w:rPr>
          <w:snapToGrid w:val="0"/>
        </w:rPr>
      </w:pPr>
      <w:r>
        <w:rPr>
          <w:snapToGrid w:val="0"/>
        </w:rPr>
        <w:tab/>
        <w:t>(b)</w:t>
      </w:r>
      <w:r>
        <w:rPr>
          <w:snapToGrid w:val="0"/>
        </w:rPr>
        <w:tab/>
        <w:t>for the prevention of fraud, cheating or corruption; and</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w:t>
      </w:r>
      <w:r>
        <w:t xml:space="preserve"> Commission; and</w:t>
      </w:r>
    </w:p>
    <w:p>
      <w:pPr>
        <w:pStyle w:val="Indenta"/>
      </w:pPr>
      <w:r>
        <w:tab/>
        <w:t>(e)</w:t>
      </w:r>
      <w:r>
        <w:tab/>
        <w:t>for regulating (including prohibiting advertisements of a type that are not in the public interest) the content of advertisements that convey, or are likely to be understood as conveying, the existence (in this State or elsewhere) of —</w:t>
      </w:r>
    </w:p>
    <w:p>
      <w:pPr>
        <w:pStyle w:val="Indenti"/>
      </w:pPr>
      <w:r>
        <w:tab/>
        <w:t>(i)</w:t>
      </w:r>
      <w:r>
        <w:tab/>
        <w:t>a person referred to in section 43A(3)(a) to (da); or</w:t>
      </w:r>
    </w:p>
    <w:p>
      <w:pPr>
        <w:pStyle w:val="Indenti"/>
      </w:pPr>
      <w:r>
        <w:tab/>
        <w:t>(ii)</w:t>
      </w:r>
      <w:r>
        <w:tab/>
        <w:t>a person or class of person prescribed under section 43A(3)(d).</w:t>
      </w:r>
    </w:p>
    <w:p>
      <w:pPr>
        <w:pStyle w:val="Footnotesection"/>
      </w:pPr>
      <w:r>
        <w:tab/>
        <w:t>[Section 117 amended by No. 35 of 2003 s. 165; No. 29 of 2009 s. 21.]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outlineLvl w:val="0"/>
      </w:pPr>
      <w:bookmarkStart w:id="406" w:name="_Toc402969495"/>
      <w:bookmarkStart w:id="407" w:name="_Toc406075304"/>
      <w:bookmarkStart w:id="408" w:name="_Toc406075745"/>
      <w:bookmarkStart w:id="409" w:name="_Toc406079968"/>
      <w:bookmarkStart w:id="410" w:name="_Toc418677788"/>
      <w:bookmarkStart w:id="411" w:name="_Toc418677940"/>
      <w:bookmarkStart w:id="412" w:name="_Toc423529721"/>
      <w:r>
        <w:t>Notes</w:t>
      </w:r>
      <w:bookmarkEnd w:id="406"/>
      <w:bookmarkEnd w:id="407"/>
      <w:bookmarkEnd w:id="408"/>
      <w:bookmarkEnd w:id="409"/>
      <w:bookmarkEnd w:id="410"/>
      <w:bookmarkEnd w:id="411"/>
      <w:bookmarkEnd w:id="412"/>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13" w:name="_Toc406079969"/>
      <w:bookmarkStart w:id="414" w:name="_Toc423529722"/>
      <w:r>
        <w:rPr>
          <w:snapToGrid w:val="0"/>
        </w:rPr>
        <w:t>Compilation table</w:t>
      </w:r>
      <w:bookmarkEnd w:id="413"/>
      <w:bookmarkEnd w:id="414"/>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pPr>
            <w:r>
              <w:rPr>
                <w:i/>
              </w:rPr>
              <w:t xml:space="preserve">Gaming Commission Act 1987 </w:t>
            </w:r>
            <w:r>
              <w:rPr>
                <w:iCs/>
                <w:vertAlign w:val="superscript"/>
              </w:rPr>
              <w:t>3</w:t>
            </w:r>
          </w:p>
        </w:tc>
        <w:tc>
          <w:tcPr>
            <w:tcW w:w="1134" w:type="dxa"/>
            <w:tcBorders>
              <w:top w:val="single" w:sz="8" w:space="0" w:color="auto"/>
            </w:tcBorders>
          </w:tcPr>
          <w:p>
            <w:pPr>
              <w:pStyle w:val="nTable"/>
              <w:spacing w:after="40"/>
            </w:pPr>
            <w:r>
              <w:t>50 of 1987</w:t>
            </w:r>
          </w:p>
        </w:tc>
        <w:tc>
          <w:tcPr>
            <w:tcW w:w="1134" w:type="dxa"/>
            <w:tcBorders>
              <w:top w:val="single" w:sz="8" w:space="0" w:color="auto"/>
            </w:tcBorders>
          </w:tcPr>
          <w:p>
            <w:pPr>
              <w:pStyle w:val="nTable"/>
              <w:spacing w:after="40"/>
            </w:pPr>
            <w:r>
              <w:t>8 Oct 1987</w:t>
            </w:r>
          </w:p>
        </w:tc>
        <w:tc>
          <w:tcPr>
            <w:tcW w:w="2551" w:type="dxa"/>
            <w:tcBorders>
              <w:top w:val="single" w:sz="8" w:space="0" w:color="auto"/>
            </w:tcBorders>
          </w:tcPr>
          <w:p>
            <w:pPr>
              <w:pStyle w:val="nTable"/>
              <w:spacing w:after="40"/>
            </w:pPr>
            <w:r>
              <w:rPr>
                <w:color w:val="000000"/>
              </w:rPr>
              <w:t>s. 1 and 2: 8 Oct 1987;</w:t>
            </w:r>
            <w:r>
              <w:rPr>
                <w:color w:val="000000"/>
              </w:rPr>
              <w:br/>
              <w:t xml:space="preserve">s. 3, Pt. II, V Div. 2 and s. 111, 112, 115-117: 4 Mar 1988 (see s. 2 and </w:t>
            </w:r>
            <w:r>
              <w:rPr>
                <w:i/>
                <w:iCs/>
                <w:color w:val="000000"/>
              </w:rPr>
              <w:t>Gazette</w:t>
            </w:r>
            <w:r>
              <w:rPr>
                <w:color w:val="000000"/>
              </w:rPr>
              <w:t xml:space="preserve"> 4 Mar 1988 p. 665);</w:t>
            </w:r>
            <w:r>
              <w:rPr>
                <w:color w:val="000000"/>
              </w:rPr>
              <w:br/>
              <w:t>Act other than Pt. I,  II, V Div. 2 and s. 111, 112 and</w:t>
            </w:r>
            <w:r>
              <w:rPr>
                <w:color w:val="000000"/>
              </w:rPr>
              <w:br/>
              <w:t xml:space="preserve">115-117: 2 May 1988 (see s. 2 and </w:t>
            </w:r>
            <w:r>
              <w:rPr>
                <w:i/>
                <w:iCs/>
                <w:color w:val="000000"/>
              </w:rPr>
              <w:t>Gazette</w:t>
            </w:r>
            <w:r>
              <w:rPr>
                <w:color w:val="000000"/>
              </w:rPr>
              <w:t xml:space="preserve"> 29 Apr 1988 p. 1291)</w:t>
            </w:r>
          </w:p>
        </w:tc>
      </w:tr>
      <w:tr>
        <w:tc>
          <w:tcPr>
            <w:tcW w:w="2268" w:type="dxa"/>
          </w:tcPr>
          <w:p>
            <w:pPr>
              <w:pStyle w:val="nTable"/>
              <w:spacing w:after="40"/>
            </w:pPr>
            <w:r>
              <w:rPr>
                <w:i/>
              </w:rPr>
              <w:t xml:space="preserve">Acts Amendment (Totalisator Agency Board Betting) Act 1987 </w:t>
            </w:r>
            <w:r>
              <w:t>Pt. III</w:t>
            </w:r>
          </w:p>
        </w:tc>
        <w:tc>
          <w:tcPr>
            <w:tcW w:w="1134" w:type="dxa"/>
          </w:tcPr>
          <w:p>
            <w:pPr>
              <w:pStyle w:val="nTable"/>
              <w:spacing w:after="40"/>
            </w:pPr>
            <w:r>
              <w:t>125 of 1987</w:t>
            </w:r>
          </w:p>
        </w:tc>
        <w:tc>
          <w:tcPr>
            <w:tcW w:w="1134" w:type="dxa"/>
          </w:tcPr>
          <w:p>
            <w:pPr>
              <w:pStyle w:val="nTable"/>
              <w:spacing w:after="40"/>
            </w:pPr>
            <w:r>
              <w:t>31 Dec 1987</w:t>
            </w:r>
          </w:p>
        </w:tc>
        <w:tc>
          <w:tcPr>
            <w:tcW w:w="2551" w:type="dxa"/>
          </w:tcPr>
          <w:p>
            <w:pPr>
              <w:pStyle w:val="nTable"/>
              <w:spacing w:after="40"/>
              <w:rPr>
                <w:rFonts w:ascii="Times" w:hAnsi="Times"/>
              </w:rPr>
            </w:pPr>
            <w:r>
              <w:rPr>
                <w:rFonts w:ascii="Times" w:hAnsi="Times"/>
              </w:rPr>
              <w:t xml:space="preserve">25 Mar 1988 (see s. 2 and </w:t>
            </w:r>
            <w:r>
              <w:rPr>
                <w:rFonts w:ascii="Times" w:hAnsi="Times"/>
                <w:i/>
              </w:rPr>
              <w:t>Gazette</w:t>
            </w:r>
            <w:r>
              <w:rPr>
                <w:rFonts w:ascii="Times" w:hAnsi="Times"/>
              </w:rPr>
              <w:t xml:space="preserve"> 25 Mar 1988 p. 933)</w:t>
            </w:r>
          </w:p>
        </w:tc>
      </w:tr>
      <w:tr>
        <w:tc>
          <w:tcPr>
            <w:tcW w:w="2268" w:type="dxa"/>
          </w:tcPr>
          <w:p>
            <w:pPr>
              <w:pStyle w:val="nTable"/>
              <w:spacing w:after="40"/>
            </w:pPr>
            <w:r>
              <w:rPr>
                <w:i/>
              </w:rPr>
              <w:t xml:space="preserve">Lotteries Commission Act 1990 </w:t>
            </w:r>
            <w:r>
              <w:t>s. 31(3) and 33</w:t>
            </w:r>
          </w:p>
        </w:tc>
        <w:tc>
          <w:tcPr>
            <w:tcW w:w="1134" w:type="dxa"/>
          </w:tcPr>
          <w:p>
            <w:pPr>
              <w:pStyle w:val="nTable"/>
              <w:spacing w:after="40"/>
            </w:pPr>
            <w:r>
              <w:t>16 of 1990</w:t>
            </w:r>
          </w:p>
        </w:tc>
        <w:tc>
          <w:tcPr>
            <w:tcW w:w="1134" w:type="dxa"/>
          </w:tcPr>
          <w:p>
            <w:pPr>
              <w:pStyle w:val="nTable"/>
              <w:spacing w:after="40"/>
            </w:pPr>
            <w:r>
              <w:t>31 Jul 1990</w:t>
            </w:r>
          </w:p>
        </w:tc>
        <w:tc>
          <w:tcPr>
            <w:tcW w:w="2551" w:type="dxa"/>
          </w:tcPr>
          <w:p>
            <w:pPr>
              <w:pStyle w:val="nTable"/>
              <w:spacing w:after="40"/>
              <w:rPr>
                <w:rFonts w:ascii="Times" w:hAnsi="Times"/>
              </w:rPr>
            </w:pPr>
            <w:r>
              <w:rPr>
                <w:rFonts w:ascii="Times" w:hAnsi="Times"/>
              </w:rPr>
              <w:t xml:space="preserve">1 Jan 1991 (see s. 2 and </w:t>
            </w:r>
            <w:r>
              <w:rPr>
                <w:rFonts w:ascii="Times" w:hAnsi="Times"/>
                <w:i/>
              </w:rPr>
              <w:t>Gazette</w:t>
            </w:r>
            <w:r>
              <w:rPr>
                <w:rFonts w:ascii="Times" w:hAnsi="Times"/>
              </w:rPr>
              <w:t xml:space="preserve"> 28 Dec 1990 p. 6369)</w:t>
            </w:r>
          </w:p>
        </w:tc>
      </w:tr>
      <w:tr>
        <w:tc>
          <w:tcPr>
            <w:tcW w:w="2268" w:type="dxa"/>
          </w:tcPr>
          <w:p>
            <w:pPr>
              <w:pStyle w:val="nTable"/>
              <w:spacing w:after="40"/>
            </w:pPr>
            <w:r>
              <w:rPr>
                <w:i/>
              </w:rPr>
              <w:t xml:space="preserve">Financial Administration Legislation Amendment Act 1993 </w:t>
            </w:r>
            <w:r>
              <w:t>s. 11 and 15</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rPr>
                <w:rFonts w:ascii="Times" w:hAnsi="Times"/>
              </w:rPr>
            </w:pPr>
            <w:r>
              <w:rPr>
                <w:rFonts w:ascii="Times" w:hAnsi="Times"/>
              </w:rPr>
              <w:t>1 Jul 1993 (see s. 2(1))</w:t>
            </w:r>
          </w:p>
        </w:tc>
      </w:tr>
      <w:tr>
        <w:tc>
          <w:tcPr>
            <w:tcW w:w="2268" w:type="dxa"/>
          </w:tcPr>
          <w:p>
            <w:pPr>
              <w:pStyle w:val="nTable"/>
              <w:spacing w:after="40"/>
            </w:pPr>
            <w:r>
              <w:rPr>
                <w:i/>
              </w:rPr>
              <w:t xml:space="preserve">Acts Amendment (Public Sector Management) Act 1994 </w:t>
            </w:r>
            <w:r>
              <w:t>s.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rPr>
                <w:rFonts w:ascii="Times" w:hAnsi="Times"/>
              </w:rPr>
            </w:pPr>
            <w:r>
              <w:rPr>
                <w:rFonts w:ascii="Times" w:hAnsi="Times"/>
              </w:rPr>
              <w:t xml:space="preserve">1 Oct 1994 (see s. 2 and </w:t>
            </w:r>
            <w:r>
              <w:rPr>
                <w:rFonts w:ascii="Times" w:hAnsi="Times"/>
                <w:i/>
              </w:rPr>
              <w:t>Gazette</w:t>
            </w:r>
            <w:r>
              <w:rPr>
                <w:rFonts w:ascii="Times" w:hAnsi="Times"/>
              </w:rPr>
              <w:t xml:space="preserve"> 30 Sep 1994 p. 4948)</w:t>
            </w:r>
          </w:p>
        </w:tc>
      </w:tr>
      <w:tr>
        <w:tc>
          <w:tcPr>
            <w:tcW w:w="2268" w:type="dxa"/>
          </w:tcPr>
          <w:p>
            <w:pPr>
              <w:pStyle w:val="nTable"/>
              <w:spacing w:after="40"/>
            </w:pPr>
            <w:r>
              <w:rPr>
                <w:i/>
              </w:rPr>
              <w:t xml:space="preserve">Sentencing (Consequential Provisions) Act 1995 </w:t>
            </w:r>
            <w:r>
              <w:t>s. 147</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rPr>
                <w:rFonts w:ascii="Times" w:hAnsi="Times"/>
              </w:rPr>
            </w:pPr>
            <w:r>
              <w:rPr>
                <w:rFonts w:ascii="Times" w:hAnsi="Times"/>
              </w:rPr>
              <w:t xml:space="preserve">4 Nov 1996 (see s. 2 and </w:t>
            </w:r>
            <w:r>
              <w:rPr>
                <w:rFonts w:ascii="Times" w:hAnsi="Times"/>
                <w:i/>
              </w:rPr>
              <w:t>Gazette</w:t>
            </w:r>
            <w:r>
              <w:rPr>
                <w:rFonts w:ascii="Times" w:hAnsi="Times"/>
              </w:rPr>
              <w:t xml:space="preserve"> 25 Oct 1996 p. 5632)</w:t>
            </w:r>
          </w:p>
        </w:tc>
      </w:tr>
      <w:tr>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rPr>
                <w:rFonts w:ascii="Times" w:hAnsi="Times"/>
              </w:rPr>
            </w:pPr>
            <w:r>
              <w:rPr>
                <w:rFonts w:ascii="Times" w:hAnsi="Times"/>
              </w:rPr>
              <w:t>1 Jul 1996 (see s. 2)</w:t>
            </w:r>
          </w:p>
        </w:tc>
      </w:tr>
      <w:tr>
        <w:tc>
          <w:tcPr>
            <w:tcW w:w="2268" w:type="dxa"/>
          </w:tcPr>
          <w:p>
            <w:pPr>
              <w:pStyle w:val="nTable"/>
              <w:spacing w:after="40"/>
            </w:pPr>
            <w:r>
              <w:rPr>
                <w:i/>
              </w:rPr>
              <w:t xml:space="preserve">Financial Legislation Amendment Act 1996 </w:t>
            </w:r>
            <w:r>
              <w:t>s. 55 and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rPr>
                <w:rFonts w:ascii="Times" w:hAnsi="Times"/>
              </w:rPr>
            </w:pPr>
            <w:r>
              <w:rPr>
                <w:rFonts w:ascii="Times" w:hAnsi="Times"/>
              </w:rPr>
              <w:t>25 Oct 1996 (see s. 2(1))</w:t>
            </w:r>
          </w:p>
        </w:tc>
      </w:tr>
      <w:tr>
        <w:trPr>
          <w:cantSplit/>
        </w:trPr>
        <w:tc>
          <w:tcPr>
            <w:tcW w:w="7087" w:type="dxa"/>
            <w:gridSpan w:val="4"/>
          </w:tcPr>
          <w:p>
            <w:pPr>
              <w:pStyle w:val="nTable"/>
              <w:spacing w:after="40"/>
            </w:pPr>
            <w:r>
              <w:rPr>
                <w:b/>
                <w:bCs/>
              </w:rPr>
              <w:t xml:space="preserve">Reprint of the </w:t>
            </w:r>
            <w:r>
              <w:rPr>
                <w:b/>
                <w:bCs/>
                <w:i/>
                <w:iCs/>
              </w:rPr>
              <w:t>Gaming Commission Act 1987</w:t>
            </w:r>
            <w:r>
              <w:rPr>
                <w:b/>
                <w:bCs/>
              </w:rPr>
              <w:t xml:space="preserve"> as at 5 May 1997</w:t>
            </w:r>
            <w:r>
              <w:t xml:space="preserve"> (includes amendments listed above) (correction in </w:t>
            </w:r>
            <w:r>
              <w:rPr>
                <w:i/>
                <w:iCs/>
              </w:rPr>
              <w:t>Gazette</w:t>
            </w:r>
            <w:r>
              <w:t xml:space="preserve"> 6 Jun 1997 p. 2644)</w:t>
            </w:r>
          </w:p>
        </w:tc>
      </w:tr>
      <w:tr>
        <w:trPr>
          <w:cantSplit/>
        </w:trPr>
        <w:tc>
          <w:tcPr>
            <w:tcW w:w="2268" w:type="dxa"/>
          </w:tcPr>
          <w:p>
            <w:pPr>
              <w:pStyle w:val="nTable"/>
              <w:spacing w:after="40"/>
              <w:rPr>
                <w:vertAlign w:val="superscript"/>
              </w:rPr>
            </w:pPr>
            <w:r>
              <w:rPr>
                <w:i/>
              </w:rPr>
              <w:t xml:space="preserve">Acts Amendment (Gaming) Act 1998 </w:t>
            </w:r>
            <w:r>
              <w:t>Pt. 3</w:t>
            </w:r>
            <w:r>
              <w:rPr>
                <w:vertAlign w:val="superscript"/>
              </w:rPr>
              <w:t> </w:t>
            </w:r>
          </w:p>
        </w:tc>
        <w:tc>
          <w:tcPr>
            <w:tcW w:w="1134" w:type="dxa"/>
          </w:tcPr>
          <w:p>
            <w:pPr>
              <w:pStyle w:val="nTable"/>
              <w:spacing w:after="40"/>
            </w:pPr>
            <w:r>
              <w:t>24 of 1998</w:t>
            </w:r>
          </w:p>
        </w:tc>
        <w:tc>
          <w:tcPr>
            <w:tcW w:w="1134" w:type="dxa"/>
          </w:tcPr>
          <w:p>
            <w:pPr>
              <w:pStyle w:val="nTable"/>
              <w:spacing w:after="40"/>
            </w:pPr>
            <w:r>
              <w:t>30 Jun 1998</w:t>
            </w:r>
          </w:p>
        </w:tc>
        <w:tc>
          <w:tcPr>
            <w:tcW w:w="2551" w:type="dxa"/>
          </w:tcPr>
          <w:p>
            <w:pPr>
              <w:pStyle w:val="nTable"/>
              <w:spacing w:after="40"/>
              <w:rPr>
                <w:rFonts w:ascii="Times" w:hAnsi="Times"/>
              </w:rPr>
            </w:pPr>
            <w:r>
              <w:rPr>
                <w:rFonts w:ascii="Times" w:hAnsi="Times"/>
              </w:rPr>
              <w:t xml:space="preserve">5 Aug 1998 (see s. 2 and </w:t>
            </w:r>
            <w:r>
              <w:rPr>
                <w:rFonts w:ascii="Times" w:hAnsi="Times"/>
                <w:i/>
              </w:rPr>
              <w:t>Gazette</w:t>
            </w:r>
            <w:r>
              <w:rPr>
                <w:rFonts w:ascii="Times" w:hAnsi="Times"/>
              </w:rPr>
              <w:t xml:space="preserve"> 4 Aug 1998 p. 3981)</w:t>
            </w:r>
          </w:p>
        </w:tc>
      </w:tr>
      <w:tr>
        <w:trPr>
          <w:cantSplit/>
        </w:trPr>
        <w:tc>
          <w:tcPr>
            <w:tcW w:w="2268" w:type="dxa"/>
          </w:tcPr>
          <w:p>
            <w:pPr>
              <w:pStyle w:val="nTable"/>
              <w:spacing w:after="40"/>
            </w:pPr>
            <w:r>
              <w:rPr>
                <w:i/>
              </w:rPr>
              <w:t xml:space="preserve">Lotteries Commission Amendment Act 1998 </w:t>
            </w:r>
            <w:r>
              <w:t>s. 23</w:t>
            </w:r>
          </w:p>
        </w:tc>
        <w:tc>
          <w:tcPr>
            <w:tcW w:w="1134" w:type="dxa"/>
          </w:tcPr>
          <w:p>
            <w:pPr>
              <w:pStyle w:val="nTable"/>
              <w:spacing w:after="40"/>
            </w:pPr>
            <w:r>
              <w:t>26 of 1998</w:t>
            </w:r>
          </w:p>
        </w:tc>
        <w:tc>
          <w:tcPr>
            <w:tcW w:w="1134" w:type="dxa"/>
          </w:tcPr>
          <w:p>
            <w:pPr>
              <w:pStyle w:val="nTable"/>
              <w:spacing w:after="40"/>
            </w:pPr>
            <w:r>
              <w:t>30 Jun 1998</w:t>
            </w:r>
          </w:p>
        </w:tc>
        <w:tc>
          <w:tcPr>
            <w:tcW w:w="2551" w:type="dxa"/>
          </w:tcPr>
          <w:p>
            <w:pPr>
              <w:pStyle w:val="nTable"/>
              <w:spacing w:after="40"/>
            </w:pPr>
            <w:r>
              <w:t xml:space="preserve">22 Jul 1998 (see s. 2 and </w:t>
            </w:r>
            <w:r>
              <w:rPr>
                <w:i/>
              </w:rPr>
              <w:t>Gazette</w:t>
            </w:r>
            <w:r>
              <w:t xml:space="preserve"> 21 Jul 1998 p. 3825)</w:t>
            </w:r>
          </w:p>
        </w:tc>
      </w:tr>
      <w:tr>
        <w:trPr>
          <w:cantSplit/>
        </w:trPr>
        <w:tc>
          <w:tcPr>
            <w:tcW w:w="7087" w:type="dxa"/>
            <w:gridSpan w:val="4"/>
          </w:tcPr>
          <w:p>
            <w:pPr>
              <w:pStyle w:val="nTable"/>
              <w:spacing w:after="40"/>
            </w:pPr>
            <w:r>
              <w:rPr>
                <w:b/>
                <w:bCs/>
              </w:rPr>
              <w:t xml:space="preserve">Reprint of the </w:t>
            </w:r>
            <w:r>
              <w:rPr>
                <w:b/>
                <w:bCs/>
                <w:i/>
                <w:iCs/>
              </w:rPr>
              <w:t>Gaming Commission Act 1987</w:t>
            </w:r>
            <w:r>
              <w:rPr>
                <w:b/>
                <w:bCs/>
              </w:rPr>
              <w:t xml:space="preserve"> as at 30 Oct 1998</w:t>
            </w:r>
            <w:r>
              <w:t xml:space="preserve"> (includes amendments listed above)</w:t>
            </w:r>
          </w:p>
        </w:tc>
      </w:tr>
      <w:tr>
        <w:tc>
          <w:tcPr>
            <w:tcW w:w="2268" w:type="dxa"/>
          </w:tcPr>
          <w:p>
            <w:pPr>
              <w:pStyle w:val="nTable"/>
              <w:spacing w:after="40"/>
              <w:rPr>
                <w:vertAlign w:val="superscript"/>
              </w:rPr>
            </w:pPr>
            <w:r>
              <w:rPr>
                <w:i/>
              </w:rPr>
              <w:t xml:space="preserve">Acts Amendment (Continuing Lotteries) Act 2000 </w:t>
            </w:r>
            <w:r>
              <w:t>Pt. 3</w:t>
            </w:r>
            <w:r>
              <w:rPr>
                <w:vertAlign w:val="superscript"/>
              </w:rPr>
              <w:t> 4</w:t>
            </w:r>
          </w:p>
        </w:tc>
        <w:tc>
          <w:tcPr>
            <w:tcW w:w="1134" w:type="dxa"/>
          </w:tcPr>
          <w:p>
            <w:pPr>
              <w:pStyle w:val="nTable"/>
              <w:spacing w:after="40"/>
            </w:pPr>
            <w:r>
              <w:t>6 of 2000</w:t>
            </w:r>
            <w:r>
              <w:br/>
              <w:t>(as amended by No. 45 of 2002 s. 6)</w:t>
            </w:r>
          </w:p>
        </w:tc>
        <w:tc>
          <w:tcPr>
            <w:tcW w:w="1134" w:type="dxa"/>
          </w:tcPr>
          <w:p>
            <w:pPr>
              <w:pStyle w:val="nTable"/>
              <w:spacing w:after="40"/>
            </w:pPr>
            <w:r>
              <w:t>11 Apr 2000</w:t>
            </w:r>
          </w:p>
        </w:tc>
        <w:tc>
          <w:tcPr>
            <w:tcW w:w="2551" w:type="dxa"/>
          </w:tcPr>
          <w:p>
            <w:pPr>
              <w:pStyle w:val="nTable"/>
              <w:spacing w:after="40"/>
            </w:pPr>
            <w:r>
              <w:t xml:space="preserve">1 Jul 2000 (see s. 2 and </w:t>
            </w:r>
            <w:r>
              <w:rPr>
                <w:i/>
              </w:rPr>
              <w:t>Gazette</w:t>
            </w:r>
            <w:r>
              <w:t xml:space="preserve"> 23 Jun 2000 p. 3191)</w:t>
            </w:r>
          </w:p>
        </w:tc>
      </w:tr>
      <w:tr>
        <w:tc>
          <w:tcPr>
            <w:tcW w:w="2268" w:type="dxa"/>
          </w:tcPr>
          <w:p>
            <w:pPr>
              <w:pStyle w:val="nTable"/>
              <w:spacing w:after="40"/>
              <w:rPr>
                <w:i/>
              </w:rPr>
            </w:pPr>
            <w:r>
              <w:rPr>
                <w:i/>
              </w:rPr>
              <w:t xml:space="preserve">Statutes (Repeals and Minor Amendments) Act 2000 </w:t>
            </w:r>
            <w:r>
              <w:t>s. 52</w:t>
            </w:r>
          </w:p>
        </w:tc>
        <w:tc>
          <w:tcPr>
            <w:tcW w:w="1134" w:type="dxa"/>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c>
          <w:tcPr>
            <w:tcW w:w="2268" w:type="dxa"/>
          </w:tcPr>
          <w:p>
            <w:pPr>
              <w:pStyle w:val="nTable"/>
              <w:spacing w:after="40"/>
              <w:rPr>
                <w:i/>
              </w:rPr>
            </w:pPr>
            <w:r>
              <w:rPr>
                <w:i/>
              </w:rPr>
              <w:t>Corporations (Consequential Amendments) Act 2001</w:t>
            </w:r>
            <w:r>
              <w:t xml:space="preserve"> Pt. 27</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rPr>
                <w:i/>
              </w:rPr>
            </w:pPr>
            <w:r>
              <w:rPr>
                <w:i/>
              </w:rPr>
              <w:t xml:space="preserve">Taxation Administration (Consequential Provisions) Act 2002 </w:t>
            </w:r>
            <w:r>
              <w:t>s. 13</w:t>
            </w:r>
          </w:p>
        </w:tc>
        <w:tc>
          <w:tcPr>
            <w:tcW w:w="1134" w:type="dxa"/>
          </w:tcPr>
          <w:p>
            <w:pPr>
              <w:pStyle w:val="nTable"/>
              <w:spacing w:after="40"/>
            </w:pPr>
            <w:r>
              <w:t>45 of 2002</w:t>
            </w:r>
          </w:p>
        </w:tc>
        <w:tc>
          <w:tcPr>
            <w:tcW w:w="1134" w:type="dxa"/>
          </w:tcPr>
          <w:p>
            <w:pPr>
              <w:pStyle w:val="nTable"/>
              <w:spacing w:after="40"/>
            </w:pPr>
            <w:r>
              <w:t>20 Mar 2003</w:t>
            </w:r>
          </w:p>
        </w:tc>
        <w:tc>
          <w:tcPr>
            <w:tcW w:w="2551" w:type="dxa"/>
          </w:tcPr>
          <w:p>
            <w:pPr>
              <w:pStyle w:val="nTable"/>
              <w:spacing w:after="40"/>
            </w:pPr>
            <w:r>
              <w:t xml:space="preserve">1 Jul 2003 (see s. 2(1) and </w:t>
            </w:r>
            <w:r>
              <w:rPr>
                <w:i/>
              </w:rPr>
              <w:t>Gazette</w:t>
            </w:r>
            <w:r>
              <w:t xml:space="preserve"> 27 Jun 2003 p. 2383)</w:t>
            </w:r>
          </w:p>
        </w:tc>
      </w:tr>
      <w:tr>
        <w:tc>
          <w:tcPr>
            <w:tcW w:w="2268" w:type="dxa"/>
          </w:tcPr>
          <w:p>
            <w:pPr>
              <w:pStyle w:val="nTable"/>
              <w:spacing w:after="40"/>
            </w:pPr>
            <w:r>
              <w:rPr>
                <w:i/>
              </w:rPr>
              <w:t>Racing and Gambling Legislation Amendment and Repeal Act 2003</w:t>
            </w:r>
            <w:r>
              <w:t xml:space="preserve"> Pt. 9 Div. 1</w:t>
            </w:r>
            <w:r>
              <w:rPr>
                <w:vertAlign w:val="superscript"/>
              </w:rPr>
              <w:t> 5</w:t>
            </w:r>
          </w:p>
        </w:tc>
        <w:tc>
          <w:tcPr>
            <w:tcW w:w="1134" w:type="dxa"/>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rPr>
                <w:rFonts w:ascii="Times" w:hAnsi="Times"/>
              </w:rPr>
            </w:pPr>
            <w:r>
              <w:rPr>
                <w:rFonts w:ascii="Times" w:hAnsi="Times"/>
              </w:rPr>
              <w:t>s. 132(1) and (2), 151</w:t>
            </w:r>
            <w:r>
              <w:rPr>
                <w:rFonts w:ascii="Times" w:hAnsi="Times"/>
              </w:rPr>
              <w:noBreakHyphen/>
              <w:t>154, 163</w:t>
            </w:r>
            <w:r>
              <w:rPr>
                <w:rFonts w:ascii="Times" w:hAnsi="Times"/>
              </w:rPr>
              <w:noBreakHyphen/>
              <w:t xml:space="preserve">164: 1 Aug 2003 (see s. 2 and </w:t>
            </w:r>
            <w:r>
              <w:rPr>
                <w:rFonts w:ascii="Times" w:hAnsi="Times"/>
                <w:i/>
              </w:rPr>
              <w:t>Gazette</w:t>
            </w:r>
            <w:r>
              <w:rPr>
                <w:rFonts w:ascii="Times" w:hAnsi="Times"/>
              </w:rPr>
              <w:t xml:space="preserve"> 29 Jul 2003 p. 3259);</w:t>
            </w:r>
            <w:r>
              <w:rPr>
                <w:rFonts w:ascii="Times" w:hAnsi="Times"/>
              </w:rPr>
              <w:br/>
              <w:t>s. 120</w:t>
            </w:r>
            <w:r>
              <w:rPr>
                <w:rFonts w:ascii="Times" w:hAnsi="Times"/>
              </w:rPr>
              <w:noBreakHyphen/>
              <w:t>131, 132(3), 133</w:t>
            </w:r>
            <w:r>
              <w:rPr>
                <w:rFonts w:ascii="Times" w:hAnsi="Times"/>
              </w:rPr>
              <w:noBreakHyphen/>
              <w:t>150, 155</w:t>
            </w:r>
            <w:r>
              <w:rPr>
                <w:rFonts w:ascii="Times" w:hAnsi="Times"/>
              </w:rPr>
              <w:noBreakHyphen/>
              <w:t>162 and 165</w:t>
            </w:r>
            <w:r>
              <w:rPr>
                <w:rFonts w:ascii="Times" w:hAnsi="Times"/>
              </w:rPr>
              <w:noBreakHyphen/>
              <w:t xml:space="preserve">168: 30 Jan 2004 (see s. 2 and </w:t>
            </w:r>
            <w:r>
              <w:rPr>
                <w:rFonts w:ascii="Times" w:hAnsi="Times"/>
                <w:i/>
              </w:rPr>
              <w:t>Gazette</w:t>
            </w:r>
            <w:r>
              <w:rPr>
                <w:rFonts w:ascii="Times" w:hAnsi="Times"/>
              </w:rPr>
              <w:t xml:space="preserve"> 30 Jan 2004 p. 397)</w:t>
            </w:r>
          </w:p>
        </w:tc>
      </w:tr>
      <w:tr>
        <w:tc>
          <w:tcPr>
            <w:tcW w:w="2268" w:type="dxa"/>
          </w:tcPr>
          <w:p>
            <w:pPr>
              <w:pStyle w:val="nTable"/>
              <w:spacing w:after="40"/>
              <w:rPr>
                <w:i/>
              </w:rPr>
            </w:pPr>
            <w:r>
              <w:rPr>
                <w:i/>
              </w:rPr>
              <w:t xml:space="preserve">Sentencing Legislation Amendment and Repeal Act 2003 </w:t>
            </w:r>
            <w:r>
              <w:t>s. 66</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7087" w:type="dxa"/>
            <w:gridSpan w:val="4"/>
          </w:tcPr>
          <w:p>
            <w:pPr>
              <w:pStyle w:val="nTable"/>
              <w:spacing w:after="40"/>
            </w:pPr>
            <w:r>
              <w:rPr>
                <w:b/>
                <w:bCs/>
              </w:rPr>
              <w:t xml:space="preserve">Reprint 3: The </w:t>
            </w:r>
            <w:r>
              <w:rPr>
                <w:b/>
                <w:bCs/>
                <w:i/>
                <w:iCs/>
              </w:rPr>
              <w:t>Gaming and Wagering Commission Act 1987</w:t>
            </w:r>
            <w:r>
              <w:rPr>
                <w:b/>
                <w:bCs/>
              </w:rPr>
              <w:t xml:space="preserve"> as at 3 Sep 2004</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iCs/>
                <w:snapToGrid w:val="0"/>
              </w:rPr>
              <w:t>Courts Legislation Amendment and Repeal Act 2004</w:t>
            </w:r>
            <w:r>
              <w:rPr>
                <w:snapToGrid w:val="0"/>
              </w:rPr>
              <w:t xml:space="preserve"> s. 141</w:t>
            </w:r>
          </w:p>
        </w:tc>
        <w:tc>
          <w:tcPr>
            <w:tcW w:w="1134" w:type="dxa"/>
            <w:tcBorders>
              <w:top w:val="nil"/>
              <w:bottom w:val="nil"/>
            </w:tcBorders>
          </w:tcPr>
          <w:p>
            <w:pPr>
              <w:pStyle w:val="nTable"/>
              <w:spacing w:after="40"/>
              <w:rPr>
                <w:snapToGrid w:val="0"/>
              </w:rPr>
            </w:pPr>
            <w:r>
              <w:rPr>
                <w:snapToGrid w:val="0"/>
              </w:rPr>
              <w:t>59 of 2004</w:t>
            </w:r>
          </w:p>
        </w:tc>
        <w:tc>
          <w:tcPr>
            <w:tcW w:w="1134" w:type="dxa"/>
            <w:tcBorders>
              <w:top w:val="nil"/>
              <w:bottom w:val="nil"/>
            </w:tcBorders>
          </w:tcPr>
          <w:p>
            <w:pPr>
              <w:pStyle w:val="nTable"/>
              <w:spacing w:after="40"/>
              <w:rPr>
                <w:snapToGrid w:val="0"/>
              </w:rPr>
            </w:pPr>
            <w:r>
              <w:rPr>
                <w:snapToGrid w:val="0"/>
              </w:rPr>
              <w:t>23 Nov 2004</w:t>
            </w:r>
          </w:p>
        </w:tc>
        <w:tc>
          <w:tcPr>
            <w:tcW w:w="2551" w:type="dxa"/>
            <w:tcBorders>
              <w:top w:val="nil"/>
              <w:bottom w:val="nil"/>
            </w:tcBorders>
          </w:tcPr>
          <w:p>
            <w:pPr>
              <w:pStyle w:val="nTable"/>
              <w:spacing w:after="40"/>
              <w:rPr>
                <w:snapToGrid w:val="0"/>
              </w:rPr>
            </w:pPr>
            <w:r>
              <w:rPr>
                <w:snapToGrid w:val="0"/>
              </w:rPr>
              <w:t xml:space="preserve">1 May 2005 (see s. 2 and </w:t>
            </w:r>
            <w:r>
              <w:rPr>
                <w:i/>
                <w:iCs/>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iCs/>
                <w:snapToGrid w:val="0"/>
              </w:rPr>
              <w:t xml:space="preserve">Criminal Law Amendment (Simple Offences) Act 2004 </w:t>
            </w:r>
            <w:r>
              <w:rPr>
                <w:snapToGrid w:val="0"/>
              </w:rPr>
              <w:t>s. 82</w:t>
            </w:r>
          </w:p>
        </w:tc>
        <w:tc>
          <w:tcPr>
            <w:tcW w:w="1134" w:type="dxa"/>
            <w:tcBorders>
              <w:top w:val="nil"/>
              <w:bottom w:val="nil"/>
            </w:tcBorders>
          </w:tcPr>
          <w:p>
            <w:pPr>
              <w:pStyle w:val="nTable"/>
              <w:spacing w:after="40"/>
              <w:rPr>
                <w:snapToGrid w:val="0"/>
              </w:rPr>
            </w:pPr>
            <w:r>
              <w:rPr>
                <w:snapToGrid w:val="0"/>
              </w:rPr>
              <w:t>70 of 2004</w:t>
            </w:r>
          </w:p>
        </w:tc>
        <w:tc>
          <w:tcPr>
            <w:tcW w:w="1134" w:type="dxa"/>
            <w:tcBorders>
              <w:top w:val="nil"/>
              <w:bottom w:val="nil"/>
            </w:tcBorders>
          </w:tcPr>
          <w:p>
            <w:pPr>
              <w:pStyle w:val="nTable"/>
              <w:spacing w:after="40"/>
              <w:rPr>
                <w:snapToGrid w:val="0"/>
              </w:rPr>
            </w:pPr>
            <w:r>
              <w:rPr>
                <w:snapToGrid w:val="0"/>
              </w:rPr>
              <w:t>8 Dec 2004</w:t>
            </w:r>
          </w:p>
        </w:tc>
        <w:tc>
          <w:tcPr>
            <w:tcW w:w="2551" w:type="dxa"/>
            <w:tcBorders>
              <w:top w:val="nil"/>
              <w:bottom w:val="nil"/>
            </w:tcBorders>
          </w:tcPr>
          <w:p>
            <w:pPr>
              <w:pStyle w:val="nTable"/>
              <w:spacing w:after="40"/>
              <w:rPr>
                <w:snapToGrid w:val="0"/>
              </w:rPr>
            </w:pPr>
            <w:r>
              <w:rPr>
                <w:snapToGrid w:val="0"/>
              </w:rPr>
              <w:t xml:space="preserve">31 May 2005 (see s. 2 and </w:t>
            </w:r>
            <w:r>
              <w:rPr>
                <w:i/>
                <w:iCs/>
                <w:snapToGrid w:val="0"/>
              </w:rPr>
              <w:t>Gazette</w:t>
            </w:r>
            <w:r>
              <w:rPr>
                <w:snapToGrid w:val="0"/>
              </w:rPr>
              <w:t xml:space="preserve"> 14 Jan 2005 p. 163)</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1"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c>
          <w:tcPr>
            <w:tcW w:w="2268" w:type="dxa"/>
          </w:tcPr>
          <w:p>
            <w:pPr>
              <w:pStyle w:val="nTable"/>
              <w:spacing w:after="40"/>
              <w:rPr>
                <w:i/>
                <w:iCs/>
                <w:snapToGrid w:val="0"/>
              </w:rPr>
            </w:pPr>
            <w:r>
              <w:rPr>
                <w:i/>
                <w:iCs/>
                <w:snapToGrid w:val="0"/>
              </w:rPr>
              <w:t xml:space="preserve">Machinery of Government (Miscellaneous Amendments) Act 2006 </w:t>
            </w:r>
            <w:r>
              <w:rPr>
                <w:snapToGrid w:val="0"/>
              </w:rPr>
              <w:t>Pt. 16 Div. 1</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rPr>
          <w:cantSplit/>
        </w:trPr>
        <w:tc>
          <w:tcPr>
            <w:tcW w:w="7087" w:type="dxa"/>
            <w:gridSpan w:val="4"/>
          </w:tcPr>
          <w:p>
            <w:pPr>
              <w:pStyle w:val="nTable"/>
              <w:spacing w:after="40"/>
              <w:rPr>
                <w:snapToGrid w:val="0"/>
              </w:rPr>
            </w:pPr>
            <w:r>
              <w:rPr>
                <w:b/>
                <w:bCs/>
              </w:rPr>
              <w:t xml:space="preserve">Reprint 4: The </w:t>
            </w:r>
            <w:r>
              <w:rPr>
                <w:b/>
                <w:bCs/>
                <w:i/>
                <w:iCs/>
              </w:rPr>
              <w:t>Gaming and Wagering Commission Act 1987</w:t>
            </w:r>
            <w:r>
              <w:rPr>
                <w:b/>
                <w:bCs/>
              </w:rPr>
              <w:t xml:space="preserve"> as at 18 Aug 2006</w:t>
            </w:r>
            <w:r>
              <w:t xml:space="preserve"> (includes amendments listed above)</w:t>
            </w:r>
          </w:p>
        </w:tc>
      </w:tr>
      <w:tr>
        <w:trPr>
          <w:cantSplit/>
        </w:trPr>
        <w:tc>
          <w:tcPr>
            <w:tcW w:w="2268" w:type="dxa"/>
          </w:tcPr>
          <w:p>
            <w:pPr>
              <w:pStyle w:val="nTable"/>
              <w:spacing w:after="40"/>
              <w:rPr>
                <w:iCs/>
                <w:snapToGrid w:val="0"/>
              </w:rPr>
            </w:pPr>
            <w:r>
              <w:rPr>
                <w:i/>
                <w:snapToGrid w:val="0"/>
              </w:rPr>
              <w:t>Criminal Investigation (Consequential Provisions) Act 2006</w:t>
            </w:r>
            <w:r>
              <w:rPr>
                <w:iCs/>
                <w:snapToGrid w:val="0"/>
              </w:rPr>
              <w:t xml:space="preserve"> Pt. 9</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Cs/>
                <w:snapToGrid w:val="0"/>
              </w:rPr>
            </w:pPr>
            <w:r>
              <w:rPr>
                <w:i/>
                <w:snapToGrid w:val="0"/>
              </w:rPr>
              <w:t>Betting and Racing Legislation Amendment Act 2006</w:t>
            </w:r>
            <w:r>
              <w:rPr>
                <w:iCs/>
                <w:snapToGrid w:val="0"/>
              </w:rPr>
              <w:t xml:space="preserve"> s. 9(2)</w:t>
            </w:r>
          </w:p>
        </w:tc>
        <w:tc>
          <w:tcPr>
            <w:tcW w:w="1134" w:type="dxa"/>
          </w:tcPr>
          <w:p>
            <w:pPr>
              <w:pStyle w:val="nTable"/>
              <w:spacing w:after="40"/>
              <w:rPr>
                <w:snapToGrid w:val="0"/>
              </w:rPr>
            </w:pPr>
            <w:r>
              <w:rPr>
                <w:snapToGrid w:val="0"/>
              </w:rPr>
              <w:t>70 of 2006</w:t>
            </w:r>
          </w:p>
        </w:tc>
        <w:tc>
          <w:tcPr>
            <w:tcW w:w="1134" w:type="dxa"/>
          </w:tcPr>
          <w:p>
            <w:pPr>
              <w:pStyle w:val="nTable"/>
              <w:spacing w:after="40"/>
            </w:pPr>
            <w:r>
              <w:t>13 Dec 2006</w:t>
            </w:r>
          </w:p>
        </w:tc>
        <w:tc>
          <w:tcPr>
            <w:tcW w:w="2551" w:type="dxa"/>
          </w:tcPr>
          <w:p>
            <w:pPr>
              <w:pStyle w:val="nTable"/>
              <w:spacing w:after="40"/>
              <w:rPr>
                <w:snapToGrid w:val="0"/>
              </w:rPr>
            </w:pPr>
            <w:r>
              <w:rPr>
                <w:snapToGrid w:val="0"/>
              </w:rPr>
              <w:t xml:space="preserve">9 Jul 2007 (see s. 2 and </w:t>
            </w:r>
            <w:r>
              <w:rPr>
                <w:i/>
                <w:iCs/>
                <w:snapToGrid w:val="0"/>
              </w:rPr>
              <w:t>Gazette</w:t>
            </w:r>
            <w:r>
              <w:rPr>
                <w:snapToGrid w:val="0"/>
              </w:rPr>
              <w:t xml:space="preserve"> 22 Jun 2007 p. 2837)</w:t>
            </w:r>
          </w:p>
        </w:tc>
      </w:tr>
      <w:tr>
        <w:tc>
          <w:tcPr>
            <w:tcW w:w="2268" w:type="dxa"/>
          </w:tcPr>
          <w:p>
            <w:pPr>
              <w:pStyle w:val="nTable"/>
              <w:spacing w:after="40"/>
              <w:rPr>
                <w:i/>
                <w:iCs/>
                <w:snapToGrid w:val="0"/>
              </w:rPr>
            </w:pPr>
            <w:r>
              <w:rPr>
                <w:i/>
                <w:iCs/>
                <w:snapToGrid w:val="0"/>
              </w:rPr>
              <w:t xml:space="preserve">Liquor and Gaming Legislation Amendment Act 2006 </w:t>
            </w:r>
            <w:r>
              <w:rPr>
                <w:snapToGrid w:val="0"/>
              </w:rPr>
              <w:t>Pt. 3 and 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s. 114: 7 May 2007 (see s. 2(2) and </w:t>
            </w:r>
            <w:r>
              <w:rPr>
                <w:i/>
                <w:iCs/>
                <w:snapToGrid w:val="0"/>
              </w:rPr>
              <w:t xml:space="preserve">Gazette </w:t>
            </w:r>
            <w:r>
              <w:rPr>
                <w:snapToGrid w:val="0"/>
              </w:rPr>
              <w:t>1 May 2007 p. 1893);</w:t>
            </w:r>
            <w:r>
              <w:rPr>
                <w:snapToGrid w:val="0"/>
              </w:rPr>
              <w:br/>
              <w:t xml:space="preserve">Pt. 3: 14 Jun 2008 (see s. 2(2) and </w:t>
            </w:r>
            <w:r>
              <w:rPr>
                <w:i/>
                <w:iCs/>
                <w:snapToGrid w:val="0"/>
              </w:rPr>
              <w:t>Gazette</w:t>
            </w:r>
            <w:r>
              <w:rPr>
                <w:snapToGrid w:val="0"/>
              </w:rPr>
              <w:t xml:space="preserve"> 13 Jun 2008 p. 2515)</w:t>
            </w:r>
          </w:p>
        </w:tc>
      </w:tr>
      <w:tr>
        <w:tc>
          <w:tcPr>
            <w:tcW w:w="2268" w:type="dxa"/>
          </w:tcPr>
          <w:p>
            <w:pPr>
              <w:pStyle w:val="nTable"/>
              <w:spacing w:after="40"/>
              <w:rPr>
                <w:i/>
                <w:iCs/>
                <w:snapToGrid w:val="0"/>
              </w:rPr>
            </w:pPr>
            <w:r>
              <w:rPr>
                <w:i/>
                <w:snapToGrid w:val="0"/>
              </w:rPr>
              <w:t xml:space="preserve">Financial Legislation Amendment and Repeal Act 2006 </w:t>
            </w:r>
            <w:r>
              <w:rPr>
                <w:iCs/>
                <w:snapToGrid w:val="0"/>
              </w:rPr>
              <w:t xml:space="preserve">s. 4 and </w:t>
            </w:r>
            <w:r>
              <w:t>Sch. 1 cl. 71</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Cs/>
                <w:snapToGrid w:val="0"/>
              </w:rPr>
            </w:pPr>
            <w:r>
              <w:rPr>
                <w:i/>
                <w:snapToGrid w:val="0"/>
              </w:rPr>
              <w:t>Racing, Wagering and Betting Legislation Amendment and Repeal Act 2007 </w:t>
            </w:r>
            <w:r>
              <w:rPr>
                <w:iCs/>
                <w:snapToGrid w:val="0"/>
              </w:rPr>
              <w:t>Pt. 3</w:t>
            </w:r>
          </w:p>
        </w:tc>
        <w:tc>
          <w:tcPr>
            <w:tcW w:w="1134" w:type="dxa"/>
          </w:tcPr>
          <w:p>
            <w:pPr>
              <w:pStyle w:val="nTable"/>
              <w:spacing w:after="40"/>
              <w:rPr>
                <w:snapToGrid w:val="0"/>
              </w:rPr>
            </w:pPr>
            <w:r>
              <w:rPr>
                <w:snapToGrid w:val="0"/>
              </w:rPr>
              <w:t>8 of 2007</w:t>
            </w:r>
          </w:p>
        </w:tc>
        <w:tc>
          <w:tcPr>
            <w:tcW w:w="1134" w:type="dxa"/>
          </w:tcPr>
          <w:p>
            <w:pPr>
              <w:pStyle w:val="nTable"/>
              <w:spacing w:after="40"/>
              <w:rPr>
                <w:snapToGrid w:val="0"/>
              </w:rPr>
            </w:pPr>
            <w:r>
              <w:rPr>
                <w:snapToGrid w:val="0"/>
              </w:rPr>
              <w:t>13 Jun 2007</w:t>
            </w:r>
          </w:p>
        </w:tc>
        <w:tc>
          <w:tcPr>
            <w:tcW w:w="2551" w:type="dxa"/>
          </w:tcPr>
          <w:p>
            <w:pPr>
              <w:pStyle w:val="nTable"/>
              <w:spacing w:after="40"/>
              <w:rPr>
                <w:snapToGrid w:val="0"/>
              </w:rPr>
            </w:pPr>
            <w:r>
              <w:rPr>
                <w:snapToGrid w:val="0"/>
              </w:rPr>
              <w:t>14 Jun 2007 (see s. 2)</w:t>
            </w:r>
          </w:p>
        </w:tc>
      </w:tr>
      <w:tr>
        <w:trPr>
          <w:cantSplit/>
        </w:trPr>
        <w:tc>
          <w:tcPr>
            <w:tcW w:w="7087" w:type="dxa"/>
            <w:gridSpan w:val="4"/>
          </w:tcPr>
          <w:p>
            <w:pPr>
              <w:pStyle w:val="nTable"/>
              <w:spacing w:after="40"/>
              <w:rPr>
                <w:snapToGrid w:val="0"/>
              </w:rPr>
            </w:pPr>
            <w:r>
              <w:rPr>
                <w:b/>
                <w:bCs/>
              </w:rPr>
              <w:t xml:space="preserve">Reprint 5: The </w:t>
            </w:r>
            <w:r>
              <w:rPr>
                <w:b/>
                <w:bCs/>
                <w:i/>
                <w:iCs/>
              </w:rPr>
              <w:t>Gaming and Wagering Commission Act 1987</w:t>
            </w:r>
            <w:r>
              <w:rPr>
                <w:b/>
                <w:bCs/>
              </w:rPr>
              <w:t xml:space="preserve"> as at 2 Nov 2007</w:t>
            </w:r>
            <w:r>
              <w:rPr>
                <w:b/>
                <w:bCs/>
              </w:rPr>
              <w:br/>
            </w:r>
            <w:r>
              <w:t xml:space="preserve">(includes amendments listed above except those in the </w:t>
            </w:r>
            <w:r>
              <w:rPr>
                <w:i/>
                <w:iCs/>
                <w:snapToGrid w:val="0"/>
              </w:rPr>
              <w:t xml:space="preserve">Liquor and Gaming Legislation Amendment Act 2006 </w:t>
            </w:r>
            <w:r>
              <w:rPr>
                <w:snapToGrid w:val="0"/>
              </w:rPr>
              <w:t>Pt. 3</w:t>
            </w:r>
            <w: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9</w:t>
            </w:r>
          </w:p>
        </w:tc>
        <w:tc>
          <w:tcPr>
            <w:tcW w:w="1134" w:type="dxa"/>
          </w:tcPr>
          <w:p>
            <w:pPr>
              <w:pStyle w:val="nTable"/>
              <w:spacing w:after="40"/>
            </w:pPr>
            <w:r>
              <w:t>12 of 2008</w:t>
            </w:r>
          </w:p>
        </w:tc>
        <w:tc>
          <w:tcPr>
            <w:tcW w:w="1134" w:type="dxa"/>
          </w:tcPr>
          <w:p>
            <w:pPr>
              <w:pStyle w:val="nTable"/>
              <w:spacing w:after="40"/>
            </w:pPr>
            <w:r>
              <w:t>14 Apr 2008</w:t>
            </w:r>
          </w:p>
        </w:tc>
        <w:tc>
          <w:tcPr>
            <w:tcW w:w="2551" w:type="dxa"/>
          </w:tcPr>
          <w:p>
            <w:pPr>
              <w:pStyle w:val="nTable"/>
              <w:spacing w:after="40"/>
            </w:pPr>
            <w:r>
              <w:t>1 Jul 2008 (see s. 2(d))</w:t>
            </w:r>
          </w:p>
        </w:tc>
      </w:tr>
      <w:tr>
        <w:trPr>
          <w:cantSplit/>
        </w:trPr>
        <w:tc>
          <w:tcPr>
            <w:tcW w:w="2268" w:type="dxa"/>
          </w:tcPr>
          <w:p>
            <w:pPr>
              <w:pStyle w:val="nTable"/>
              <w:spacing w:after="40"/>
              <w:ind w:right="113"/>
              <w:rPr>
                <w:iCs/>
              </w:rPr>
            </w:pPr>
            <w:r>
              <w:rPr>
                <w:i/>
              </w:rPr>
              <w:t>Statutes (Repeals and Miscellaneous Amendments) Act 2009</w:t>
            </w:r>
            <w:r>
              <w:rPr>
                <w:iCs/>
              </w:rPr>
              <w:t xml:space="preserve"> s. 63</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
              </w:rPr>
            </w:pPr>
            <w:r>
              <w:rPr>
                <w:i/>
                <w:iCs/>
                <w:snapToGrid w:val="0"/>
              </w:rPr>
              <w:t>Racing and Wagering Legislation Amendment Act 2009</w:t>
            </w:r>
            <w:r>
              <w:rPr>
                <w:iCs/>
                <w:snapToGrid w:val="0"/>
              </w:rPr>
              <w:t xml:space="preserve"> Pt. 3</w:t>
            </w:r>
          </w:p>
        </w:tc>
        <w:tc>
          <w:tcPr>
            <w:tcW w:w="1134" w:type="dxa"/>
          </w:tcPr>
          <w:p>
            <w:pPr>
              <w:pStyle w:val="nTable"/>
              <w:spacing w:after="40"/>
            </w:pPr>
            <w:r>
              <w:t>29 of 2009</w:t>
            </w:r>
          </w:p>
        </w:tc>
        <w:tc>
          <w:tcPr>
            <w:tcW w:w="1134" w:type="dxa"/>
          </w:tcPr>
          <w:p>
            <w:pPr>
              <w:pStyle w:val="nTable"/>
              <w:spacing w:after="40"/>
            </w:pPr>
            <w:r>
              <w:rPr>
                <w:snapToGrid w:val="0"/>
              </w:rPr>
              <w:t>23 Nov 2009</w:t>
            </w:r>
          </w:p>
        </w:tc>
        <w:tc>
          <w:tcPr>
            <w:tcW w:w="2551" w:type="dxa"/>
          </w:tcPr>
          <w:p>
            <w:pPr>
              <w:pStyle w:val="nTable"/>
              <w:spacing w:after="40"/>
            </w:pPr>
            <w:r>
              <w:t xml:space="preserve">11 Jan 2010 (see s. 2(b) and </w:t>
            </w:r>
            <w:r>
              <w:rPr>
                <w:i/>
                <w:iCs/>
              </w:rPr>
              <w:t>Gazette</w:t>
            </w:r>
            <w:r>
              <w:t xml:space="preserve"> 8 Jan 2010 p. 9-10)</w:t>
            </w:r>
          </w:p>
        </w:tc>
      </w:tr>
      <w:tr>
        <w:trPr>
          <w:cantSplit/>
        </w:trPr>
        <w:tc>
          <w:tcPr>
            <w:tcW w:w="2268" w:type="dxa"/>
          </w:tcPr>
          <w:p>
            <w:pPr>
              <w:pStyle w:val="nTable"/>
              <w:spacing w:after="40"/>
              <w:ind w:right="113"/>
              <w:rPr>
                <w:snapToGrid w:val="0"/>
              </w:rPr>
            </w:pPr>
            <w:r>
              <w:rPr>
                <w:i/>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snapToGrid w:val="0"/>
              </w:rPr>
            </w:pP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Amendment Act 2011</w:t>
            </w:r>
            <w:r>
              <w:rPr>
                <w:snapToGrid w:val="0"/>
              </w:rPr>
              <w:t xml:space="preserve"> Pt. 3</w:t>
            </w:r>
          </w:p>
        </w:tc>
        <w:tc>
          <w:tcPr>
            <w:tcW w:w="1134" w:type="dxa"/>
            <w:shd w:val="clear" w:color="auto" w:fill="auto"/>
          </w:tcPr>
          <w:p>
            <w:pPr>
              <w:pStyle w:val="nTable"/>
              <w:spacing w:after="40"/>
              <w:rPr>
                <w:snapToGrid w:val="0"/>
              </w:rPr>
            </w:pPr>
            <w:r>
              <w:rPr>
                <w:snapToGrid w:val="0"/>
              </w:rPr>
              <w:t>25 of 2011</w:t>
            </w:r>
          </w:p>
        </w:tc>
        <w:tc>
          <w:tcPr>
            <w:tcW w:w="1134"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7087" w:type="dxa"/>
            <w:gridSpan w:val="4"/>
            <w:shd w:val="clear" w:color="auto" w:fill="auto"/>
          </w:tcPr>
          <w:p>
            <w:pPr>
              <w:pStyle w:val="nTable"/>
              <w:spacing w:after="40"/>
              <w:rPr>
                <w:snapToGrid w:val="0"/>
              </w:rPr>
            </w:pPr>
            <w:r>
              <w:rPr>
                <w:b/>
                <w:bCs/>
              </w:rPr>
              <w:t xml:space="preserve">Reprint 6: The </w:t>
            </w:r>
            <w:r>
              <w:rPr>
                <w:b/>
                <w:bCs/>
                <w:i/>
                <w:iCs/>
              </w:rPr>
              <w:t>Gaming and Wagering Commission Act 1987</w:t>
            </w:r>
            <w:r>
              <w:rPr>
                <w:b/>
                <w:bCs/>
              </w:rPr>
              <w:t xml:space="preserve"> as at 16 Dec 2011</w:t>
            </w:r>
            <w:r>
              <w:rPr>
                <w:b/>
                <w:bCs/>
              </w:rPr>
              <w:br/>
            </w:r>
            <w:r>
              <w:t>(includes amendments listed above)</w:t>
            </w:r>
          </w:p>
        </w:tc>
      </w:tr>
      <w:tr>
        <w:trPr>
          <w:cantSplit/>
        </w:trPr>
        <w:tc>
          <w:tcPr>
            <w:tcW w:w="2268" w:type="dxa"/>
            <w:tcBorders>
              <w:bottom w:val="single" w:sz="4" w:space="0" w:color="auto"/>
            </w:tcBorders>
            <w:shd w:val="clear" w:color="auto" w:fill="auto"/>
          </w:tcPr>
          <w:p>
            <w:pPr>
              <w:pStyle w:val="nTable"/>
              <w:spacing w:after="40"/>
              <w:ind w:right="113"/>
              <w:rPr>
                <w:snapToGrid w:val="0"/>
              </w:rPr>
            </w:pPr>
            <w:r>
              <w:rPr>
                <w:i/>
                <w:snapToGrid w:val="0"/>
                <w:lang w:val="en-US"/>
              </w:rPr>
              <w:t>Corruption and Crime Commission Amendment (Misconduct) Act 2014</w:t>
            </w:r>
            <w:r>
              <w:rPr>
                <w:snapToGrid w:val="0"/>
                <w:lang w:val="en-US"/>
              </w:rPr>
              <w:t xml:space="preserve"> s. 39</w:t>
            </w:r>
          </w:p>
        </w:tc>
        <w:tc>
          <w:tcPr>
            <w:tcW w:w="1134" w:type="dxa"/>
            <w:tcBorders>
              <w:bottom w:val="single" w:sz="4" w:space="0" w:color="auto"/>
            </w:tcBorders>
            <w:shd w:val="clear" w:color="auto" w:fill="auto"/>
          </w:tcPr>
          <w:p>
            <w:pPr>
              <w:pStyle w:val="nTable"/>
              <w:spacing w:after="40"/>
              <w:rPr>
                <w:snapToGrid w:val="0"/>
              </w:rPr>
            </w:pPr>
            <w:r>
              <w:rPr>
                <w:snapToGrid w:val="0"/>
                <w:lang w:val="en-US"/>
              </w:rPr>
              <w:t>35 of 2014</w:t>
            </w:r>
          </w:p>
        </w:tc>
        <w:tc>
          <w:tcPr>
            <w:tcW w:w="1134" w:type="dxa"/>
            <w:tcBorders>
              <w:bottom w:val="single" w:sz="4" w:space="0" w:color="auto"/>
            </w:tcBorders>
            <w:shd w:val="clear" w:color="auto" w:fill="auto"/>
          </w:tcPr>
          <w:p>
            <w:pPr>
              <w:pStyle w:val="nTable"/>
              <w:spacing w:after="40"/>
              <w:rPr>
                <w:snapToGrid w:val="0"/>
              </w:rPr>
            </w:pPr>
            <w:r>
              <w:t>9 Dec 2014</w:t>
            </w:r>
          </w:p>
        </w:tc>
        <w:tc>
          <w:tcPr>
            <w:tcW w:w="2551" w:type="dxa"/>
            <w:tcBorders>
              <w:bottom w:val="single" w:sz="4" w:space="0" w:color="auto"/>
            </w:tcBorders>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15" w:name="_Toc7405065"/>
      <w:bookmarkStart w:id="416" w:name="_Toc406079970"/>
      <w:bookmarkStart w:id="417" w:name="_Toc423529723"/>
      <w:r>
        <w:t>Provisions that have not come into operation</w:t>
      </w:r>
      <w:bookmarkEnd w:id="415"/>
      <w:bookmarkEnd w:id="416"/>
      <w:bookmarkEnd w:id="417"/>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gridCol w:w="8"/>
      </w:tblGrid>
      <w:tr>
        <w:tc>
          <w:tcPr>
            <w:tcW w:w="2268" w:type="dxa"/>
            <w:tcBorders>
              <w:bottom w:val="single" w:sz="4" w:space="0" w:color="auto"/>
            </w:tcBorders>
          </w:tcPr>
          <w:p>
            <w:pPr>
              <w:pStyle w:val="nTable"/>
              <w:spacing w:after="40"/>
              <w:rPr>
                <w:b/>
                <w:snapToGrid w:val="0"/>
                <w:lang w:val="en-US"/>
              </w:rPr>
            </w:pPr>
            <w:r>
              <w:rPr>
                <w:b/>
                <w:snapToGrid w:val="0"/>
                <w:lang w:val="en-US"/>
              </w:rPr>
              <w:t>Short title</w:t>
            </w:r>
          </w:p>
        </w:tc>
        <w:tc>
          <w:tcPr>
            <w:tcW w:w="1134" w:type="dxa"/>
            <w:tcBorders>
              <w:bottom w:val="single" w:sz="4" w:space="0" w:color="auto"/>
            </w:tcBorders>
          </w:tcPr>
          <w:p>
            <w:pPr>
              <w:pStyle w:val="nTable"/>
              <w:spacing w:after="40"/>
              <w:rPr>
                <w:b/>
                <w:snapToGrid w:val="0"/>
                <w:lang w:val="en-US"/>
              </w:rPr>
            </w:pPr>
            <w:r>
              <w:rPr>
                <w:b/>
                <w:snapToGrid w:val="0"/>
                <w:lang w:val="en-US"/>
              </w:rPr>
              <w:t>Number and year</w:t>
            </w:r>
          </w:p>
        </w:tc>
        <w:tc>
          <w:tcPr>
            <w:tcW w:w="1134" w:type="dxa"/>
            <w:tcBorders>
              <w:bottom w:val="single" w:sz="4" w:space="0" w:color="auto"/>
            </w:tcBorders>
          </w:tcPr>
          <w:p>
            <w:pPr>
              <w:pStyle w:val="nTable"/>
              <w:spacing w:after="40"/>
              <w:rPr>
                <w:b/>
                <w:snapToGrid w:val="0"/>
                <w:lang w:val="en-US"/>
              </w:rPr>
            </w:pPr>
            <w:r>
              <w:rPr>
                <w:b/>
                <w:snapToGrid w:val="0"/>
                <w:lang w:val="en-US"/>
              </w:rPr>
              <w:t>Assent</w:t>
            </w:r>
          </w:p>
        </w:tc>
        <w:tc>
          <w:tcPr>
            <w:tcW w:w="2560" w:type="dxa"/>
            <w:gridSpan w:val="2"/>
            <w:tcBorders>
              <w:bottom w:val="single" w:sz="4" w:space="0" w:color="auto"/>
            </w:tcBorders>
          </w:tcPr>
          <w:p>
            <w:pPr>
              <w:pStyle w:val="nTable"/>
              <w:spacing w:after="40"/>
              <w:rPr>
                <w:b/>
                <w:snapToGrid w:val="0"/>
                <w:lang w:val="en-US"/>
              </w:rPr>
            </w:pPr>
            <w:r>
              <w:rPr>
                <w:b/>
                <w:snapToGrid w:val="0"/>
                <w:lang w:val="en-US"/>
              </w:rPr>
              <w:t>Commencement</w:t>
            </w:r>
          </w:p>
        </w:tc>
      </w:tr>
      <w:tr>
        <w:tc>
          <w:tcPr>
            <w:tcW w:w="2268" w:type="dxa"/>
            <w:tcBorders>
              <w:bottom w:val="nil"/>
            </w:tcBorders>
          </w:tcPr>
          <w:p>
            <w:pPr>
              <w:pStyle w:val="nTable"/>
              <w:spacing w:after="40"/>
              <w:rPr>
                <w:vertAlign w:val="superscript"/>
              </w:rPr>
            </w:pPr>
            <w:r>
              <w:rPr>
                <w:i/>
              </w:rPr>
              <w:t>Mental Health Legislation Amendment Act 2014</w:t>
            </w:r>
            <w:r>
              <w:t xml:space="preserve"> Pt. 4 Div. 4 Subdiv. 12 </w:t>
            </w:r>
            <w:r>
              <w:rPr>
                <w:vertAlign w:val="superscript"/>
              </w:rPr>
              <w:t>6</w:t>
            </w:r>
          </w:p>
        </w:tc>
        <w:tc>
          <w:tcPr>
            <w:tcW w:w="1134" w:type="dxa"/>
            <w:tcBorders>
              <w:bottom w:val="nil"/>
            </w:tcBorders>
          </w:tcPr>
          <w:p>
            <w:pPr>
              <w:pStyle w:val="nTable"/>
              <w:spacing w:after="40"/>
              <w:rPr>
                <w:snapToGrid w:val="0"/>
                <w:lang w:val="en-US"/>
              </w:rPr>
            </w:pPr>
            <w:r>
              <w:rPr>
                <w:snapToGrid w:val="0"/>
                <w:lang w:val="en-US"/>
              </w:rPr>
              <w:t>25 of 2014</w:t>
            </w:r>
          </w:p>
        </w:tc>
        <w:tc>
          <w:tcPr>
            <w:tcW w:w="1134" w:type="dxa"/>
            <w:tcBorders>
              <w:bottom w:val="nil"/>
            </w:tcBorders>
          </w:tcPr>
          <w:p>
            <w:pPr>
              <w:pStyle w:val="nTable"/>
              <w:spacing w:after="40"/>
              <w:rPr>
                <w:snapToGrid w:val="0"/>
                <w:lang w:val="en-US"/>
              </w:rPr>
            </w:pPr>
            <w:r>
              <w:t>3 Nov 2014</w:t>
            </w:r>
          </w:p>
        </w:tc>
        <w:tc>
          <w:tcPr>
            <w:tcW w:w="2560" w:type="dxa"/>
            <w:gridSpan w:val="2"/>
            <w:tcBorders>
              <w:bottom w:val="nil"/>
            </w:tcBorders>
          </w:tcPr>
          <w:p>
            <w:pPr>
              <w:pStyle w:val="nTable"/>
              <w:spacing w:after="40"/>
              <w:rPr>
                <w:snapToGrid w:val="0"/>
                <w:lang w:val="en-US"/>
              </w:rPr>
            </w:pPr>
            <w:r>
              <w:rPr>
                <w:snapToGrid w:val="0"/>
                <w:lang w:val="en-US"/>
              </w:rPr>
              <w:t>To be proclaimed (see s. 2(b))</w:t>
            </w:r>
          </w:p>
        </w:tc>
      </w:tr>
      <w:tr>
        <w:tblPrEx>
          <w:tblBorders>
            <w:top w:val="single" w:sz="8" w:space="0" w:color="auto"/>
            <w:bottom w:val="single" w:sz="8" w:space="0" w:color="auto"/>
            <w:insideH w:val="single" w:sz="8" w:space="0" w:color="auto"/>
          </w:tblBorders>
          <w:tblCellMar>
            <w:left w:w="56" w:type="dxa"/>
            <w:right w:w="56" w:type="dxa"/>
          </w:tblCellMar>
        </w:tblPrEx>
        <w:trPr>
          <w:gridAfter w:val="1"/>
          <w:wAfter w:w="8" w:type="dxa"/>
        </w:trPr>
        <w:tc>
          <w:tcPr>
            <w:tcW w:w="2268" w:type="dxa"/>
            <w:tcBorders>
              <w:top w:val="nil"/>
              <w:bottom w:val="single" w:sz="4" w:space="0" w:color="auto"/>
            </w:tcBorders>
          </w:tcPr>
          <w:p>
            <w:pPr>
              <w:pStyle w:val="nTable"/>
              <w:spacing w:after="40"/>
              <w:rPr>
                <w:vertAlign w:val="superscript"/>
              </w:rPr>
            </w:pPr>
            <w:r>
              <w:rPr>
                <w:i/>
                <w:noProof/>
              </w:rPr>
              <w:t xml:space="preserve">Associations Incorporation Act 2015 </w:t>
            </w:r>
            <w:r>
              <w:rPr>
                <w:noProof/>
              </w:rPr>
              <w:t>s. 217 </w:t>
            </w:r>
            <w:r>
              <w:rPr>
                <w:noProof/>
                <w:vertAlign w:val="superscript"/>
              </w:rPr>
              <w:t>7</w:t>
            </w:r>
          </w:p>
        </w:tc>
        <w:tc>
          <w:tcPr>
            <w:tcW w:w="1134" w:type="dxa"/>
            <w:tcBorders>
              <w:top w:val="nil"/>
              <w:bottom w:val="single" w:sz="4" w:space="0" w:color="auto"/>
            </w:tcBorders>
          </w:tcPr>
          <w:p>
            <w:pPr>
              <w:pStyle w:val="nTable"/>
              <w:spacing w:after="40"/>
            </w:pPr>
            <w:r>
              <w:t>30 of 2015</w:t>
            </w:r>
          </w:p>
        </w:tc>
        <w:tc>
          <w:tcPr>
            <w:tcW w:w="1134" w:type="dxa"/>
            <w:tcBorders>
              <w:top w:val="nil"/>
              <w:bottom w:val="single" w:sz="4" w:space="0" w:color="auto"/>
            </w:tcBorders>
          </w:tcPr>
          <w:p>
            <w:pPr>
              <w:pStyle w:val="nTable"/>
              <w:spacing w:after="40"/>
            </w:pPr>
            <w:r>
              <w:t>2 Nov 2015</w:t>
            </w:r>
          </w:p>
        </w:tc>
        <w:tc>
          <w:tcPr>
            <w:tcW w:w="2552" w:type="dxa"/>
            <w:tcBorders>
              <w:top w:val="nil"/>
              <w:bottom w:val="single" w:sz="4" w:space="0" w:color="auto"/>
            </w:tcBorders>
          </w:tcPr>
          <w:p>
            <w:pPr>
              <w:pStyle w:val="nTable"/>
              <w:spacing w:after="40"/>
            </w:pPr>
            <w:r>
              <w:t>To be proclaimed (see s. 2(b))</w:t>
            </w:r>
          </w:p>
        </w:tc>
      </w:tr>
    </w:tbl>
    <w:p>
      <w:pPr>
        <w:pStyle w:val="nSubsection"/>
        <w:spacing w:before="140"/>
        <w:rPr>
          <w:i/>
        </w:rPr>
      </w:pPr>
      <w:r>
        <w:rPr>
          <w:snapToGrid w:val="0"/>
          <w:vertAlign w:val="superscript"/>
        </w:rPr>
        <w:t>2</w:t>
      </w:r>
      <w:r>
        <w:rPr>
          <w:snapToGrid w:val="0"/>
        </w:rPr>
        <w:tab/>
        <w:t>Repealed by the</w:t>
      </w:r>
      <w:r>
        <w:rPr>
          <w:i/>
        </w:rPr>
        <w:t xml:space="preserve"> Mental Health (Consequential Provisions) Act 1996.</w:t>
      </w:r>
    </w:p>
    <w:p>
      <w:pPr>
        <w:pStyle w:val="nSubsection"/>
        <w:spacing w:before="140"/>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spacing w:before="140"/>
        <w:ind w:left="426" w:hanging="426"/>
        <w:rPr>
          <w:snapToGrid w:val="0"/>
        </w:rPr>
      </w:pPr>
      <w:r>
        <w:rPr>
          <w:snapToGrid w:val="0"/>
          <w:vertAlign w:val="superscript"/>
        </w:rPr>
        <w:t>4</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i/>
          <w:snapToGrid w:val="0"/>
        </w:rPr>
        <w:t xml:space="preserve"> </w:t>
      </w:r>
      <w:r>
        <w:rPr>
          <w:i/>
          <w:iCs/>
          <w:snapToGrid w:val="0"/>
        </w:rPr>
        <w:t>Administration (Consequential Provisions) Act 2002</w:t>
      </w:r>
      <w:r>
        <w:rPr>
          <w:snapToGrid w:val="0"/>
        </w:rPr>
        <w:t xml:space="preserve"> s. 6) contains savings and transitional provisions.</w:t>
      </w:r>
    </w:p>
    <w:p>
      <w:pPr>
        <w:pStyle w:val="nSubsection"/>
        <w:keepNext/>
        <w:spacing w:before="140"/>
      </w:pPr>
      <w:r>
        <w:rPr>
          <w:vertAlign w:val="superscript"/>
        </w:rPr>
        <w:t>5</w:t>
      </w:r>
      <w:r>
        <w:tab/>
        <w:t xml:space="preserve">The </w:t>
      </w:r>
      <w:r>
        <w:rPr>
          <w:i/>
        </w:rPr>
        <w:t>Racing and Gambling Legislation Amendment and Repeal Act 2003</w:t>
      </w:r>
      <w:r>
        <w:t xml:space="preserve"> Pt. 9 Div. 2 reads as follows:</w:t>
      </w:r>
    </w:p>
    <w:p>
      <w:pPr>
        <w:pStyle w:val="BlankOpen"/>
      </w:pP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spacing w:before="160"/>
      </w:pPr>
      <w:r>
        <w:rPr>
          <w:rStyle w:val="CharSectno"/>
        </w:rPr>
        <w:t>169</w:t>
      </w:r>
      <w:r>
        <w:t>.</w:t>
      </w:r>
      <w:r>
        <w:tab/>
        <w:t>Gaming and Wagering Commission</w:t>
      </w:r>
    </w:p>
    <w:p>
      <w:pPr>
        <w:pStyle w:val="nzSubsection"/>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keepNext/>
        <w:keepLines/>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BlankClose"/>
      </w:pPr>
    </w:p>
    <w:p>
      <w:pPr>
        <w:pStyle w:val="nSubsection"/>
        <w:keepNext/>
        <w:keepLines/>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12</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418" w:name="_Toc373331812"/>
      <w:bookmarkStart w:id="419" w:name="_Toc373332059"/>
      <w:bookmarkStart w:id="420" w:name="_Toc385413042"/>
      <w:bookmarkStart w:id="421" w:name="_Toc385413290"/>
      <w:bookmarkStart w:id="422" w:name="_Toc385415631"/>
      <w:bookmarkStart w:id="423" w:name="_Toc385498823"/>
      <w:bookmarkStart w:id="424" w:name="_Toc385500219"/>
      <w:bookmarkStart w:id="425" w:name="_Toc401671244"/>
      <w:bookmarkStart w:id="426" w:name="_Toc401673109"/>
      <w:bookmarkStart w:id="427" w:name="_Toc402180222"/>
      <w:r>
        <w:rPr>
          <w:rStyle w:val="CharPartNo"/>
        </w:rPr>
        <w:t>Part 4</w:t>
      </w:r>
      <w:r>
        <w:t> — </w:t>
      </w:r>
      <w:r>
        <w:rPr>
          <w:rStyle w:val="CharPartText"/>
        </w:rPr>
        <w:t>Amendments to other Acts</w:t>
      </w:r>
      <w:bookmarkEnd w:id="418"/>
      <w:bookmarkEnd w:id="419"/>
      <w:bookmarkEnd w:id="420"/>
      <w:bookmarkEnd w:id="421"/>
      <w:bookmarkEnd w:id="422"/>
      <w:bookmarkEnd w:id="423"/>
      <w:bookmarkEnd w:id="424"/>
      <w:bookmarkEnd w:id="425"/>
      <w:bookmarkEnd w:id="426"/>
      <w:bookmarkEnd w:id="427"/>
    </w:p>
    <w:p>
      <w:pPr>
        <w:pStyle w:val="nzHeading3"/>
        <w:rPr>
          <w:rStyle w:val="CharPartText"/>
          <w:b w:val="0"/>
          <w:sz w:val="18"/>
        </w:rPr>
      </w:pPr>
      <w:bookmarkStart w:id="428" w:name="_Toc373331841"/>
      <w:bookmarkStart w:id="429" w:name="_Toc373332088"/>
      <w:bookmarkStart w:id="430" w:name="_Toc385413072"/>
      <w:bookmarkStart w:id="431" w:name="_Toc385413320"/>
      <w:bookmarkStart w:id="432" w:name="_Toc385415661"/>
      <w:bookmarkStart w:id="433" w:name="_Toc385498853"/>
      <w:bookmarkStart w:id="434" w:name="_Toc385500249"/>
      <w:bookmarkStart w:id="435" w:name="_Toc401671274"/>
      <w:bookmarkStart w:id="436" w:name="_Toc401673139"/>
      <w:bookmarkStart w:id="437" w:name="_Toc402180252"/>
      <w:r>
        <w:rPr>
          <w:rStyle w:val="CharDivNo"/>
        </w:rPr>
        <w:t>Division 4</w:t>
      </w:r>
      <w:r>
        <w:t> — </w:t>
      </w:r>
      <w:r>
        <w:rPr>
          <w:rStyle w:val="CharDivText"/>
        </w:rPr>
        <w:t>Other Acts amended</w:t>
      </w:r>
      <w:bookmarkEnd w:id="428"/>
      <w:bookmarkEnd w:id="429"/>
      <w:bookmarkEnd w:id="430"/>
      <w:bookmarkEnd w:id="431"/>
      <w:bookmarkEnd w:id="432"/>
      <w:bookmarkEnd w:id="433"/>
      <w:bookmarkEnd w:id="434"/>
      <w:bookmarkEnd w:id="435"/>
      <w:bookmarkEnd w:id="436"/>
      <w:bookmarkEnd w:id="437"/>
    </w:p>
    <w:p>
      <w:pPr>
        <w:pStyle w:val="nzHeading4"/>
      </w:pPr>
      <w:bookmarkStart w:id="438" w:name="_Toc373331882"/>
      <w:bookmarkStart w:id="439" w:name="_Toc373332129"/>
      <w:bookmarkStart w:id="440" w:name="_Toc385413113"/>
      <w:bookmarkStart w:id="441" w:name="_Toc385413361"/>
      <w:bookmarkStart w:id="442" w:name="_Toc385415702"/>
      <w:bookmarkStart w:id="443" w:name="_Toc385498894"/>
      <w:bookmarkStart w:id="444" w:name="_Toc385500290"/>
      <w:bookmarkStart w:id="445" w:name="_Toc401671315"/>
      <w:bookmarkStart w:id="446" w:name="_Toc401673180"/>
      <w:bookmarkStart w:id="447" w:name="_Toc402180293"/>
      <w:r>
        <w:t>Subdivision 12 — </w:t>
      </w:r>
      <w:r>
        <w:rPr>
          <w:i/>
        </w:rPr>
        <w:t>Gaming and Wagering Commission Act 1987</w:t>
      </w:r>
      <w:r>
        <w:t> amended</w:t>
      </w:r>
      <w:bookmarkEnd w:id="438"/>
      <w:bookmarkEnd w:id="439"/>
      <w:bookmarkEnd w:id="440"/>
      <w:bookmarkEnd w:id="441"/>
      <w:bookmarkEnd w:id="442"/>
      <w:bookmarkEnd w:id="443"/>
      <w:bookmarkEnd w:id="444"/>
      <w:bookmarkEnd w:id="445"/>
      <w:bookmarkEnd w:id="446"/>
      <w:bookmarkEnd w:id="447"/>
    </w:p>
    <w:p>
      <w:pPr>
        <w:pStyle w:val="nzHeading5"/>
      </w:pPr>
      <w:bookmarkStart w:id="448" w:name="_Toc402180294"/>
      <w:r>
        <w:rPr>
          <w:rStyle w:val="CharSectno"/>
        </w:rPr>
        <w:t>61</w:t>
      </w:r>
      <w:r>
        <w:t>.</w:t>
      </w:r>
      <w:r>
        <w:tab/>
        <w:t>Act amended</w:t>
      </w:r>
      <w:bookmarkEnd w:id="448"/>
    </w:p>
    <w:p>
      <w:pPr>
        <w:pStyle w:val="nzSubsection"/>
      </w:pPr>
      <w:r>
        <w:tab/>
      </w:r>
      <w:r>
        <w:tab/>
        <w:t xml:space="preserve">This Subdivision amends the </w:t>
      </w:r>
      <w:r>
        <w:rPr>
          <w:i/>
          <w:iCs/>
        </w:rPr>
        <w:t>Gaming and Wagering Commission Act 1987</w:t>
      </w:r>
      <w:r>
        <w:t>.</w:t>
      </w:r>
    </w:p>
    <w:p>
      <w:pPr>
        <w:pStyle w:val="nzHeading5"/>
      </w:pPr>
      <w:bookmarkStart w:id="449" w:name="_Toc402180295"/>
      <w:r>
        <w:rPr>
          <w:rStyle w:val="CharSectno"/>
        </w:rPr>
        <w:t>62</w:t>
      </w:r>
      <w:r>
        <w:t>.</w:t>
      </w:r>
      <w:r>
        <w:tab/>
        <w:t>Section 12 amended</w:t>
      </w:r>
      <w:bookmarkEnd w:id="449"/>
    </w:p>
    <w:p>
      <w:pPr>
        <w:pStyle w:val="nzSubsection"/>
      </w:pPr>
      <w:r>
        <w:tab/>
      </w:r>
      <w:r>
        <w:tab/>
        <w:t>Delete section 12(11)(a).</w:t>
      </w:r>
    </w:p>
    <w:p>
      <w:pPr>
        <w:pStyle w:val="BlankClose"/>
      </w:pPr>
    </w:p>
    <w:p>
      <w:pPr>
        <w:pStyle w:val="nSubsection"/>
        <w:spacing w:before="200"/>
        <w:rPr>
          <w:snapToGrid w:val="0"/>
        </w:rPr>
      </w:pPr>
      <w:r>
        <w:rPr>
          <w:snapToGrid w:val="0"/>
          <w:vertAlign w:val="superscript"/>
        </w:rPr>
        <w:t>7</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Associations Incorporation Act 2015</w:t>
      </w:r>
      <w:r>
        <w:rPr>
          <w:snapToGrid w:val="0"/>
        </w:rPr>
        <w:t xml:space="preserve"> </w:t>
      </w:r>
      <w:r>
        <w:rPr>
          <w:noProof/>
        </w:rPr>
        <w:t>s. 217 </w:t>
      </w:r>
      <w:r>
        <w:rPr>
          <w:snapToGrid w:val="0"/>
        </w:rPr>
        <w:t>had not come into operation.  It reads as follows:</w:t>
      </w:r>
    </w:p>
    <w:p>
      <w:pPr>
        <w:pStyle w:val="BlankOpen"/>
      </w:pPr>
    </w:p>
    <w:p>
      <w:pPr>
        <w:pStyle w:val="nzHeading5"/>
      </w:pPr>
      <w:bookmarkStart w:id="450" w:name="_Toc433273720"/>
      <w:bookmarkStart w:id="451" w:name="_Toc434319282"/>
      <w:bookmarkStart w:id="452" w:name="_Toc434321334"/>
      <w:r>
        <w:rPr>
          <w:rStyle w:val="CharSectno"/>
        </w:rPr>
        <w:t>217</w:t>
      </w:r>
      <w:r>
        <w:t>.</w:t>
      </w:r>
      <w:r>
        <w:tab/>
      </w:r>
      <w:r>
        <w:rPr>
          <w:i/>
        </w:rPr>
        <w:t>Gaming and Wagering Commission Act 1987</w:t>
      </w:r>
      <w:r>
        <w:t xml:space="preserve"> amended</w:t>
      </w:r>
      <w:bookmarkEnd w:id="450"/>
      <w:bookmarkEnd w:id="451"/>
      <w:bookmarkEnd w:id="452"/>
    </w:p>
    <w:p>
      <w:pPr>
        <w:pStyle w:val="nzSubsection"/>
      </w:pPr>
      <w:r>
        <w:tab/>
        <w:t>(1)</w:t>
      </w:r>
      <w:r>
        <w:tab/>
        <w:t xml:space="preserve">This section amends the </w:t>
      </w:r>
      <w:r>
        <w:rPr>
          <w:i/>
        </w:rPr>
        <w:t>Gaming and Wagering Commission Act 1987</w:t>
      </w:r>
      <w:r>
        <w:t>.</w:t>
      </w:r>
    </w:p>
    <w:p>
      <w:pPr>
        <w:pStyle w:val="nzSubsection"/>
      </w:pPr>
      <w:r>
        <w:tab/>
        <w:t>(2)</w:t>
      </w:r>
      <w:r>
        <w:tab/>
        <w:t xml:space="preserve">In section 38(b) delete “incorporated under the </w:t>
      </w:r>
      <w:r>
        <w:rPr>
          <w:i/>
        </w:rPr>
        <w:t>Associations Incorporation Act 1987</w:t>
      </w:r>
      <w:r>
        <w:t>,” and insert:</w:t>
      </w:r>
    </w:p>
    <w:p>
      <w:pPr>
        <w:pStyle w:val="BlankOpen"/>
      </w:pPr>
    </w:p>
    <w:p>
      <w:pPr>
        <w:pStyle w:val="nzSubsection"/>
      </w:pPr>
      <w:r>
        <w:tab/>
      </w:r>
      <w:r>
        <w:tab/>
        <w:t xml:space="preserve">incorporated, or taken to be incorporated, under the </w:t>
      </w:r>
      <w:r>
        <w:rPr>
          <w:i/>
        </w:rPr>
        <w:t>Associations Incorporation Act 2015</w:t>
      </w:r>
      <w:r>
        <w:t>,</w:t>
      </w:r>
    </w:p>
    <w:p>
      <w:pPr>
        <w:pStyle w:val="BlankClose"/>
      </w:pPr>
    </w:p>
    <w:p>
      <w:pPr>
        <w:pStyle w:val="BlankOpen"/>
      </w:pPr>
    </w:p>
    <w:p>
      <w:pPr>
        <w:rPr>
          <w:snapToGrid w:val="0"/>
        </w:rPr>
      </w:pPr>
    </w:p>
    <w:p>
      <w:pPr>
        <w:rPr>
          <w:snapToGrid w:val="0"/>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453" w:name="_Toc418677943"/>
      <w:bookmarkStart w:id="454" w:name="_Toc423529724"/>
      <w:r>
        <w:rPr>
          <w:sz w:val="28"/>
        </w:rPr>
        <w:t>Defined terms</w:t>
      </w:r>
      <w:bookmarkEnd w:id="453"/>
      <w:bookmarkEnd w:id="4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member</w:t>
      </w:r>
      <w:r>
        <w:tab/>
        <w:t>109D(9)</w:t>
      </w:r>
    </w:p>
    <w:p>
      <w:pPr>
        <w:pStyle w:val="DefinedTerms"/>
      </w:pPr>
      <w:r>
        <w:t>approval</w:t>
      </w:r>
      <w:r>
        <w:tab/>
        <w:t>43A(4)</w:t>
      </w:r>
    </w:p>
    <w:p>
      <w:pPr>
        <w:pStyle w:val="DefinedTerms"/>
      </w:pPr>
      <w:r>
        <w:t>approved</w:t>
      </w:r>
      <w:r>
        <w:tab/>
        <w:t>3(1)</w:t>
      </w:r>
    </w:p>
    <w:p>
      <w:pPr>
        <w:pStyle w:val="DefinedTerms"/>
      </w:pPr>
      <w:r>
        <w:t>approved premises</w:t>
      </w:r>
      <w:r>
        <w:tab/>
        <w:t>3(1)</w:t>
      </w:r>
    </w:p>
    <w:p>
      <w:pPr>
        <w:pStyle w:val="DefinedTerms"/>
      </w:pPr>
      <w:r>
        <w:t>authorised officer</w:t>
      </w:r>
      <w:r>
        <w:tab/>
        <w:t>3(1)</w:t>
      </w:r>
    </w:p>
    <w:p>
      <w:pPr>
        <w:pStyle w:val="DefinedTerms"/>
      </w:pPr>
      <w:r>
        <w:t>authorised person</w:t>
      </w:r>
      <w:r>
        <w:tab/>
        <w:t>85(6)</w:t>
      </w:r>
    </w:p>
    <w:p>
      <w:pPr>
        <w:pStyle w:val="DefinedTerms"/>
      </w:pPr>
      <w:r>
        <w:t>banking day</w:t>
      </w:r>
      <w:r>
        <w:tab/>
        <w:t>63(4)</w:t>
      </w:r>
    </w:p>
    <w:p>
      <w:pPr>
        <w:pStyle w:val="DefinedTerms"/>
      </w:pPr>
      <w:r>
        <w:t>batch</w:t>
      </w:r>
      <w:r>
        <w:tab/>
        <w:t>101(1)</w:t>
      </w:r>
    </w:p>
    <w:p>
      <w:pPr>
        <w:pStyle w:val="DefinedTerms"/>
      </w:pPr>
      <w:r>
        <w:t>bingo</w:t>
      </w:r>
      <w:r>
        <w:tab/>
        <w:t>94(1)</w:t>
      </w:r>
    </w:p>
    <w:p>
      <w:pPr>
        <w:pStyle w:val="DefinedTerms"/>
      </w:pPr>
      <w:r>
        <w:t>books</w:t>
      </w:r>
      <w:r>
        <w:tab/>
        <w:t>3(1)</w:t>
      </w:r>
    </w:p>
    <w:p>
      <w:pPr>
        <w:pStyle w:val="DefinedTerms"/>
      </w:pPr>
      <w:r>
        <w:t>cards</w:t>
      </w:r>
      <w:r>
        <w:tab/>
        <w:t>94(2)</w:t>
      </w:r>
    </w:p>
    <w:p>
      <w:pPr>
        <w:pStyle w:val="DefinedTerms"/>
      </w:pPr>
      <w:r>
        <w:t>casino</w:t>
      </w:r>
      <w:r>
        <w:tab/>
        <w:t>3(1)</w:t>
      </w:r>
    </w:p>
    <w:p>
      <w:pPr>
        <w:pStyle w:val="DefinedTerms"/>
      </w:pPr>
      <w:r>
        <w:t>casino complex agreement</w:t>
      </w:r>
      <w:r>
        <w:tab/>
        <w:t>3(1)</w:t>
      </w:r>
    </w:p>
    <w:p>
      <w:pPr>
        <w:pStyle w:val="DefinedTerms"/>
      </w:pPr>
      <w:r>
        <w:t>certificate</w:t>
      </w:r>
      <w:r>
        <w:tab/>
        <w:t>3(1)</w:t>
      </w:r>
    </w:p>
    <w:p>
      <w:pPr>
        <w:pStyle w:val="DefinedTerms"/>
      </w:pPr>
      <w:r>
        <w:t>charitable organisation</w:t>
      </w:r>
      <w:r>
        <w:tab/>
        <w:t>94(1)</w:t>
      </w:r>
    </w:p>
    <w:p>
      <w:pPr>
        <w:pStyle w:val="DefinedTerms"/>
      </w:pPr>
      <w:r>
        <w:t>Chief Casino Officer</w:t>
      </w:r>
      <w:r>
        <w:tab/>
        <w:t>16(4)</w:t>
      </w:r>
    </w:p>
    <w:p>
      <w:pPr>
        <w:pStyle w:val="DefinedTerms"/>
      </w:pPr>
      <w:r>
        <w:t>closing date</w:t>
      </w:r>
      <w:r>
        <w:tab/>
        <w:t>101(1)</w:t>
      </w:r>
    </w:p>
    <w:p>
      <w:pPr>
        <w:pStyle w:val="DefinedTerms"/>
      </w:pPr>
      <w:r>
        <w:t>club</w:t>
      </w:r>
      <w:r>
        <w:tab/>
        <w:t>94(1)</w:t>
      </w:r>
    </w:p>
    <w:p>
      <w:pPr>
        <w:pStyle w:val="DefinedTerms"/>
      </w:pPr>
      <w:r>
        <w:t>Commission</w:t>
      </w:r>
      <w:r>
        <w:tab/>
        <w:t>3(1)</w:t>
      </w:r>
    </w:p>
    <w:p>
      <w:pPr>
        <w:pStyle w:val="DefinedTerms"/>
      </w:pPr>
      <w:r>
        <w:t>condition</w:t>
      </w:r>
      <w:r>
        <w:tab/>
        <w:t>3(1)</w:t>
      </w:r>
    </w:p>
    <w:p>
      <w:pPr>
        <w:pStyle w:val="DefinedTerms"/>
      </w:pPr>
      <w:r>
        <w:t>conduct</w:t>
      </w:r>
      <w:r>
        <w:tab/>
        <w:t>3(1)</w:t>
      </w:r>
    </w:p>
    <w:p>
      <w:pPr>
        <w:pStyle w:val="DefinedTerms"/>
      </w:pPr>
      <w:r>
        <w:t>conducting</w:t>
      </w:r>
      <w:r>
        <w:tab/>
        <w:t>101(1)</w:t>
      </w:r>
    </w:p>
    <w:p>
      <w:pPr>
        <w:pStyle w:val="DefinedTerms"/>
      </w:pPr>
      <w:r>
        <w:t>confidential police information</w:t>
      </w:r>
      <w:r>
        <w:tab/>
        <w:t>20A(1)</w:t>
      </w:r>
    </w:p>
    <w:p>
      <w:pPr>
        <w:pStyle w:val="DefinedTerms"/>
      </w:pPr>
      <w:r>
        <w:t>continuing lotteries levy</w:t>
      </w:r>
      <w:r>
        <w:tab/>
        <w:t>3(1)</w:t>
      </w:r>
    </w:p>
    <w:p>
      <w:pPr>
        <w:pStyle w:val="DefinedTerms"/>
      </w:pPr>
      <w:r>
        <w:t>continuing lottery</w:t>
      </w:r>
      <w:r>
        <w:tab/>
        <w:t>101(1)</w:t>
      </w:r>
    </w:p>
    <w:p>
      <w:pPr>
        <w:pStyle w:val="DefinedTerms"/>
      </w:pPr>
      <w:r>
        <w:t>credit card</w:t>
      </w:r>
      <w:r>
        <w:tab/>
        <w:t>3(1)</w:t>
      </w:r>
    </w:p>
    <w:p>
      <w:pPr>
        <w:pStyle w:val="DefinedTerms"/>
      </w:pPr>
      <w:r>
        <w:t>date of drawing</w:t>
      </w:r>
      <w:r>
        <w:tab/>
        <w:t>101(1)</w:t>
      </w:r>
    </w:p>
    <w:p>
      <w:pPr>
        <w:pStyle w:val="DefinedTerms"/>
      </w:pPr>
      <w:r>
        <w:t>debit card</w:t>
      </w:r>
      <w:r>
        <w:tab/>
        <w:t>3(1)</w:t>
      </w:r>
    </w:p>
    <w:p>
      <w:pPr>
        <w:pStyle w:val="DefinedTerms"/>
      </w:pPr>
      <w:r>
        <w:t>Department</w:t>
      </w:r>
      <w:r>
        <w:tab/>
        <w:t>3(1)</w:t>
      </w:r>
    </w:p>
    <w:p>
      <w:pPr>
        <w:pStyle w:val="DefinedTerms"/>
      </w:pPr>
      <w:r>
        <w:t>drawing</w:t>
      </w:r>
      <w:r>
        <w:tab/>
        <w:t>101(1)</w:t>
      </w:r>
    </w:p>
    <w:p>
      <w:pPr>
        <w:pStyle w:val="DefinedTerms"/>
      </w:pPr>
      <w:r>
        <w:t>employing authority</w:t>
      </w:r>
      <w:r>
        <w:tab/>
        <w:t>18(2a)</w:t>
      </w:r>
    </w:p>
    <w:p>
      <w:pPr>
        <w:pStyle w:val="DefinedTerms"/>
      </w:pPr>
      <w:r>
        <w:t>face value</w:t>
      </w:r>
      <w:r>
        <w:tab/>
        <w:t>101(1)</w:t>
      </w:r>
    </w:p>
    <w:p>
      <w:pPr>
        <w:pStyle w:val="DefinedTerms"/>
      </w:pPr>
      <w:r>
        <w:t>foreign lottery</w:t>
      </w:r>
      <w:r>
        <w:tab/>
        <w:t>101(1)</w:t>
      </w:r>
    </w:p>
    <w:p>
      <w:pPr>
        <w:pStyle w:val="DefinedTerms"/>
      </w:pPr>
      <w:r>
        <w:t>gambling</w:t>
      </w:r>
      <w:r>
        <w:tab/>
        <w:t>3(1), 40A</w:t>
      </w:r>
    </w:p>
    <w:p>
      <w:pPr>
        <w:pStyle w:val="DefinedTerms"/>
      </w:pPr>
      <w:r>
        <w:t>game of chance</w:t>
      </w:r>
      <w:r>
        <w:tab/>
        <w:t>3(1)</w:t>
      </w:r>
    </w:p>
    <w:p>
      <w:pPr>
        <w:pStyle w:val="DefinedTerms"/>
      </w:pPr>
      <w:r>
        <w:t>gaming</w:t>
      </w:r>
      <w:r>
        <w:tab/>
        <w:t>3(1)</w:t>
      </w:r>
    </w:p>
    <w:p>
      <w:pPr>
        <w:pStyle w:val="DefinedTerms"/>
      </w:pPr>
      <w:r>
        <w:t>gaming equipment</w:t>
      </w:r>
      <w:r>
        <w:tab/>
        <w:t>3(1)</w:t>
      </w:r>
    </w:p>
    <w:p>
      <w:pPr>
        <w:pStyle w:val="DefinedTerms"/>
      </w:pPr>
      <w:r>
        <w:t>gaming machine</w:t>
      </w:r>
      <w:r>
        <w:tab/>
        <w:t>84(1)</w:t>
      </w:r>
    </w:p>
    <w:p>
      <w:pPr>
        <w:pStyle w:val="DefinedTerms"/>
      </w:pPr>
      <w:r>
        <w:t>gaming permit</w:t>
      </w:r>
      <w:r>
        <w:tab/>
        <w:t>3(1)</w:t>
      </w:r>
    </w:p>
    <w:p>
      <w:pPr>
        <w:pStyle w:val="DefinedTerms"/>
      </w:pPr>
      <w:r>
        <w:t>government inspector</w:t>
      </w:r>
      <w:r>
        <w:tab/>
        <w:t>16(4)</w:t>
      </w:r>
    </w:p>
    <w:p>
      <w:pPr>
        <w:pStyle w:val="DefinedTerms"/>
      </w:pPr>
      <w:r>
        <w:t>house</w:t>
      </w:r>
      <w:r>
        <w:tab/>
        <w:t>3(1)</w:t>
      </w:r>
    </w:p>
    <w:p>
      <w:pPr>
        <w:pStyle w:val="DefinedTerms"/>
      </w:pPr>
      <w:r>
        <w:t>imposed</w:t>
      </w:r>
      <w:r>
        <w:tab/>
        <w:t>3(1)</w:t>
      </w:r>
    </w:p>
    <w:p>
      <w:pPr>
        <w:pStyle w:val="DefinedTerms"/>
      </w:pPr>
      <w:r>
        <w:t>instruments of gaming</w:t>
      </w:r>
      <w:r>
        <w:tab/>
        <w:t>3(1)</w:t>
      </w:r>
    </w:p>
    <w:p>
      <w:pPr>
        <w:pStyle w:val="DefinedTerms"/>
      </w:pPr>
      <w:r>
        <w:t>licence</w:t>
      </w:r>
      <w:r>
        <w:tab/>
        <w:t>3(1)</w:t>
      </w:r>
    </w:p>
    <w:p>
      <w:pPr>
        <w:pStyle w:val="DefinedTerms"/>
      </w:pPr>
      <w:r>
        <w:t>licensed supplier</w:t>
      </w:r>
      <w:r>
        <w:tab/>
        <w:t>3(1)</w:t>
      </w:r>
    </w:p>
    <w:p>
      <w:pPr>
        <w:pStyle w:val="DefinedTerms"/>
      </w:pPr>
      <w:r>
        <w:t>lottery</w:t>
      </w:r>
      <w:r>
        <w:tab/>
        <w:t>3(1)</w:t>
      </w:r>
    </w:p>
    <w:p>
      <w:pPr>
        <w:pStyle w:val="DefinedTerms"/>
      </w:pPr>
      <w:r>
        <w:t>machine</w:t>
      </w:r>
      <w:r>
        <w:tab/>
        <w:t>3(1)</w:t>
      </w:r>
    </w:p>
    <w:p>
      <w:pPr>
        <w:pStyle w:val="DefinedTerms"/>
      </w:pPr>
      <w:r>
        <w:t>material evidence</w:t>
      </w:r>
      <w:r>
        <w:tab/>
        <w:t>26(2)</w:t>
      </w:r>
    </w:p>
    <w:p>
      <w:pPr>
        <w:pStyle w:val="DefinedTerms"/>
      </w:pPr>
      <w:r>
        <w:t>minor fund raising activity</w:t>
      </w:r>
      <w:r>
        <w:tab/>
        <w:t>3(1)</w:t>
      </w:r>
    </w:p>
    <w:p>
      <w:pPr>
        <w:pStyle w:val="DefinedTerms"/>
      </w:pPr>
      <w:r>
        <w:t>money</w:t>
      </w:r>
      <w:r>
        <w:tab/>
        <w:t>3(1), 94(1)</w:t>
      </w:r>
    </w:p>
    <w:p>
      <w:pPr>
        <w:pStyle w:val="DefinedTerms"/>
      </w:pPr>
      <w:r>
        <w:t>multiple bingo</w:t>
      </w:r>
      <w:r>
        <w:tab/>
        <w:t>3(1), 94(1), 96(4)</w:t>
      </w:r>
    </w:p>
    <w:p>
      <w:pPr>
        <w:pStyle w:val="DefinedTerms"/>
      </w:pPr>
      <w:r>
        <w:t>object</w:t>
      </w:r>
      <w:r>
        <w:tab/>
        <w:t>58(2)</w:t>
      </w:r>
    </w:p>
    <w:p>
      <w:pPr>
        <w:pStyle w:val="DefinedTerms"/>
      </w:pPr>
      <w:r>
        <w:t>occupier</w:t>
      </w:r>
      <w:r>
        <w:tab/>
        <w:t>3(1)</w:t>
      </w:r>
    </w:p>
    <w:p>
      <w:pPr>
        <w:pStyle w:val="DefinedTerms"/>
      </w:pPr>
      <w:r>
        <w:t>opening date</w:t>
      </w:r>
      <w:r>
        <w:tab/>
        <w:t>101(1)</w:t>
      </w:r>
    </w:p>
    <w:p>
      <w:pPr>
        <w:pStyle w:val="DefinedTerms"/>
      </w:pPr>
      <w:r>
        <w:t>organiser</w:t>
      </w:r>
      <w:r>
        <w:tab/>
        <w:t>94(1)</w:t>
      </w:r>
    </w:p>
    <w:p>
      <w:pPr>
        <w:pStyle w:val="DefinedTerms"/>
      </w:pPr>
      <w:r>
        <w:t>owner</w:t>
      </w:r>
      <w:r>
        <w:tab/>
        <w:t>3(1)</w:t>
      </w:r>
    </w:p>
    <w:p>
      <w:pPr>
        <w:pStyle w:val="DefinedTerms"/>
      </w:pPr>
      <w:r>
        <w:t>paid</w:t>
      </w:r>
      <w:r>
        <w:tab/>
        <w:t>94(1)</w:t>
      </w:r>
    </w:p>
    <w:p>
      <w:pPr>
        <w:pStyle w:val="DefinedTerms"/>
      </w:pPr>
      <w:r>
        <w:t>permit</w:t>
      </w:r>
      <w:r>
        <w:tab/>
        <w:t>3(1)</w:t>
      </w:r>
    </w:p>
    <w:p>
      <w:pPr>
        <w:pStyle w:val="DefinedTerms"/>
      </w:pPr>
      <w:r>
        <w:t>permit holder</w:t>
      </w:r>
      <w:r>
        <w:tab/>
        <w:t>3(1)</w:t>
      </w:r>
    </w:p>
    <w:p>
      <w:pPr>
        <w:pStyle w:val="DefinedTerms"/>
      </w:pPr>
      <w:r>
        <w:t>permitted amusement with prizes</w:t>
      </w:r>
      <w:r>
        <w:tab/>
        <w:t>3(1)</w:t>
      </w:r>
    </w:p>
    <w:p>
      <w:pPr>
        <w:pStyle w:val="DefinedTerms"/>
      </w:pPr>
      <w:r>
        <w:t>permitted bingo</w:t>
      </w:r>
      <w:r>
        <w:tab/>
        <w:t>3(1)</w:t>
      </w:r>
    </w:p>
    <w:p>
      <w:pPr>
        <w:pStyle w:val="DefinedTerms"/>
      </w:pPr>
      <w:r>
        <w:t>permitted gaming</w:t>
      </w:r>
      <w:r>
        <w:tab/>
        <w:t>3(1)</w:t>
      </w:r>
    </w:p>
    <w:p>
      <w:pPr>
        <w:pStyle w:val="DefinedTerms"/>
      </w:pPr>
      <w:r>
        <w:t>permitted lottery</w:t>
      </w:r>
      <w:r>
        <w:tab/>
        <w:t>3(1)</w:t>
      </w:r>
    </w:p>
    <w:p>
      <w:pPr>
        <w:pStyle w:val="DefinedTerms"/>
      </w:pPr>
      <w:r>
        <w:t>permitted two</w:t>
      </w:r>
      <w:r>
        <w:noBreakHyphen/>
        <w:t>up</w:t>
      </w:r>
      <w:r>
        <w:tab/>
        <w:t>3(1)</w:t>
      </w:r>
    </w:p>
    <w:p>
      <w:pPr>
        <w:pStyle w:val="DefinedTerms"/>
      </w:pPr>
      <w:r>
        <w:t>player</w:t>
      </w:r>
      <w:r>
        <w:tab/>
        <w:t>3(1)</w:t>
      </w:r>
    </w:p>
    <w:p>
      <w:pPr>
        <w:pStyle w:val="DefinedTerms"/>
      </w:pPr>
      <w:r>
        <w:t>playing</w:t>
      </w:r>
      <w:r>
        <w:tab/>
        <w:t>3(1)</w:t>
      </w:r>
    </w:p>
    <w:p>
      <w:pPr>
        <w:pStyle w:val="DefinedTerms"/>
      </w:pPr>
      <w:r>
        <w:t>possession</w:t>
      </w:r>
      <w:r>
        <w:tab/>
        <w:t>3(1)</w:t>
      </w:r>
    </w:p>
    <w:p>
      <w:pPr>
        <w:pStyle w:val="DefinedTerms"/>
      </w:pPr>
      <w:r>
        <w:t>premises</w:t>
      </w:r>
      <w:r>
        <w:tab/>
        <w:t>3(1)</w:t>
      </w:r>
    </w:p>
    <w:p>
      <w:pPr>
        <w:pStyle w:val="DefinedTerms"/>
      </w:pPr>
      <w:r>
        <w:t>prescribed gaming equipment</w:t>
      </w:r>
      <w:r>
        <w:tab/>
        <w:t>84(1)</w:t>
      </w:r>
    </w:p>
    <w:p>
      <w:pPr>
        <w:pStyle w:val="DefinedTerms"/>
      </w:pPr>
      <w:r>
        <w:t>prize</w:t>
      </w:r>
      <w:r>
        <w:tab/>
        <w:t>94(1)</w:t>
      </w:r>
    </w:p>
    <w:p>
      <w:pPr>
        <w:pStyle w:val="DefinedTerms"/>
      </w:pPr>
      <w:r>
        <w:t>prohibited advertisement</w:t>
      </w:r>
      <w:r>
        <w:tab/>
        <w:t>43A(1)</w:t>
      </w:r>
    </w:p>
    <w:p>
      <w:pPr>
        <w:pStyle w:val="DefinedTerms"/>
      </w:pPr>
      <w:r>
        <w:t>promoter</w:t>
      </w:r>
      <w:r>
        <w:tab/>
        <w:t>94(1)</w:t>
      </w:r>
    </w:p>
    <w:p>
      <w:pPr>
        <w:pStyle w:val="DefinedTerms"/>
      </w:pPr>
      <w:r>
        <w:t>public place</w:t>
      </w:r>
      <w:r>
        <w:tab/>
        <w:t>3(1)</w:t>
      </w:r>
    </w:p>
    <w:p>
      <w:pPr>
        <w:pStyle w:val="DefinedTerms"/>
      </w:pPr>
      <w:r>
        <w:t>Public Service</w:t>
      </w:r>
      <w:r>
        <w:tab/>
        <w:t>18(2a)</w:t>
      </w:r>
    </w:p>
    <w:p>
      <w:pPr>
        <w:pStyle w:val="DefinedTerms"/>
      </w:pPr>
      <w:r>
        <w:t>quarter</w:t>
      </w:r>
      <w:r>
        <w:tab/>
        <w:t>101(1)</w:t>
      </w:r>
    </w:p>
    <w:p>
      <w:pPr>
        <w:pStyle w:val="DefinedTerms"/>
      </w:pPr>
      <w:r>
        <w:t>race</w:t>
      </w:r>
      <w:r>
        <w:tab/>
        <w:t>3(1)</w:t>
      </w:r>
    </w:p>
    <w:p>
      <w:pPr>
        <w:pStyle w:val="DefinedTerms"/>
      </w:pPr>
      <w:r>
        <w:t>race club</w:t>
      </w:r>
      <w:r>
        <w:tab/>
        <w:t>3(1)</w:t>
      </w:r>
    </w:p>
    <w:p>
      <w:pPr>
        <w:pStyle w:val="DefinedTerms"/>
      </w:pPr>
      <w:r>
        <w:t>race day</w:t>
      </w:r>
      <w:r>
        <w:tab/>
        <w:t>80(1a)</w:t>
      </w:r>
    </w:p>
    <w:p>
      <w:pPr>
        <w:pStyle w:val="DefinedTerms"/>
      </w:pPr>
      <w:r>
        <w:t>race meeting</w:t>
      </w:r>
      <w:r>
        <w:tab/>
        <w:t>3(1)</w:t>
      </w:r>
    </w:p>
    <w:p>
      <w:pPr>
        <w:pStyle w:val="DefinedTerms"/>
      </w:pPr>
      <w:r>
        <w:t>related furnishings</w:t>
      </w:r>
      <w:r>
        <w:tab/>
        <w:t>3(1)</w:t>
      </w:r>
    </w:p>
    <w:p>
      <w:pPr>
        <w:pStyle w:val="DefinedTerms"/>
      </w:pPr>
      <w:r>
        <w:t>relevant Act</w:t>
      </w:r>
      <w:r>
        <w:tab/>
        <w:t>20A(1)</w:t>
      </w:r>
    </w:p>
    <w:p>
      <w:pPr>
        <w:pStyle w:val="DefinedTerms"/>
      </w:pPr>
      <w:r>
        <w:t>responsible person</w:t>
      </w:r>
      <w:r>
        <w:tab/>
        <w:t>109B(1)</w:t>
      </w:r>
    </w:p>
    <w:p>
      <w:pPr>
        <w:pStyle w:val="DefinedTerms"/>
      </w:pPr>
      <w:r>
        <w:t>RWWA</w:t>
      </w:r>
      <w:r>
        <w:tab/>
        <w:t>3(1)</w:t>
      </w:r>
    </w:p>
    <w:p>
      <w:pPr>
        <w:pStyle w:val="DefinedTerms"/>
      </w:pPr>
      <w:r>
        <w:t>RWWA Act</w:t>
      </w:r>
      <w:r>
        <w:tab/>
        <w:t>3(1)</w:t>
      </w:r>
    </w:p>
    <w:p>
      <w:pPr>
        <w:pStyle w:val="DefinedTerms"/>
      </w:pPr>
      <w:r>
        <w:t>seized thing</w:t>
      </w:r>
      <w:r>
        <w:tab/>
        <w:t>32A(1)</w:t>
      </w:r>
    </w:p>
    <w:p>
      <w:pPr>
        <w:pStyle w:val="DefinedTerms"/>
      </w:pPr>
      <w:r>
        <w:t>service agreement</w:t>
      </w:r>
      <w:r>
        <w:tab/>
        <w:t>91(5)</w:t>
      </w:r>
    </w:p>
    <w:p>
      <w:pPr>
        <w:pStyle w:val="DefinedTerms"/>
      </w:pPr>
      <w:r>
        <w:t>simultaneous bingo</w:t>
      </w:r>
      <w:r>
        <w:tab/>
        <w:t>3(1), 94(1)</w:t>
      </w:r>
    </w:p>
    <w:p>
      <w:pPr>
        <w:pStyle w:val="DefinedTerms"/>
      </w:pPr>
      <w:r>
        <w:t>slot machine</w:t>
      </w:r>
      <w:r>
        <w:tab/>
        <w:t>84(1)</w:t>
      </w:r>
    </w:p>
    <w:p>
      <w:pPr>
        <w:pStyle w:val="DefinedTerms"/>
      </w:pPr>
      <w:r>
        <w:t>social gambling</w:t>
      </w:r>
      <w:r>
        <w:tab/>
        <w:t>3(1)</w:t>
      </w:r>
    </w:p>
    <w:p>
      <w:pPr>
        <w:pStyle w:val="DefinedTerms"/>
      </w:pPr>
      <w:r>
        <w:t>specified</w:t>
      </w:r>
      <w:r>
        <w:tab/>
        <w:t>48(2), 87(2), 91(8)</w:t>
      </w:r>
    </w:p>
    <w:p>
      <w:pPr>
        <w:pStyle w:val="DefinedTerms"/>
      </w:pPr>
      <w:r>
        <w:t>standard lottery</w:t>
      </w:r>
      <w:r>
        <w:tab/>
        <w:t>101(1)</w:t>
      </w:r>
    </w:p>
    <w:p>
      <w:pPr>
        <w:pStyle w:val="DefinedTerms"/>
      </w:pPr>
      <w:r>
        <w:t>terms</w:t>
      </w:r>
      <w:r>
        <w:tab/>
        <w:t>89(3)</w:t>
      </w:r>
    </w:p>
    <w:p>
      <w:pPr>
        <w:pStyle w:val="DefinedTerms"/>
      </w:pPr>
      <w:r>
        <w:t>ticket</w:t>
      </w:r>
      <w:r>
        <w:tab/>
        <w:t>101(1), 101(1)</w:t>
      </w:r>
    </w:p>
    <w:p>
      <w:pPr>
        <w:pStyle w:val="DefinedTerms"/>
      </w:pPr>
      <w:r>
        <w:t>token</w:t>
      </w:r>
      <w:r>
        <w:tab/>
        <w:t>3(1)</w:t>
      </w:r>
    </w:p>
    <w:p>
      <w:pPr>
        <w:pStyle w:val="DefinedTerms"/>
      </w:pPr>
      <w:r>
        <w:t>trade promotion lottery</w:t>
      </w:r>
      <w:r>
        <w:tab/>
        <w:t>3(1)</w:t>
      </w:r>
    </w:p>
    <w:p>
      <w:pPr>
        <w:pStyle w:val="DefinedTerms"/>
      </w:pPr>
      <w:r>
        <w:t>Trust</w:t>
      </w:r>
      <w:r>
        <w:tab/>
        <w:t>109A</w:t>
      </w:r>
    </w:p>
    <w:p>
      <w:pPr>
        <w:pStyle w:val="DefinedTerms"/>
      </w:pPr>
      <w:r>
        <w:t>Trust Account</w:t>
      </w:r>
      <w:r>
        <w:tab/>
        <w:t>109A</w:t>
      </w:r>
    </w:p>
    <w:p>
      <w:pPr>
        <w:pStyle w:val="DefinedTerms"/>
      </w:pPr>
      <w:r>
        <w:t>two</w:t>
      </w:r>
      <w:r>
        <w:noBreakHyphen/>
        <w:t>up</w:t>
      </w:r>
      <w:r>
        <w:tab/>
        <w:t>3(1)</w:t>
      </w:r>
    </w:p>
    <w:p>
      <w:pPr>
        <w:pStyle w:val="DefinedTerms"/>
      </w:pPr>
      <w:r>
        <w:t>unclaimed winnings</w:t>
      </w:r>
      <w:r>
        <w:tab/>
        <w:t>109A, 109B(1)</w:t>
      </w:r>
    </w:p>
    <w:p>
      <w:pPr>
        <w:pStyle w:val="DefinedTerms"/>
      </w:pPr>
      <w:r>
        <w:t>unlawful game</w:t>
      </w:r>
      <w:r>
        <w:tab/>
        <w:t>3(1)</w:t>
      </w:r>
    </w:p>
    <w:p>
      <w:pPr>
        <w:pStyle w:val="DefinedTerms"/>
      </w:pPr>
      <w:r>
        <w:t>unlawful gaming</w:t>
      </w:r>
      <w:r>
        <w:tab/>
        <w:t>43A(1)</w:t>
      </w:r>
    </w:p>
    <w:p>
      <w:pPr>
        <w:pStyle w:val="DefinedTerms"/>
      </w:pPr>
      <w:r>
        <w:t>unlawful gaming equipment</w:t>
      </w:r>
      <w:r>
        <w:tab/>
        <w:t>84(1)</w:t>
      </w:r>
    </w:p>
    <w:p>
      <w:pPr>
        <w:pStyle w:val="DefinedTerms"/>
      </w:pPr>
      <w:r>
        <w:t>unlawful gaming machine</w:t>
      </w:r>
      <w:r>
        <w:tab/>
        <w:t>84(1)</w:t>
      </w:r>
    </w:p>
    <w:p>
      <w:pPr>
        <w:pStyle w:val="DefinedTerms"/>
      </w:pPr>
      <w:r>
        <w:t>unlawful lottery</w:t>
      </w:r>
      <w:r>
        <w:tab/>
        <w:t>101(1)</w:t>
      </w:r>
    </w:p>
    <w:p>
      <w:pPr>
        <w:pStyle w:val="DefinedTerms"/>
      </w:pPr>
      <w:r>
        <w:t>unlawful wagering</w:t>
      </w:r>
      <w:r>
        <w:tab/>
        <w:t>43A(1)</w:t>
      </w:r>
    </w:p>
    <w:p>
      <w:pPr>
        <w:pStyle w:val="DefinedTerms"/>
      </w:pPr>
      <w:r>
        <w:t>value</w:t>
      </w:r>
      <w:r>
        <w:tab/>
        <w:t>94(1)</w:t>
      </w:r>
    </w:p>
    <w:p>
      <w:pPr>
        <w:pStyle w:val="DefinedTerms"/>
      </w:pPr>
      <w:r>
        <w:t>vehicle</w:t>
      </w:r>
      <w:r>
        <w:tab/>
        <w:t>3(1)</w:t>
      </w:r>
    </w:p>
    <w:p>
      <w:pPr>
        <w:pStyle w:val="DefinedTerms"/>
      </w:pPr>
      <w:r>
        <w:t>vessel</w:t>
      </w:r>
      <w:r>
        <w:tab/>
        <w:t>3(1)</w:t>
      </w:r>
    </w:p>
    <w:p>
      <w:pPr>
        <w:pStyle w:val="DefinedTerms"/>
      </w:pPr>
      <w:r>
        <w:t>wagering</w:t>
      </w:r>
      <w:r>
        <w:tab/>
        <w:t>3(1), 40A</w:t>
      </w:r>
    </w:p>
    <w:p>
      <w:pPr>
        <w:pStyle w:val="DefinedTerms"/>
      </w:pPr>
      <w:r>
        <w:t>winner</w:t>
      </w:r>
      <w:r>
        <w:tab/>
        <w:t>109B(1)</w:t>
      </w:r>
    </w:p>
    <w:p>
      <w:pPr>
        <w:pStyle w:val="DefinedTerms"/>
      </w:pPr>
      <w:r>
        <w:t>winnings</w:t>
      </w:r>
      <w:r>
        <w:tab/>
        <w:t>3(1)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165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5" w:name="DefinedTerms"/>
    <w:bookmarkEnd w:id="45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6" w:name="Coversheet"/>
    <w:bookmarkEnd w:id="4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0A262"/>
    <w:lvl w:ilvl="0">
      <w:start w:val="1"/>
      <w:numFmt w:val="decimal"/>
      <w:lvlText w:val="%1."/>
      <w:lvlJc w:val="left"/>
      <w:pPr>
        <w:tabs>
          <w:tab w:val="num" w:pos="1492"/>
        </w:tabs>
        <w:ind w:left="1492" w:hanging="360"/>
      </w:pPr>
    </w:lvl>
  </w:abstractNum>
  <w:abstractNum w:abstractNumId="1">
    <w:nsid w:val="FFFFFF7D"/>
    <w:multiLevelType w:val="singleLevel"/>
    <w:tmpl w:val="E2A44182"/>
    <w:lvl w:ilvl="0">
      <w:start w:val="1"/>
      <w:numFmt w:val="decimal"/>
      <w:lvlText w:val="%1."/>
      <w:lvlJc w:val="left"/>
      <w:pPr>
        <w:tabs>
          <w:tab w:val="num" w:pos="1209"/>
        </w:tabs>
        <w:ind w:left="1209" w:hanging="360"/>
      </w:pPr>
    </w:lvl>
  </w:abstractNum>
  <w:abstractNum w:abstractNumId="2">
    <w:nsid w:val="FFFFFF7E"/>
    <w:multiLevelType w:val="singleLevel"/>
    <w:tmpl w:val="78F616E0"/>
    <w:lvl w:ilvl="0">
      <w:start w:val="1"/>
      <w:numFmt w:val="decimal"/>
      <w:lvlText w:val="%1."/>
      <w:lvlJc w:val="left"/>
      <w:pPr>
        <w:tabs>
          <w:tab w:val="num" w:pos="926"/>
        </w:tabs>
        <w:ind w:left="926" w:hanging="360"/>
      </w:pPr>
    </w:lvl>
  </w:abstractNum>
  <w:abstractNum w:abstractNumId="3">
    <w:nsid w:val="FFFFFF7F"/>
    <w:multiLevelType w:val="singleLevel"/>
    <w:tmpl w:val="C51C5FA4"/>
    <w:lvl w:ilvl="0">
      <w:start w:val="1"/>
      <w:numFmt w:val="decimal"/>
      <w:lvlText w:val="%1."/>
      <w:lvlJc w:val="left"/>
      <w:pPr>
        <w:tabs>
          <w:tab w:val="num" w:pos="643"/>
        </w:tabs>
        <w:ind w:left="643" w:hanging="360"/>
      </w:pPr>
    </w:lvl>
  </w:abstractNum>
  <w:abstractNum w:abstractNumId="4">
    <w:nsid w:val="FFFFFF80"/>
    <w:multiLevelType w:val="singleLevel"/>
    <w:tmpl w:val="087835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922B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682B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E63D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86EA14"/>
    <w:lvl w:ilvl="0">
      <w:start w:val="1"/>
      <w:numFmt w:val="decimal"/>
      <w:lvlText w:val="%1."/>
      <w:lvlJc w:val="left"/>
      <w:pPr>
        <w:tabs>
          <w:tab w:val="num" w:pos="360"/>
        </w:tabs>
        <w:ind w:left="360" w:hanging="360"/>
      </w:pPr>
    </w:lvl>
  </w:abstractNum>
  <w:abstractNum w:abstractNumId="9">
    <w:nsid w:val="FFFFFF89"/>
    <w:multiLevelType w:val="singleLevel"/>
    <w:tmpl w:val="7ECA888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2F4C2B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2640"/>
    <w:docVar w:name="WAFER_20140123160344" w:val="RemoveTocBookmarks,RemoveUnusedBookmarks,RemoveLanguageTags,UsedStyles,ResetPageSize,UpdateArrangement"/>
    <w:docVar w:name="WAFER_20140123160344_GUID" w:val="2e5daf11-eae3-4b2f-8827-029c904dc2ef"/>
    <w:docVar w:name="WAFER_20140123160356" w:val="RemoveTocBookmarks,RunningHeaders"/>
    <w:docVar w:name="WAFER_20140123160356_GUID" w:val="92e22a0d-0a40-4690-86ba-0e2b82a9e33a"/>
    <w:docVar w:name="WAFER_20141104172558" w:val="RemoveTocBookmarks,RemoveUnusedBookmarks,RemoveLanguageTags,UsedStyles,ResetPageSize,UpdateArrangement"/>
    <w:docVar w:name="WAFER_20141104172558_GUID" w:val="5a4be81d-7c04-4ed2-baeb-49c888184271"/>
    <w:docVar w:name="WAFER_20150506114414" w:val="ResetPageSize,UpdateArrangement,UpdateNTable"/>
    <w:docVar w:name="WAFER_20150506114414_GUID" w:val="63f23cb0-3b99-47d6-91b3-c23b4c055dd2"/>
    <w:docVar w:name="WAFER_20151104142640" w:val="UpdateStyles,UsedStyles"/>
    <w:docVar w:name="WAFER_20151104142640_GUID" w:val="0b5d45da-e0f4-499a-9354-ea01e6d40f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173</Pages>
  <Words>45254</Words>
  <Characters>212698</Characters>
  <Application>Microsoft Office Word</Application>
  <DocSecurity>0</DocSecurity>
  <Lines>5748</Lines>
  <Paragraphs>2803</Paragraphs>
  <ScaleCrop>false</ScaleCrop>
  <HeadingPairs>
    <vt:vector size="2" baseType="variant">
      <vt:variant>
        <vt:lpstr>Title</vt:lpstr>
      </vt:variant>
      <vt:variant>
        <vt:i4>1</vt:i4>
      </vt:variant>
    </vt:vector>
  </HeadingPairs>
  <TitlesOfParts>
    <vt:vector size="1" baseType="lpstr">
      <vt:lpstr>Gaming and Wagering Commission Act 1987</vt:lpstr>
    </vt:vector>
  </TitlesOfParts>
  <Manager/>
  <Company/>
  <LinksUpToDate>false</LinksUpToDate>
  <CharactersWithSpaces>255149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1987 - 06-e0-00</dc:title>
  <dc:subject/>
  <dc:creator/>
  <cp:keywords/>
  <dc:description/>
  <cp:lastModifiedBy>svcMRProcess</cp:lastModifiedBy>
  <cp:revision>4</cp:revision>
  <cp:lastPrinted>2011-12-16T01:24:00Z</cp:lastPrinted>
  <dcterms:created xsi:type="dcterms:W3CDTF">2018-08-29T18:48:00Z</dcterms:created>
  <dcterms:modified xsi:type="dcterms:W3CDTF">2018-08-29T18:48:00Z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DocumentType">
    <vt:lpwstr>Act</vt:lpwstr>
  </property>
  <property fmtid="{D5CDD505-2E9C-101B-9397-08002B2CF9AE}" pid="4" name="OwlsUID">
    <vt:i4>311</vt:i4>
  </property>
  <property fmtid="{D5CDD505-2E9C-101B-9397-08002B2CF9AE}" pid="5" name="ReprintNo">
    <vt:lpwstr>6</vt:lpwstr>
  </property>
  <property fmtid="{D5CDD505-2E9C-101B-9397-08002B2CF9AE}" pid="6" name="ReprintedAsAt">
    <vt:filetime>2011-12-15T16:00:00Z</vt:filetime>
  </property>
  <property fmtid="{D5CDD505-2E9C-101B-9397-08002B2CF9AE}" pid="7" name="AsAtDate">
    <vt:lpwstr>02 Nov 2015</vt:lpwstr>
  </property>
  <property fmtid="{D5CDD505-2E9C-101B-9397-08002B2CF9AE}" pid="8" name="Suffix">
    <vt:lpwstr>06-e0-00</vt:lpwstr>
  </property>
  <property fmtid="{D5CDD505-2E9C-101B-9397-08002B2CF9AE}" pid="9" name="CommencementDate">
    <vt:lpwstr>20151102</vt:lpwstr>
  </property>
</Properties>
</file>