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_Toc415232160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_Toc415232161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_Toc415232162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_Toc415232163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_Toc415232164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_Toc415232165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_Toc415232166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_Toc415232167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_Toc415232168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_Toc415232169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_Toc415232170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_Toc415232171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_Toc415232172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_Toc415232173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_Toc415232174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_Toc415232175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_Toc415232176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_Toc415232177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_Toc415232178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_Toc415232179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_Toc415232180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_Toc415232181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_Toc415232186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407626555"/>
      <w:bookmarkStart w:id="4" w:name="_Toc415232160"/>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15232161"/>
      <w:r>
        <w:rPr>
          <w:rStyle w:val="CharSectno"/>
        </w:rPr>
        <w:t>2</w:t>
      </w:r>
      <w:r>
        <w:rPr>
          <w:snapToGrid w:val="0"/>
        </w:rPr>
        <w:t xml:space="preserve">. </w:t>
      </w:r>
      <w:r>
        <w:rPr>
          <w:snapToGrid w:val="0"/>
        </w:rPr>
        <w:tab/>
        <w:t>Terms used, forms</w:t>
      </w:r>
      <w:bookmarkEnd w:id="5"/>
      <w:bookmarkEnd w:id="6"/>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7" w:name="_Toc407626557"/>
      <w:bookmarkStart w:id="8" w:name="_Toc415232162"/>
      <w:r>
        <w:rPr>
          <w:rStyle w:val="CharSectno"/>
        </w:rPr>
        <w:t>3</w:t>
      </w:r>
      <w:r>
        <w:rPr>
          <w:snapToGrid w:val="0"/>
        </w:rPr>
        <w:t xml:space="preserve">. </w:t>
      </w:r>
      <w:r>
        <w:rPr>
          <w:snapToGrid w:val="0"/>
        </w:rPr>
        <w:tab/>
        <w:t>Unlicensed persons not to be casino key employees or casino employees</w:t>
      </w:r>
      <w:bookmarkEnd w:id="7"/>
      <w:bookmarkEnd w:id="8"/>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9" w:name="_Toc407626558"/>
      <w:bookmarkStart w:id="10" w:name="_Toc415232163"/>
      <w:r>
        <w:rPr>
          <w:rStyle w:val="CharSectno"/>
        </w:rPr>
        <w:t>4</w:t>
      </w:r>
      <w:r>
        <w:rPr>
          <w:snapToGrid w:val="0"/>
        </w:rPr>
        <w:t xml:space="preserve">. </w:t>
      </w:r>
      <w:r>
        <w:rPr>
          <w:snapToGrid w:val="0"/>
        </w:rPr>
        <w:tab/>
        <w:t>Application for licence as employee</w:t>
      </w:r>
      <w:bookmarkEnd w:id="9"/>
      <w:bookmarkEnd w:id="1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1" w:name="_Toc407626559"/>
      <w:bookmarkStart w:id="12" w:name="_Toc415232164"/>
      <w:r>
        <w:rPr>
          <w:rStyle w:val="CharSectno"/>
        </w:rPr>
        <w:t>5</w:t>
      </w:r>
      <w:r>
        <w:rPr>
          <w:snapToGrid w:val="0"/>
        </w:rPr>
        <w:t xml:space="preserve">. </w:t>
      </w:r>
      <w:r>
        <w:rPr>
          <w:snapToGrid w:val="0"/>
        </w:rPr>
        <w:tab/>
        <w:t>Investigation by police</w:t>
      </w:r>
      <w:bookmarkEnd w:id="11"/>
      <w:bookmarkEnd w:id="12"/>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3" w:name="_Toc407626560"/>
      <w:bookmarkStart w:id="14" w:name="_Toc415232165"/>
      <w:r>
        <w:rPr>
          <w:rStyle w:val="CharSectno"/>
        </w:rPr>
        <w:t>6</w:t>
      </w:r>
      <w:r>
        <w:rPr>
          <w:snapToGrid w:val="0"/>
        </w:rPr>
        <w:t xml:space="preserve">. </w:t>
      </w:r>
      <w:r>
        <w:rPr>
          <w:snapToGrid w:val="0"/>
        </w:rPr>
        <w:tab/>
        <w:t>Licence fees</w:t>
      </w:r>
      <w:bookmarkEnd w:id="13"/>
      <w:bookmarkEnd w:id="1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$445; and</w:t>
      </w:r>
    </w:p>
    <w:p>
      <w:pPr>
        <w:pStyle w:val="Indenta"/>
        <w:rPr>
          <w:snapToGrid w:val="0"/>
        </w:rPr>
      </w:pPr>
      <w:r>
        <w:rPr>
          <w:snapToGrid w:val="0"/>
        </w:rPr>
        <w:tab/>
        <w:t>(b)</w:t>
      </w:r>
      <w:r>
        <w:rPr>
          <w:snapToGrid w:val="0"/>
        </w:rPr>
        <w:tab/>
        <w:t xml:space="preserve">for a casino employee licence, is </w:t>
      </w:r>
      <w:r>
        <w:t>$279.</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$123; and</w:t>
      </w:r>
    </w:p>
    <w:p>
      <w:pPr>
        <w:pStyle w:val="Indenta"/>
        <w:rPr>
          <w:snapToGrid w:val="0"/>
        </w:rPr>
      </w:pPr>
      <w:r>
        <w:rPr>
          <w:snapToGrid w:val="0"/>
        </w:rPr>
        <w:tab/>
        <w:t>(b)</w:t>
      </w:r>
      <w:r>
        <w:rPr>
          <w:snapToGrid w:val="0"/>
        </w:rPr>
        <w:tab/>
        <w:t xml:space="preserve">for the renewal of a casino employee licence, is </w:t>
      </w:r>
      <w:r>
        <w:t>$123.</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$322;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$52.</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w:t>
      </w:r>
    </w:p>
    <w:p>
      <w:pPr>
        <w:pStyle w:val="Heading5"/>
        <w:rPr>
          <w:snapToGrid w:val="0"/>
        </w:rPr>
      </w:pPr>
      <w:bookmarkStart w:id="15" w:name="_Toc407626561"/>
      <w:bookmarkStart w:id="16" w:name="_Toc415232166"/>
      <w:r>
        <w:rPr>
          <w:rStyle w:val="CharSectno"/>
        </w:rPr>
        <w:t>7</w:t>
      </w:r>
      <w:r>
        <w:rPr>
          <w:snapToGrid w:val="0"/>
        </w:rPr>
        <w:t xml:space="preserve">. </w:t>
      </w:r>
      <w:r>
        <w:rPr>
          <w:snapToGrid w:val="0"/>
        </w:rPr>
        <w:tab/>
        <w:t>Consideration of application</w:t>
      </w:r>
      <w:bookmarkEnd w:id="15"/>
      <w:bookmarkEnd w:id="1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7" w:name="_Toc407626562"/>
      <w:bookmarkStart w:id="18" w:name="_Toc415232167"/>
      <w:r>
        <w:rPr>
          <w:rStyle w:val="CharSectno"/>
        </w:rPr>
        <w:t>8</w:t>
      </w:r>
      <w:r>
        <w:rPr>
          <w:snapToGrid w:val="0"/>
        </w:rPr>
        <w:t xml:space="preserve">. </w:t>
      </w:r>
      <w:r>
        <w:rPr>
          <w:snapToGrid w:val="0"/>
        </w:rPr>
        <w:tab/>
        <w:t>Commission may grant or refuse licence</w:t>
      </w:r>
      <w:bookmarkEnd w:id="17"/>
      <w:bookmarkEnd w:id="1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9" w:name="_Toc407626563"/>
      <w:bookmarkStart w:id="20" w:name="_Toc415232168"/>
      <w:r>
        <w:rPr>
          <w:rStyle w:val="CharSectno"/>
        </w:rPr>
        <w:t>9</w:t>
      </w:r>
      <w:r>
        <w:rPr>
          <w:snapToGrid w:val="0"/>
        </w:rPr>
        <w:t xml:space="preserve">. </w:t>
      </w:r>
      <w:r>
        <w:rPr>
          <w:snapToGrid w:val="0"/>
        </w:rPr>
        <w:tab/>
        <w:t>Issue of licence</w:t>
      </w:r>
      <w:bookmarkEnd w:id="19"/>
      <w:bookmarkEnd w:id="20"/>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1" w:name="_Toc407626564"/>
      <w:bookmarkStart w:id="22" w:name="_Toc415232169"/>
      <w:r>
        <w:rPr>
          <w:rStyle w:val="CharSectno"/>
        </w:rPr>
        <w:t>10</w:t>
      </w:r>
      <w:r>
        <w:rPr>
          <w:snapToGrid w:val="0"/>
        </w:rPr>
        <w:t xml:space="preserve">. </w:t>
      </w:r>
      <w:r>
        <w:rPr>
          <w:snapToGrid w:val="0"/>
        </w:rPr>
        <w:tab/>
        <w:t>Custody of licence</w:t>
      </w:r>
      <w:bookmarkEnd w:id="21"/>
      <w:bookmarkEnd w:id="2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23" w:name="_Toc407626565"/>
      <w:bookmarkStart w:id="24" w:name="_Toc415232170"/>
      <w:r>
        <w:rPr>
          <w:rStyle w:val="CharSectno"/>
        </w:rPr>
        <w:t>11</w:t>
      </w:r>
      <w:r>
        <w:rPr>
          <w:snapToGrid w:val="0"/>
        </w:rPr>
        <w:t xml:space="preserve">. </w:t>
      </w:r>
      <w:r>
        <w:rPr>
          <w:snapToGrid w:val="0"/>
        </w:rPr>
        <w:tab/>
        <w:t>Display of identification</w:t>
      </w:r>
      <w:bookmarkEnd w:id="23"/>
      <w:bookmarkEnd w:id="2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25" w:name="_Toc407626566"/>
      <w:bookmarkStart w:id="26" w:name="_Toc415232171"/>
      <w:r>
        <w:rPr>
          <w:rStyle w:val="CharSectno"/>
        </w:rPr>
        <w:t>12</w:t>
      </w:r>
      <w:r>
        <w:rPr>
          <w:snapToGrid w:val="0"/>
        </w:rPr>
        <w:t xml:space="preserve">. </w:t>
      </w:r>
      <w:r>
        <w:rPr>
          <w:snapToGrid w:val="0"/>
        </w:rPr>
        <w:tab/>
        <w:t>Notification of commencement of employment</w:t>
      </w:r>
      <w:bookmarkEnd w:id="25"/>
      <w:bookmarkEnd w:id="26"/>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7" w:name="_Toc407626567"/>
      <w:bookmarkStart w:id="28" w:name="_Toc415232172"/>
      <w:r>
        <w:rPr>
          <w:rStyle w:val="CharSectno"/>
        </w:rPr>
        <w:t>13</w:t>
      </w:r>
      <w:r>
        <w:rPr>
          <w:snapToGrid w:val="0"/>
        </w:rPr>
        <w:t xml:space="preserve">. </w:t>
      </w:r>
      <w:r>
        <w:rPr>
          <w:snapToGrid w:val="0"/>
        </w:rPr>
        <w:tab/>
        <w:t>Submission of information as to licensees and maintenance of register</w:t>
      </w:r>
      <w:bookmarkEnd w:id="27"/>
      <w:bookmarkEnd w:id="2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9" w:name="_Toc407626568"/>
      <w:bookmarkStart w:id="30" w:name="_Toc415232173"/>
      <w:r>
        <w:rPr>
          <w:rStyle w:val="CharSectno"/>
        </w:rPr>
        <w:t>14</w:t>
      </w:r>
      <w:r>
        <w:rPr>
          <w:snapToGrid w:val="0"/>
        </w:rPr>
        <w:t xml:space="preserve">. </w:t>
      </w:r>
      <w:r>
        <w:rPr>
          <w:snapToGrid w:val="0"/>
        </w:rPr>
        <w:tab/>
        <w:t>Duration of licence</w:t>
      </w:r>
      <w:bookmarkEnd w:id="29"/>
      <w:bookmarkEnd w:id="3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31" w:name="_Toc407626569"/>
      <w:bookmarkStart w:id="32" w:name="_Toc415232174"/>
      <w:r>
        <w:rPr>
          <w:rStyle w:val="CharSectno"/>
        </w:rPr>
        <w:t>14A</w:t>
      </w:r>
      <w:r>
        <w:t>.</w:t>
      </w:r>
      <w:r>
        <w:tab/>
        <w:t>Renewal of licence</w:t>
      </w:r>
      <w:bookmarkEnd w:id="31"/>
      <w:bookmarkEnd w:id="3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33" w:name="_Toc407626570"/>
      <w:bookmarkStart w:id="34" w:name="_Toc415232175"/>
      <w:r>
        <w:rPr>
          <w:rStyle w:val="CharSectno"/>
        </w:rPr>
        <w:t>15</w:t>
      </w:r>
      <w:r>
        <w:rPr>
          <w:snapToGrid w:val="0"/>
        </w:rPr>
        <w:t xml:space="preserve">. </w:t>
      </w:r>
      <w:r>
        <w:rPr>
          <w:snapToGrid w:val="0"/>
        </w:rPr>
        <w:tab/>
        <w:t>Cancellation or suspension of licence</w:t>
      </w:r>
      <w:bookmarkEnd w:id="33"/>
      <w:bookmarkEnd w:id="3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35" w:name="_Toc407626571"/>
      <w:bookmarkStart w:id="36" w:name="_Toc415232176"/>
      <w:r>
        <w:rPr>
          <w:rStyle w:val="CharSectno"/>
        </w:rPr>
        <w:t>16</w:t>
      </w:r>
      <w:r>
        <w:t>.</w:t>
      </w:r>
      <w:r>
        <w:tab/>
        <w:t>Letter of censure</w:t>
      </w:r>
      <w:bookmarkEnd w:id="35"/>
      <w:bookmarkEnd w:id="3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37" w:name="_Toc407626572"/>
      <w:bookmarkStart w:id="38" w:name="_Toc415232177"/>
      <w:r>
        <w:rPr>
          <w:rStyle w:val="CharSectno"/>
        </w:rPr>
        <w:t>16A</w:t>
      </w:r>
      <w:r>
        <w:t>.</w:t>
      </w:r>
      <w:r>
        <w:tab/>
        <w:t>Imposition of fine</w:t>
      </w:r>
      <w:bookmarkEnd w:id="37"/>
      <w:bookmarkEnd w:id="3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39" w:name="_Toc407626573"/>
      <w:bookmarkStart w:id="40" w:name="_Toc415232178"/>
      <w:r>
        <w:rPr>
          <w:rStyle w:val="CharSectno"/>
        </w:rPr>
        <w:t>16B</w:t>
      </w:r>
      <w:r>
        <w:t>.</w:t>
      </w:r>
      <w:r>
        <w:tab/>
        <w:t>Combination of punitive measures</w:t>
      </w:r>
      <w:bookmarkEnd w:id="39"/>
      <w:bookmarkEnd w:id="40"/>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41" w:name="_Toc407626574"/>
      <w:bookmarkStart w:id="42" w:name="_Toc415232179"/>
      <w:r>
        <w:rPr>
          <w:rStyle w:val="CharSectno"/>
        </w:rPr>
        <w:t>17</w:t>
      </w:r>
      <w:r>
        <w:rPr>
          <w:snapToGrid w:val="0"/>
        </w:rPr>
        <w:t xml:space="preserve">. </w:t>
      </w:r>
      <w:r>
        <w:rPr>
          <w:snapToGrid w:val="0"/>
        </w:rPr>
        <w:tab/>
        <w:t>Surrender of licence</w:t>
      </w:r>
      <w:bookmarkEnd w:id="41"/>
      <w:bookmarkEnd w:id="4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43" w:name="_Toc407626575"/>
      <w:bookmarkStart w:id="44" w:name="_Toc415232180"/>
      <w:r>
        <w:rPr>
          <w:rStyle w:val="CharSectno"/>
        </w:rPr>
        <w:t>18</w:t>
      </w:r>
      <w:r>
        <w:rPr>
          <w:snapToGrid w:val="0"/>
        </w:rPr>
        <w:t xml:space="preserve">. </w:t>
      </w:r>
      <w:r>
        <w:rPr>
          <w:snapToGrid w:val="0"/>
        </w:rPr>
        <w:tab/>
        <w:t>Termination of employment and notification of termination</w:t>
      </w:r>
      <w:bookmarkEnd w:id="43"/>
      <w:bookmarkEnd w:id="4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5" w:name="_Toc407626576"/>
      <w:bookmarkStart w:id="46" w:name="_Toc415232181"/>
      <w:r>
        <w:rPr>
          <w:rStyle w:val="CharSectno"/>
        </w:rPr>
        <w:t>19</w:t>
      </w:r>
      <w:r>
        <w:rPr>
          <w:snapToGrid w:val="0"/>
        </w:rPr>
        <w:t>.</w:t>
      </w:r>
      <w:r>
        <w:rPr>
          <w:snapToGrid w:val="0"/>
        </w:rPr>
        <w:tab/>
        <w:t>Provisional licences</w:t>
      </w:r>
      <w:bookmarkEnd w:id="45"/>
      <w:bookmarkEnd w:id="46"/>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03720064"/>
      <w:bookmarkStart w:id="48" w:name="_Toc407626577"/>
      <w:bookmarkStart w:id="49" w:name="_Toc415232150"/>
      <w:bookmarkStart w:id="50" w:name="_Toc415232182"/>
      <w:r>
        <w:rPr>
          <w:rStyle w:val="CharSchNo"/>
        </w:rPr>
        <w:t>Schedule</w:t>
      </w:r>
      <w:bookmarkEnd w:id="47"/>
      <w:bookmarkEnd w:id="48"/>
      <w:bookmarkEnd w:id="49"/>
      <w:bookmarkEnd w:id="50"/>
    </w:p>
    <w:p>
      <w:pPr>
        <w:pStyle w:val="yEdnotedivision"/>
      </w:pPr>
      <w:r>
        <w:t>[Form 1 deleted in Gazette 14 Oct 2005 p. 4558.]</w:t>
      </w:r>
    </w:p>
    <w:p>
      <w:pPr>
        <w:pStyle w:val="yHeading3"/>
      </w:pPr>
      <w:bookmarkStart w:id="51" w:name="_Toc403720065"/>
      <w:bookmarkStart w:id="52" w:name="_Toc407626578"/>
      <w:bookmarkStart w:id="53" w:name="_Toc415232151"/>
      <w:bookmarkStart w:id="54" w:name="_Toc415232183"/>
      <w:r>
        <w:rPr>
          <w:rStyle w:val="CharSClsNo"/>
        </w:rPr>
        <w:t>Form 2</w:t>
      </w:r>
      <w:bookmarkEnd w:id="51"/>
      <w:bookmarkEnd w:id="52"/>
      <w:bookmarkEnd w:id="53"/>
      <w:bookmarkEnd w:id="54"/>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55" w:name="_Toc403720066"/>
      <w:bookmarkStart w:id="56" w:name="_Toc407626579"/>
      <w:bookmarkStart w:id="57" w:name="_Toc415232152"/>
      <w:bookmarkStart w:id="58" w:name="_Toc415232184"/>
      <w:r>
        <w:rPr>
          <w:rStyle w:val="CharSClsNo"/>
        </w:rPr>
        <w:t>Form 3</w:t>
      </w:r>
      <w:bookmarkEnd w:id="55"/>
      <w:bookmarkEnd w:id="56"/>
      <w:bookmarkEnd w:id="57"/>
      <w:bookmarkEnd w:id="58"/>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0" w:name="_Toc403720067"/>
      <w:bookmarkStart w:id="61" w:name="_Toc407626580"/>
      <w:bookmarkStart w:id="62" w:name="_Toc415232153"/>
      <w:bookmarkStart w:id="63" w:name="_Toc415232185"/>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 w:name="_Toc407626581"/>
      <w:bookmarkStart w:id="65" w:name="_Toc415232186"/>
      <w: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rFonts w:ascii="Times" w:hAnsi="Times"/>
                <w:i/>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rFonts w:ascii="Times" w:hAnsi="Times"/>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Borders>
              <w:bottom w:val="single" w:sz="4" w:space="0" w:color="auto"/>
            </w:tcBorders>
          </w:tcPr>
          <w:p>
            <w:pPr>
              <w:pStyle w:val="nTable"/>
              <w:spacing w:after="40"/>
            </w:pPr>
            <w:r>
              <w:t>14 Nov 2014 p. 4281</w:t>
            </w:r>
            <w:r>
              <w:noBreakHyphen/>
              <w:t>2</w:t>
            </w:r>
          </w:p>
        </w:tc>
        <w:tc>
          <w:tcPr>
            <w:tcW w:w="2693" w:type="dxa"/>
            <w:gridSpan w:val="2"/>
            <w:tcBorders>
              <w:bottom w:val="single" w:sz="4" w:space="0" w:color="auto"/>
            </w:tcBorders>
          </w:tcPr>
          <w:p>
            <w:pPr>
              <w:pStyle w:val="nTable"/>
              <w:spacing w:after="40"/>
            </w:pPr>
            <w:r>
              <w:rPr>
                <w:rFonts w:ascii="Times" w:hAnsi="Times"/>
                <w:bCs/>
                <w:snapToGrid w:val="0"/>
                <w:spacing w:val="-2"/>
              </w:rPr>
              <w:t>r. 1 and 2: 14 Nov 2014 (see r. 2(a));</w:t>
            </w:r>
            <w:r>
              <w:rPr>
                <w:rFonts w:ascii="Times" w:hAnsi="Times"/>
                <w:bCs/>
                <w:snapToGrid w:val="0"/>
                <w:spacing w:val="-2"/>
              </w:rPr>
              <w:br/>
              <w:t>Regulations other than r. 1 and 2: 1 Jan 2015 (see r. 2(b))</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3 </w:t>
            </w:r>
            <w:r>
              <w:rPr>
                <w:vertAlign w:val="superscript"/>
              </w:rPr>
              <w:t>2</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3</w:t>
      </w:r>
      <w:r>
        <w:rPr>
          <w:noProof/>
        </w:rPr>
        <w:t> </w:t>
      </w:r>
      <w:r>
        <w:rPr>
          <w:snapToGrid w:val="0"/>
        </w:rPr>
        <w:t>had not come into operation.  It reads as follows:</w:t>
      </w:r>
    </w:p>
    <w:p>
      <w:pPr>
        <w:pStyle w:val="BlankOpen"/>
        <w:rPr>
          <w:snapToGrid w:val="0"/>
        </w:rPr>
      </w:pPr>
    </w:p>
    <w:p>
      <w:pPr>
        <w:pStyle w:val="nzHeading2"/>
      </w:pPr>
      <w:r>
        <w:rPr>
          <w:rStyle w:val="CharPartNo"/>
        </w:rPr>
        <w:t>Part 3</w:t>
      </w:r>
      <w:r>
        <w:rPr>
          <w:rStyle w:val="CharDivNo"/>
        </w:rPr>
        <w:t> </w:t>
      </w:r>
      <w:r>
        <w:t>—</w:t>
      </w:r>
      <w:r>
        <w:rPr>
          <w:rStyle w:val="CharDivText"/>
        </w:rPr>
        <w:t> </w:t>
      </w:r>
      <w:r>
        <w:rPr>
          <w:rStyle w:val="CharPartText"/>
          <w:i/>
        </w:rPr>
        <w:t>Casino Control (Burswood Island) (Licensing of Employees) Regulations 1985</w:t>
      </w:r>
      <w:r>
        <w:rPr>
          <w:rStyle w:val="CharPartText"/>
        </w:rPr>
        <w:t xml:space="preserve"> amended</w:t>
      </w:r>
    </w:p>
    <w:p>
      <w:pPr>
        <w:pStyle w:val="nzHeading5"/>
      </w:pPr>
      <w:r>
        <w:rPr>
          <w:rStyle w:val="CharSectno"/>
        </w:rPr>
        <w:t>5</w:t>
      </w:r>
      <w:r>
        <w:t>.</w:t>
      </w:r>
      <w:r>
        <w:tab/>
        <w:t>Regulations amended</w:t>
      </w:r>
    </w:p>
    <w:p>
      <w:pPr>
        <w:pStyle w:val="nzSubsection"/>
      </w:pPr>
      <w:r>
        <w:tab/>
      </w:r>
      <w:r>
        <w:tab/>
        <w:t xml:space="preserve">This Part amends the </w:t>
      </w:r>
      <w:r>
        <w:rPr>
          <w:i/>
        </w:rPr>
        <w:t>Casino Control (Burswood Island) (Licensing of Employees) Regulations 1985</w:t>
      </w:r>
      <w:r>
        <w:t>.</w:t>
      </w:r>
    </w:p>
    <w:p>
      <w:pPr>
        <w:pStyle w:val="nzHeading5"/>
      </w:pPr>
      <w:r>
        <w:rPr>
          <w:rStyle w:val="CharSectno"/>
        </w:rPr>
        <w:t>6</w:t>
      </w:r>
      <w:r>
        <w:t>.</w:t>
      </w:r>
      <w:r>
        <w:tab/>
        <w:t>Regulation 6 amended</w:t>
      </w:r>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19"/>
        <w:gridCol w:w="2019"/>
        <w:gridCol w:w="2019"/>
      </w:tblGrid>
      <w:tr>
        <w:trPr>
          <w:cantSplit/>
          <w:tblHeader/>
          <w:jc w:val="center"/>
        </w:trPr>
        <w:tc>
          <w:tcPr>
            <w:tcW w:w="2019" w:type="dxa"/>
          </w:tcPr>
          <w:p>
            <w:pPr>
              <w:pStyle w:val="TableAm"/>
              <w:keepNext/>
              <w:jc w:val="center"/>
              <w:rPr>
                <w:b/>
                <w:bCs/>
                <w:sz w:val="20"/>
              </w:rPr>
            </w:pPr>
            <w:r>
              <w:rPr>
                <w:b/>
                <w:bCs/>
                <w:sz w:val="20"/>
              </w:rPr>
              <w:t>Provision</w:t>
            </w:r>
          </w:p>
        </w:tc>
        <w:tc>
          <w:tcPr>
            <w:tcW w:w="2019" w:type="dxa"/>
          </w:tcPr>
          <w:p>
            <w:pPr>
              <w:pStyle w:val="TableAm"/>
              <w:keepNext/>
              <w:jc w:val="center"/>
              <w:rPr>
                <w:b/>
                <w:bCs/>
                <w:sz w:val="20"/>
              </w:rPr>
            </w:pPr>
            <w:r>
              <w:rPr>
                <w:b/>
                <w:bCs/>
                <w:sz w:val="20"/>
              </w:rPr>
              <w:t>Delete</w:t>
            </w:r>
          </w:p>
        </w:tc>
        <w:tc>
          <w:tcPr>
            <w:tcW w:w="2019" w:type="dxa"/>
          </w:tcPr>
          <w:p>
            <w:pPr>
              <w:pStyle w:val="TableAm"/>
              <w:keepNext/>
              <w:jc w:val="center"/>
              <w:rPr>
                <w:b/>
                <w:bCs/>
                <w:sz w:val="20"/>
              </w:rPr>
            </w:pPr>
            <w:r>
              <w:rPr>
                <w:b/>
                <w:bCs/>
                <w:sz w:val="20"/>
              </w:rPr>
              <w:t>Insert</w:t>
            </w:r>
          </w:p>
        </w:tc>
      </w:tr>
      <w:tr>
        <w:trPr>
          <w:cantSplit/>
          <w:jc w:val="center"/>
        </w:trPr>
        <w:tc>
          <w:tcPr>
            <w:tcW w:w="2019" w:type="dxa"/>
          </w:tcPr>
          <w:p>
            <w:pPr>
              <w:pStyle w:val="TableAm"/>
              <w:rPr>
                <w:sz w:val="20"/>
              </w:rPr>
            </w:pPr>
            <w:r>
              <w:rPr>
                <w:sz w:val="20"/>
              </w:rPr>
              <w:t>r. 6(1)(a)</w:t>
            </w:r>
          </w:p>
        </w:tc>
        <w:tc>
          <w:tcPr>
            <w:tcW w:w="2019" w:type="dxa"/>
          </w:tcPr>
          <w:p>
            <w:pPr>
              <w:pStyle w:val="TableAm"/>
              <w:rPr>
                <w:sz w:val="20"/>
              </w:rPr>
            </w:pPr>
            <w:r>
              <w:rPr>
                <w:sz w:val="20"/>
              </w:rPr>
              <w:t>$445</w:t>
            </w:r>
          </w:p>
        </w:tc>
        <w:tc>
          <w:tcPr>
            <w:tcW w:w="2019" w:type="dxa"/>
          </w:tcPr>
          <w:p>
            <w:pPr>
              <w:pStyle w:val="TableAm"/>
              <w:rPr>
                <w:sz w:val="20"/>
              </w:rPr>
            </w:pPr>
            <w:r>
              <w:rPr>
                <w:sz w:val="20"/>
              </w:rPr>
              <w:t>$456</w:t>
            </w:r>
          </w:p>
        </w:tc>
      </w:tr>
      <w:tr>
        <w:trPr>
          <w:cantSplit/>
          <w:jc w:val="center"/>
        </w:trPr>
        <w:tc>
          <w:tcPr>
            <w:tcW w:w="2019" w:type="dxa"/>
          </w:tcPr>
          <w:p>
            <w:pPr>
              <w:pStyle w:val="TableAm"/>
              <w:rPr>
                <w:sz w:val="20"/>
              </w:rPr>
            </w:pPr>
            <w:r>
              <w:rPr>
                <w:sz w:val="20"/>
              </w:rPr>
              <w:t>r. 6(1)(b)</w:t>
            </w:r>
          </w:p>
        </w:tc>
        <w:tc>
          <w:tcPr>
            <w:tcW w:w="2019" w:type="dxa"/>
          </w:tcPr>
          <w:p>
            <w:pPr>
              <w:pStyle w:val="TableAm"/>
              <w:rPr>
                <w:sz w:val="20"/>
              </w:rPr>
            </w:pPr>
            <w:r>
              <w:rPr>
                <w:sz w:val="20"/>
              </w:rPr>
              <w:t>$279</w:t>
            </w:r>
          </w:p>
        </w:tc>
        <w:tc>
          <w:tcPr>
            <w:tcW w:w="2019" w:type="dxa"/>
          </w:tcPr>
          <w:p>
            <w:pPr>
              <w:pStyle w:val="TableAm"/>
              <w:rPr>
                <w:sz w:val="20"/>
              </w:rPr>
            </w:pPr>
            <w:r>
              <w:rPr>
                <w:sz w:val="20"/>
              </w:rPr>
              <w:t>$285</w:t>
            </w:r>
          </w:p>
        </w:tc>
      </w:tr>
      <w:tr>
        <w:trPr>
          <w:cantSplit/>
          <w:jc w:val="center"/>
        </w:trPr>
        <w:tc>
          <w:tcPr>
            <w:tcW w:w="2019" w:type="dxa"/>
          </w:tcPr>
          <w:p>
            <w:pPr>
              <w:pStyle w:val="TableAm"/>
              <w:rPr>
                <w:sz w:val="20"/>
              </w:rPr>
            </w:pPr>
            <w:r>
              <w:rPr>
                <w:sz w:val="20"/>
              </w:rPr>
              <w:t>r. 6(1a)(a)</w:t>
            </w:r>
          </w:p>
        </w:tc>
        <w:tc>
          <w:tcPr>
            <w:tcW w:w="2019" w:type="dxa"/>
          </w:tcPr>
          <w:p>
            <w:pPr>
              <w:pStyle w:val="TableAm"/>
              <w:rPr>
                <w:sz w:val="20"/>
              </w:rPr>
            </w:pPr>
            <w:r>
              <w:rPr>
                <w:sz w:val="20"/>
              </w:rPr>
              <w:t>$123</w:t>
            </w:r>
          </w:p>
        </w:tc>
        <w:tc>
          <w:tcPr>
            <w:tcW w:w="2019" w:type="dxa"/>
          </w:tcPr>
          <w:p>
            <w:pPr>
              <w:pStyle w:val="TableAm"/>
              <w:rPr>
                <w:sz w:val="20"/>
              </w:rPr>
            </w:pPr>
            <w:r>
              <w:rPr>
                <w:sz w:val="20"/>
              </w:rPr>
              <w:t>$126</w:t>
            </w:r>
          </w:p>
        </w:tc>
      </w:tr>
      <w:tr>
        <w:trPr>
          <w:cantSplit/>
          <w:jc w:val="center"/>
        </w:trPr>
        <w:tc>
          <w:tcPr>
            <w:tcW w:w="2019" w:type="dxa"/>
          </w:tcPr>
          <w:p>
            <w:pPr>
              <w:pStyle w:val="TableAm"/>
              <w:rPr>
                <w:sz w:val="20"/>
              </w:rPr>
            </w:pPr>
            <w:r>
              <w:rPr>
                <w:sz w:val="20"/>
              </w:rPr>
              <w:t>r. 6(1a)(b)</w:t>
            </w:r>
          </w:p>
        </w:tc>
        <w:tc>
          <w:tcPr>
            <w:tcW w:w="2019" w:type="dxa"/>
          </w:tcPr>
          <w:p>
            <w:pPr>
              <w:pStyle w:val="TableAm"/>
              <w:rPr>
                <w:sz w:val="20"/>
              </w:rPr>
            </w:pPr>
            <w:r>
              <w:rPr>
                <w:sz w:val="20"/>
              </w:rPr>
              <w:t>$123</w:t>
            </w:r>
          </w:p>
        </w:tc>
        <w:tc>
          <w:tcPr>
            <w:tcW w:w="2019" w:type="dxa"/>
          </w:tcPr>
          <w:p>
            <w:pPr>
              <w:pStyle w:val="TableAm"/>
              <w:rPr>
                <w:sz w:val="20"/>
              </w:rPr>
            </w:pPr>
            <w:r>
              <w:rPr>
                <w:sz w:val="20"/>
              </w:rPr>
              <w:t>$126</w:t>
            </w:r>
          </w:p>
        </w:tc>
      </w:tr>
      <w:tr>
        <w:trPr>
          <w:cantSplit/>
          <w:jc w:val="center"/>
        </w:trPr>
        <w:tc>
          <w:tcPr>
            <w:tcW w:w="2019" w:type="dxa"/>
          </w:tcPr>
          <w:p>
            <w:pPr>
              <w:pStyle w:val="TableAm"/>
              <w:rPr>
                <w:sz w:val="20"/>
              </w:rPr>
            </w:pPr>
            <w:r>
              <w:rPr>
                <w:sz w:val="20"/>
              </w:rPr>
              <w:t>r. 6(2)(a)</w:t>
            </w:r>
          </w:p>
        </w:tc>
        <w:tc>
          <w:tcPr>
            <w:tcW w:w="2019" w:type="dxa"/>
          </w:tcPr>
          <w:p>
            <w:pPr>
              <w:pStyle w:val="TableAm"/>
              <w:rPr>
                <w:sz w:val="20"/>
              </w:rPr>
            </w:pPr>
            <w:r>
              <w:rPr>
                <w:sz w:val="20"/>
              </w:rPr>
              <w:t>$322</w:t>
            </w:r>
          </w:p>
        </w:tc>
        <w:tc>
          <w:tcPr>
            <w:tcW w:w="2019" w:type="dxa"/>
          </w:tcPr>
          <w:p>
            <w:pPr>
              <w:pStyle w:val="TableAm"/>
              <w:rPr>
                <w:sz w:val="20"/>
              </w:rPr>
            </w:pPr>
            <w:r>
              <w:rPr>
                <w:sz w:val="20"/>
              </w:rPr>
              <w:t>$330</w:t>
            </w:r>
          </w:p>
        </w:tc>
      </w:tr>
      <w:tr>
        <w:trPr>
          <w:cantSplit/>
          <w:jc w:val="center"/>
        </w:trPr>
        <w:tc>
          <w:tcPr>
            <w:tcW w:w="2019" w:type="dxa"/>
          </w:tcPr>
          <w:p>
            <w:pPr>
              <w:pStyle w:val="TableAm"/>
              <w:rPr>
                <w:sz w:val="20"/>
              </w:rPr>
            </w:pPr>
            <w:r>
              <w:rPr>
                <w:sz w:val="20"/>
              </w:rPr>
              <w:t>r. 6(2)(c)</w:t>
            </w:r>
          </w:p>
        </w:tc>
        <w:tc>
          <w:tcPr>
            <w:tcW w:w="2019" w:type="dxa"/>
          </w:tcPr>
          <w:p>
            <w:pPr>
              <w:pStyle w:val="TableAm"/>
              <w:rPr>
                <w:sz w:val="20"/>
              </w:rPr>
            </w:pPr>
            <w:r>
              <w:rPr>
                <w:sz w:val="20"/>
              </w:rPr>
              <w:t>$52</w:t>
            </w:r>
          </w:p>
        </w:tc>
        <w:tc>
          <w:tcPr>
            <w:tcW w:w="2019" w:type="dxa"/>
          </w:tcPr>
          <w:p>
            <w:pPr>
              <w:pStyle w:val="TableAm"/>
              <w:rPr>
                <w:sz w:val="20"/>
              </w:rPr>
            </w:pPr>
            <w:r>
              <w:rPr>
                <w:sz w:val="20"/>
              </w:rPr>
              <w:t>$53</w:t>
            </w:r>
          </w:p>
        </w:tc>
      </w:tr>
    </w:tbl>
    <w:p>
      <w:pPr>
        <w:pStyle w:val="BlankClose"/>
        <w:rPr>
          <w:snapToGrid w:val="0"/>
        </w:rPr>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67" w:name="_Toc415232187"/>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66" w:name="Compilation"/>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7278</Words>
  <Characters>38725</Characters>
  <Application>Microsoft Office Word</Application>
  <DocSecurity>0</DocSecurity>
  <Lines>1106</Lines>
  <Paragraphs>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1985 - 04-d0-01</dc:title>
  <dc:subject/>
  <dc:creator/>
  <cp:keywords/>
  <dc:description/>
  <cp:lastModifiedBy>svcMRProcess</cp:lastModifiedBy>
  <cp:revision>4</cp:revision>
  <cp:lastPrinted>2014-06-09T07:53:00Z</cp:lastPrinted>
  <dcterms:created xsi:type="dcterms:W3CDTF">2018-09-10T05:32:00Z</dcterms:created>
  <dcterms:modified xsi:type="dcterms:W3CDTF">2018-09-10T05:32:00Z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4341</vt:i4>
  </property>
  <property fmtid="{D5CDD505-2E9C-101B-9397-08002B2CF9AE}" pid="6" name="ReprintNo">
    <vt:lpwstr>4</vt:lpwstr>
  </property>
  <property fmtid="{D5CDD505-2E9C-101B-9397-08002B2CF9AE}" pid="7" name="ReprintedAsAt">
    <vt:filetime>2014-06-05T16:00:00Z</vt:filetime>
  </property>
  <property fmtid="{D5CDD505-2E9C-101B-9397-08002B2CF9AE}" pid="8" name="AsAtDate">
    <vt:lpwstr>06 Nov 2015</vt:lpwstr>
  </property>
  <property fmtid="{D5CDD505-2E9C-101B-9397-08002B2CF9AE}" pid="9" name="Suffix">
    <vt:lpwstr>04-d0-01</vt:lpwstr>
  </property>
</Properties>
</file>