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Theatre Trust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Theatre Trust Act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_Toc436129667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_Toc436129668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_Toc436129669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Transitional provisions relating to general manager</w:t>
      </w:r>
      <w:r>
        <w:tab/>
      </w:r>
      <w:r>
        <w:fldChar w:fldCharType="begin"/>
      </w:r>
      <w:r>
        <w:instrText xml:space="preserve"> PAGEREF _Toc436129670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composition and proceedings of Trust</w:t>
      </w:r>
    </w:p>
    <w:p>
      <w:pPr>
        <w:pStyle w:val="TOC8"/>
        <w:rPr>
          <w:rFonts w:asciiTheme="minorHAnsi" w:eastAsiaTheme="minorEastAsia" w:hAnsiTheme="minorHAnsi" w:cstheme="minorBidi"/>
          <w:szCs w:val="22"/>
        </w:rPr>
      </w:pPr>
      <w:r>
        <w:t>4</w:t>
      </w:r>
      <w:r>
        <w:rPr>
          <w:snapToGrid w:val="0"/>
        </w:rPr>
        <w:t>.</w:t>
      </w:r>
      <w:r>
        <w:rPr>
          <w:snapToGrid w:val="0"/>
        </w:rPr>
        <w:tab/>
        <w:t>Establishment of Trust</w:t>
      </w:r>
      <w:r>
        <w:tab/>
      </w:r>
      <w:r>
        <w:fldChar w:fldCharType="begin"/>
      </w:r>
      <w:r>
        <w:instrText xml:space="preserve"> PAGEREF _Toc436129672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Composition of Trust</w:t>
      </w:r>
      <w:r>
        <w:tab/>
      </w:r>
      <w:r>
        <w:fldChar w:fldCharType="begin"/>
      </w:r>
      <w:r>
        <w:instrText xml:space="preserve"> PAGEREF _Toc436129673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Casual vacancies</w:t>
      </w:r>
      <w:r>
        <w:tab/>
      </w:r>
      <w:r>
        <w:fldChar w:fldCharType="begin"/>
      </w:r>
      <w:r>
        <w:instrText xml:space="preserve"> PAGEREF _Toc436129674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trustee from office</w:t>
      </w:r>
      <w:r>
        <w:tab/>
      </w:r>
      <w:r>
        <w:fldChar w:fldCharType="begin"/>
      </w:r>
      <w:r>
        <w:instrText xml:space="preserve"> PAGEREF _Toc436129675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Common seal, meetings and quorum</w:t>
      </w:r>
      <w:r>
        <w:tab/>
      </w:r>
      <w:r>
        <w:fldChar w:fldCharType="begin"/>
      </w:r>
      <w:r>
        <w:instrText xml:space="preserve"> PAGEREF _Toc436129676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expenses of trustees</w:t>
      </w:r>
      <w:r>
        <w:tab/>
      </w:r>
      <w:r>
        <w:fldChar w:fldCharType="begin"/>
      </w:r>
      <w:r>
        <w:instrText xml:space="preserve"> PAGEREF _Toc436129677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_Toc436129678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Committees</w:t>
      </w:r>
      <w:r>
        <w:tab/>
      </w:r>
      <w:r>
        <w:fldChar w:fldCharType="begin"/>
      </w:r>
      <w:r>
        <w:instrText xml:space="preserve"> PAGEREF _Toc436129679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Who presides at meetings</w:t>
      </w:r>
      <w:r>
        <w:tab/>
      </w:r>
      <w:r>
        <w:fldChar w:fldCharType="begin"/>
      </w:r>
      <w:r>
        <w:instrText xml:space="preserve"> PAGEREF _Toc436129680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Validity of acts etc. of Trust not affected by vacancy etc.</w:t>
      </w:r>
      <w:r>
        <w:tab/>
      </w:r>
      <w:r>
        <w:fldChar w:fldCharType="begin"/>
      </w:r>
      <w:r>
        <w:instrText xml:space="preserve"> PAGEREF _Toc436129681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Trustee to declare interest</w:t>
      </w:r>
      <w:r>
        <w:tab/>
      </w:r>
      <w:r>
        <w:fldChar w:fldCharType="begin"/>
      </w:r>
      <w:r>
        <w:instrText xml:space="preserve"> PAGEREF _Toc436129682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Powers, functions, authorities and duties of Trust</w:t>
      </w:r>
    </w:p>
    <w:p>
      <w:pPr>
        <w:pStyle w:val="TOC8"/>
        <w:rPr>
          <w:rFonts w:asciiTheme="minorHAnsi" w:eastAsiaTheme="minorEastAsia" w:hAnsiTheme="minorHAnsi" w:cstheme="minorBidi"/>
          <w:szCs w:val="22"/>
        </w:rPr>
      </w:pPr>
      <w:r>
        <w:t>15</w:t>
      </w:r>
      <w:r>
        <w:rPr>
          <w:snapToGrid w:val="0"/>
        </w:rPr>
        <w:t>.</w:t>
      </w:r>
      <w:r>
        <w:rPr>
          <w:snapToGrid w:val="0"/>
        </w:rPr>
        <w:tab/>
        <w:t>Trust subject to general direction and control of Minister</w:t>
      </w:r>
      <w:r>
        <w:tab/>
      </w:r>
      <w:r>
        <w:fldChar w:fldCharType="begin"/>
      </w:r>
      <w:r>
        <w:instrText xml:space="preserve"> PAGEREF _Toc436129684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and powers</w:t>
      </w:r>
      <w:r>
        <w:tab/>
      </w:r>
      <w:r>
        <w:fldChar w:fldCharType="begin"/>
      </w:r>
      <w:r>
        <w:instrText xml:space="preserve"> PAGEREF _Toc436129685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General manager etc., appointment of etc.</w:t>
      </w:r>
      <w:r>
        <w:tab/>
      </w:r>
      <w:r>
        <w:fldChar w:fldCharType="begin"/>
      </w:r>
      <w:r>
        <w:instrText xml:space="preserve"> PAGEREF _Toc436129686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17A</w:t>
      </w:r>
      <w:r>
        <w:rPr>
          <w:snapToGrid w:val="0"/>
        </w:rPr>
        <w:t>.</w:t>
      </w:r>
      <w:r>
        <w:rPr>
          <w:snapToGrid w:val="0"/>
        </w:rPr>
        <w:tab/>
        <w:t>Employment of casual or temporary staff</w:t>
      </w:r>
      <w:r>
        <w:tab/>
      </w:r>
      <w:r>
        <w:fldChar w:fldCharType="begin"/>
      </w:r>
      <w:r>
        <w:instrText xml:space="preserve"> PAGEREF _Toc436129687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Trust may use services of public servants</w:t>
      </w:r>
      <w:r>
        <w:tab/>
      </w:r>
      <w:r>
        <w:fldChar w:fldCharType="begin"/>
      </w:r>
      <w:r>
        <w:instrText xml:space="preserve"> PAGEREF _Toc436129688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Trust may agree to lease, manage etc. theatre of Council</w:t>
      </w:r>
      <w:r>
        <w:tab/>
      </w:r>
      <w:r>
        <w:fldChar w:fldCharType="begin"/>
      </w:r>
      <w:r>
        <w:instrText xml:space="preserve"> PAGEREF _Toc436129689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provisions</w:t>
      </w:r>
    </w:p>
    <w:p>
      <w:pPr>
        <w:pStyle w:val="TOC8"/>
        <w:rPr>
          <w:rFonts w:asciiTheme="minorHAnsi" w:eastAsiaTheme="minorEastAsia" w:hAnsiTheme="minorHAnsi" w:cstheme="minorBidi"/>
          <w:szCs w:val="22"/>
        </w:rPr>
      </w:pPr>
      <w:r>
        <w:t>20</w:t>
      </w:r>
      <w:r>
        <w:rPr>
          <w:snapToGrid w:val="0"/>
        </w:rPr>
        <w:t>.</w:t>
      </w:r>
      <w:r>
        <w:rPr>
          <w:snapToGrid w:val="0"/>
        </w:rPr>
        <w:tab/>
        <w:t>Certain property of Trust exempt from rates, taxes and duty</w:t>
      </w:r>
      <w:r>
        <w:tab/>
      </w:r>
      <w:r>
        <w:fldChar w:fldCharType="begin"/>
      </w:r>
      <w:r>
        <w:instrText xml:space="preserve"> PAGEREF _Toc436129691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r>
        <w:tab/>
      </w:r>
      <w:r>
        <w:fldChar w:fldCharType="begin"/>
      </w:r>
      <w:r>
        <w:instrText xml:space="preserve"> PAGEREF _Toc436129692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Trust</w:t>
      </w:r>
      <w:r>
        <w:tab/>
      </w:r>
      <w:r>
        <w:fldChar w:fldCharType="begin"/>
      </w:r>
      <w:r>
        <w:instrText xml:space="preserve"> PAGEREF _Toc436129693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Trust may accept gifts</w:t>
      </w:r>
      <w:r>
        <w:tab/>
      </w:r>
      <w:r>
        <w:fldChar w:fldCharType="begin"/>
      </w:r>
      <w:r>
        <w:instrText xml:space="preserve"> PAGEREF _Toc436129694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Regulations</w:t>
      </w:r>
      <w:r>
        <w:tab/>
      </w:r>
      <w:r>
        <w:fldChar w:fldCharType="begin"/>
      </w:r>
      <w:r>
        <w:instrText xml:space="preserve"> PAGEREF _Toc436129696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 Matters in respect of which the Governor may make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_Toc436129699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_Toc436129700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Perth Theatre Trust Act 1979</w:t>
      </w:r>
    </w:p>
    <w:p>
      <w:pPr>
        <w:pStyle w:val="LongTitle"/>
        <w:rPr>
          <w:snapToGrid w:val="0"/>
        </w:rPr>
      </w:pPr>
      <w:r>
        <w:rPr>
          <w:snapToGrid w:val="0"/>
        </w:rPr>
        <w:t>An Act to establish and constitute the Perth Theatre Trust, to provide for the management and operation of theatres vested in or leased to it or under its control and for matters incidental thereto or connected therewith.</w:t>
      </w:r>
    </w:p>
    <w:p>
      <w:pPr>
        <w:pStyle w:val="Heading2"/>
      </w:pPr>
      <w:bookmarkStart w:id="3" w:name="_Toc413833764"/>
      <w:bookmarkStart w:id="4" w:name="_Toc413833799"/>
      <w:bookmarkStart w:id="5" w:name="_Toc413833872"/>
      <w:bookmarkStart w:id="6" w:name="_Toc435780991"/>
      <w:bookmarkStart w:id="7" w:name="_Toc43612966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36129667"/>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9" w:name="_Toc436129668"/>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0" w:name="_Toc436129669"/>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w:t>
      </w:r>
      <w:smartTag w:uri="urn:schemas-microsoft-com:office:smarttags" w:element="City">
        <w:smartTag w:uri="urn:schemas-microsoft-com:office:smarttags" w:element="place">
          <w:r>
            <w:t>Perth</w:t>
          </w:r>
        </w:smartTag>
      </w:smartTag>
      <w:r>
        <w:t>;</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[Section 3 amended by No. 59 of 1981 s. 2; No. 75 of 1987 s. 30.]</w:t>
      </w:r>
    </w:p>
    <w:p>
      <w:pPr>
        <w:pStyle w:val="Heading5"/>
        <w:rPr>
          <w:snapToGrid w:val="0"/>
        </w:rPr>
      </w:pPr>
      <w:bookmarkStart w:id="11" w:name="_Toc436129670"/>
      <w:r>
        <w:rPr>
          <w:rStyle w:val="CharSectno"/>
        </w:rPr>
        <w:t>3A</w:t>
      </w:r>
      <w:r>
        <w:rPr>
          <w:snapToGrid w:val="0"/>
        </w:rPr>
        <w:t>.</w:t>
      </w:r>
      <w:r>
        <w:rPr>
          <w:snapToGrid w:val="0"/>
        </w:rPr>
        <w:tab/>
        <w:t>Transitional provisions relating to general manager</w:t>
      </w:r>
      <w:bookmarkEnd w:id="11"/>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[Section 3A inserted by No. 59 of 1981 s. 3.]</w:t>
      </w:r>
    </w:p>
    <w:p>
      <w:pPr>
        <w:pStyle w:val="Heading2"/>
      </w:pPr>
      <w:bookmarkStart w:id="12" w:name="_Toc413833769"/>
      <w:bookmarkStart w:id="13" w:name="_Toc413833804"/>
      <w:bookmarkStart w:id="14" w:name="_Toc413833877"/>
      <w:bookmarkStart w:id="15" w:name="_Toc435780996"/>
      <w:bookmarkStart w:id="16" w:name="_Toc436129671"/>
      <w:r>
        <w:rPr>
          <w:rStyle w:val="CharPartNo"/>
        </w:rPr>
        <w:t>Part II</w:t>
      </w:r>
      <w:r>
        <w:rPr>
          <w:rStyle w:val="CharDivNo"/>
        </w:rPr>
        <w:t> </w:t>
      </w:r>
      <w:r>
        <w:t>—</w:t>
      </w:r>
      <w:r>
        <w:rPr>
          <w:rStyle w:val="CharDivText"/>
        </w:rPr>
        <w:t> </w:t>
      </w:r>
      <w:r>
        <w:rPr>
          <w:rStyle w:val="CharPartText"/>
        </w:rPr>
        <w:t>Establishment, composition and proceedings of Trust</w:t>
      </w:r>
      <w:bookmarkEnd w:id="12"/>
      <w:bookmarkEnd w:id="13"/>
      <w:bookmarkEnd w:id="14"/>
      <w:bookmarkEnd w:id="15"/>
      <w:bookmarkEnd w:id="16"/>
    </w:p>
    <w:p>
      <w:pPr>
        <w:pStyle w:val="Heading5"/>
        <w:spacing w:before="120"/>
        <w:rPr>
          <w:snapToGrid w:val="0"/>
        </w:rPr>
      </w:pPr>
      <w:bookmarkStart w:id="17" w:name="_Toc436129672"/>
      <w:r>
        <w:rPr>
          <w:rStyle w:val="CharSectno"/>
        </w:rPr>
        <w:t>4</w:t>
      </w:r>
      <w:r>
        <w:rPr>
          <w:snapToGrid w:val="0"/>
        </w:rPr>
        <w:t>.</w:t>
      </w:r>
      <w:r>
        <w:rPr>
          <w:snapToGrid w:val="0"/>
        </w:rPr>
        <w:tab/>
        <w:t>Establishment of Trust</w:t>
      </w:r>
      <w:bookmarkEnd w:id="17"/>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18" w:name="_Toc436129673"/>
      <w:r>
        <w:rPr>
          <w:rStyle w:val="CharSectno"/>
        </w:rPr>
        <w:t>5</w:t>
      </w:r>
      <w:r>
        <w:rPr>
          <w:snapToGrid w:val="0"/>
        </w:rPr>
        <w:t>.</w:t>
      </w:r>
      <w:r>
        <w:rPr>
          <w:snapToGrid w:val="0"/>
        </w:rPr>
        <w:tab/>
        <w:t>Composition of Trust</w:t>
      </w:r>
      <w:bookmarkEnd w:id="18"/>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by No. 75 of 1987 s. 31.]</w:t>
      </w:r>
    </w:p>
    <w:p>
      <w:pPr>
        <w:pStyle w:val="Heading5"/>
        <w:rPr>
          <w:snapToGrid w:val="0"/>
        </w:rPr>
      </w:pPr>
      <w:bookmarkStart w:id="19" w:name="_Toc436129674"/>
      <w:r>
        <w:rPr>
          <w:rStyle w:val="CharSectno"/>
        </w:rPr>
        <w:t>6</w:t>
      </w:r>
      <w:r>
        <w:rPr>
          <w:snapToGrid w:val="0"/>
        </w:rPr>
        <w:t>.</w:t>
      </w:r>
      <w:r>
        <w:rPr>
          <w:snapToGrid w:val="0"/>
        </w:rPr>
        <w:tab/>
        <w:t>Casual vacancies</w:t>
      </w:r>
      <w:bookmarkEnd w:id="19"/>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Ednotepara"/>
        <w:rPr>
          <w:snapToGrid w:val="0"/>
        </w:rPr>
      </w:pPr>
      <w:r>
        <w:rPr>
          <w:snapToGrid w:val="0"/>
        </w:rPr>
        <w:tab/>
        <w:t>[(e)</w:t>
      </w:r>
      <w:r>
        <w:rPr>
          <w:snapToGrid w:val="0"/>
        </w:rPr>
        <w:tab/>
        <w:t>deleted]</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by No. 75 of 1987 s. 32; No. 18 of 2009 s. 65; No. 25 of 2014 s. 77.]</w:t>
      </w:r>
    </w:p>
    <w:p>
      <w:pPr>
        <w:pStyle w:val="Heading5"/>
        <w:rPr>
          <w:snapToGrid w:val="0"/>
        </w:rPr>
      </w:pPr>
      <w:bookmarkStart w:id="20" w:name="_Toc436129675"/>
      <w:r>
        <w:rPr>
          <w:rStyle w:val="CharSectno"/>
        </w:rPr>
        <w:t>7</w:t>
      </w:r>
      <w:r>
        <w:rPr>
          <w:snapToGrid w:val="0"/>
        </w:rPr>
        <w:t>.</w:t>
      </w:r>
      <w:r>
        <w:rPr>
          <w:snapToGrid w:val="0"/>
        </w:rPr>
        <w:tab/>
        <w:t>Removal of trustee from office</w:t>
      </w:r>
      <w:bookmarkEnd w:id="20"/>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by No. 76 of 1987 s. 33.]</w:t>
      </w:r>
    </w:p>
    <w:p>
      <w:pPr>
        <w:pStyle w:val="Heading5"/>
        <w:rPr>
          <w:snapToGrid w:val="0"/>
        </w:rPr>
      </w:pPr>
      <w:bookmarkStart w:id="21" w:name="_Toc436129676"/>
      <w:r>
        <w:rPr>
          <w:rStyle w:val="CharSectno"/>
        </w:rPr>
        <w:t>8</w:t>
      </w:r>
      <w:r>
        <w:rPr>
          <w:snapToGrid w:val="0"/>
        </w:rPr>
        <w:t>.</w:t>
      </w:r>
      <w:r>
        <w:rPr>
          <w:snapToGrid w:val="0"/>
        </w:rPr>
        <w:tab/>
        <w:t>Common seal, meetings and quorum</w:t>
      </w:r>
      <w:bookmarkEnd w:id="21"/>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by No. 75 of 1987 s. 34.]</w:t>
      </w:r>
    </w:p>
    <w:p>
      <w:pPr>
        <w:pStyle w:val="Heading5"/>
        <w:rPr>
          <w:snapToGrid w:val="0"/>
        </w:rPr>
      </w:pPr>
      <w:bookmarkStart w:id="22" w:name="_Toc436129677"/>
      <w:r>
        <w:rPr>
          <w:rStyle w:val="CharSectno"/>
        </w:rPr>
        <w:t>9</w:t>
      </w:r>
      <w:r>
        <w:rPr>
          <w:snapToGrid w:val="0"/>
        </w:rPr>
        <w:t>.</w:t>
      </w:r>
      <w:r>
        <w:rPr>
          <w:snapToGrid w:val="0"/>
        </w:rPr>
        <w:tab/>
        <w:t>Remuneration and expenses of trustees</w:t>
      </w:r>
      <w:bookmarkEnd w:id="22"/>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by No. 32 of 1994 s. 19; No. 39 of 2010 s. 90.]</w:t>
      </w:r>
    </w:p>
    <w:p>
      <w:pPr>
        <w:pStyle w:val="Heading5"/>
        <w:rPr>
          <w:snapToGrid w:val="0"/>
        </w:rPr>
      </w:pPr>
      <w:bookmarkStart w:id="23" w:name="_Toc436129678"/>
      <w:r>
        <w:rPr>
          <w:rStyle w:val="CharSectno"/>
        </w:rPr>
        <w:t>10</w:t>
      </w:r>
      <w:r>
        <w:rPr>
          <w:snapToGrid w:val="0"/>
        </w:rPr>
        <w:t>.</w:t>
      </w:r>
      <w:r>
        <w:rPr>
          <w:snapToGrid w:val="0"/>
        </w:rPr>
        <w:tab/>
        <w:t>Delegation</w:t>
      </w:r>
      <w:bookmarkEnd w:id="23"/>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by No. 59 of 1981 s. 6.]</w:t>
      </w:r>
    </w:p>
    <w:p>
      <w:pPr>
        <w:pStyle w:val="Heading5"/>
        <w:rPr>
          <w:snapToGrid w:val="0"/>
        </w:rPr>
      </w:pPr>
      <w:bookmarkStart w:id="24" w:name="_Toc436129679"/>
      <w:r>
        <w:rPr>
          <w:rStyle w:val="CharSectno"/>
        </w:rPr>
        <w:t>11</w:t>
      </w:r>
      <w:r>
        <w:rPr>
          <w:snapToGrid w:val="0"/>
        </w:rPr>
        <w:t>.</w:t>
      </w:r>
      <w:r>
        <w:rPr>
          <w:snapToGrid w:val="0"/>
        </w:rPr>
        <w:tab/>
        <w:t>Committees</w:t>
      </w:r>
      <w:bookmarkEnd w:id="24"/>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25" w:name="_Toc436129680"/>
      <w:r>
        <w:rPr>
          <w:rStyle w:val="CharSectno"/>
        </w:rPr>
        <w:t>12</w:t>
      </w:r>
      <w:r>
        <w:rPr>
          <w:snapToGrid w:val="0"/>
        </w:rPr>
        <w:t>.</w:t>
      </w:r>
      <w:r>
        <w:rPr>
          <w:snapToGrid w:val="0"/>
        </w:rPr>
        <w:tab/>
        <w:t>Who presides at meetings</w:t>
      </w:r>
      <w:bookmarkEnd w:id="25"/>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by No. 75 of 1987 s. 35.]</w:t>
      </w:r>
    </w:p>
    <w:p>
      <w:pPr>
        <w:pStyle w:val="Heading5"/>
        <w:rPr>
          <w:snapToGrid w:val="0"/>
        </w:rPr>
      </w:pPr>
      <w:bookmarkStart w:id="26" w:name="_Toc436129681"/>
      <w:r>
        <w:rPr>
          <w:rStyle w:val="CharSectno"/>
        </w:rPr>
        <w:t>13</w:t>
      </w:r>
      <w:r>
        <w:rPr>
          <w:snapToGrid w:val="0"/>
        </w:rPr>
        <w:t>.</w:t>
      </w:r>
      <w:r>
        <w:rPr>
          <w:snapToGrid w:val="0"/>
        </w:rPr>
        <w:tab/>
        <w:t>Validity of acts etc. of Trust not affected by vacancy etc.</w:t>
      </w:r>
      <w:bookmarkEnd w:id="26"/>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by No. 75 of 1987 s. 36.]</w:t>
      </w:r>
    </w:p>
    <w:p>
      <w:pPr>
        <w:pStyle w:val="Heading5"/>
        <w:rPr>
          <w:snapToGrid w:val="0"/>
        </w:rPr>
      </w:pPr>
      <w:bookmarkStart w:id="27" w:name="_Toc436129682"/>
      <w:r>
        <w:rPr>
          <w:rStyle w:val="CharSectno"/>
        </w:rPr>
        <w:t>14</w:t>
      </w:r>
      <w:r>
        <w:rPr>
          <w:snapToGrid w:val="0"/>
        </w:rPr>
        <w:t>.</w:t>
      </w:r>
      <w:r>
        <w:rPr>
          <w:snapToGrid w:val="0"/>
        </w:rPr>
        <w:tab/>
        <w:t>Trustee to declare interest</w:t>
      </w:r>
      <w:bookmarkEnd w:id="27"/>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by No. 59 of 1981 s. 6.]</w:t>
      </w:r>
    </w:p>
    <w:p>
      <w:pPr>
        <w:pStyle w:val="Heading2"/>
      </w:pPr>
      <w:bookmarkStart w:id="28" w:name="_Toc413833781"/>
      <w:bookmarkStart w:id="29" w:name="_Toc413833816"/>
      <w:bookmarkStart w:id="30" w:name="_Toc413833889"/>
      <w:bookmarkStart w:id="31" w:name="_Toc435781008"/>
      <w:bookmarkStart w:id="32" w:name="_Toc436129683"/>
      <w:r>
        <w:rPr>
          <w:rStyle w:val="CharPartNo"/>
        </w:rPr>
        <w:t>Part III</w:t>
      </w:r>
      <w:r>
        <w:rPr>
          <w:rStyle w:val="CharDivNo"/>
        </w:rPr>
        <w:t> </w:t>
      </w:r>
      <w:r>
        <w:t>—</w:t>
      </w:r>
      <w:r>
        <w:rPr>
          <w:rStyle w:val="CharDivText"/>
        </w:rPr>
        <w:t> </w:t>
      </w:r>
      <w:r>
        <w:rPr>
          <w:rStyle w:val="CharPartText"/>
        </w:rPr>
        <w:t>Powers, functions, authorities and duties of Trust</w:t>
      </w:r>
      <w:bookmarkEnd w:id="28"/>
      <w:bookmarkEnd w:id="29"/>
      <w:bookmarkEnd w:id="30"/>
      <w:bookmarkEnd w:id="31"/>
      <w:bookmarkEnd w:id="32"/>
    </w:p>
    <w:p>
      <w:pPr>
        <w:pStyle w:val="Heading5"/>
        <w:rPr>
          <w:snapToGrid w:val="0"/>
        </w:rPr>
      </w:pPr>
      <w:bookmarkStart w:id="33" w:name="_Toc436129684"/>
      <w:r>
        <w:rPr>
          <w:rStyle w:val="CharSectno"/>
        </w:rPr>
        <w:t>15</w:t>
      </w:r>
      <w:r>
        <w:rPr>
          <w:snapToGrid w:val="0"/>
        </w:rPr>
        <w:t>.</w:t>
      </w:r>
      <w:r>
        <w:rPr>
          <w:snapToGrid w:val="0"/>
        </w:rPr>
        <w:tab/>
        <w:t>Trust subject to general direction and control of Minister</w:t>
      </w:r>
      <w:bookmarkEnd w:id="33"/>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34" w:name="_Toc436129685"/>
      <w:r>
        <w:rPr>
          <w:rStyle w:val="CharSectno"/>
        </w:rPr>
        <w:t>16</w:t>
      </w:r>
      <w:r>
        <w:rPr>
          <w:snapToGrid w:val="0"/>
        </w:rPr>
        <w:t>.</w:t>
      </w:r>
      <w:r>
        <w:rPr>
          <w:snapToGrid w:val="0"/>
        </w:rPr>
        <w:tab/>
        <w:t>Functions and powers</w:t>
      </w:r>
      <w:bookmarkEnd w:id="34"/>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35" w:name="_Toc436129686"/>
      <w:r>
        <w:rPr>
          <w:rStyle w:val="CharSectno"/>
        </w:rPr>
        <w:t>17</w:t>
      </w:r>
      <w:r>
        <w:rPr>
          <w:snapToGrid w:val="0"/>
        </w:rPr>
        <w:t>.</w:t>
      </w:r>
      <w:r>
        <w:rPr>
          <w:snapToGrid w:val="0"/>
        </w:rPr>
        <w:tab/>
        <w:t>General manager etc., appointment of etc.</w:t>
      </w:r>
      <w:bookmarkEnd w:id="35"/>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rPr>
        <w:t> </w:t>
      </w:r>
      <w:r>
        <w:rPr>
          <w:snapToGrid w:val="0"/>
          <w:vertAlign w:val="superscript"/>
        </w:rPr>
        <w:t>4</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5</w:t>
      </w:r>
      <w:r>
        <w:t>.</w:t>
      </w:r>
    </w:p>
    <w:p>
      <w:pPr>
        <w:pStyle w:val="Footnotesection"/>
      </w:pPr>
      <w:r>
        <w:tab/>
        <w:t>[Section 17 amended by No. 59 of 1981 s. 4, 5 and 6; No. 113 of 1987 s. 32; No. 6 of 1993 s. 11; No. 32 of 1994 s. 19; No. 60 of 1994 s. 12; No. 42 of 1997 s. 8; No. 8 of 2009 s. 99(2); No. 39 of 2010 s. 90.]</w:t>
      </w:r>
    </w:p>
    <w:p>
      <w:pPr>
        <w:pStyle w:val="Heading5"/>
        <w:rPr>
          <w:snapToGrid w:val="0"/>
        </w:rPr>
      </w:pPr>
      <w:bookmarkStart w:id="36" w:name="_Toc436129687"/>
      <w:r>
        <w:rPr>
          <w:rStyle w:val="CharSectno"/>
        </w:rPr>
        <w:t>17A</w:t>
      </w:r>
      <w:r>
        <w:rPr>
          <w:snapToGrid w:val="0"/>
        </w:rPr>
        <w:t>.</w:t>
      </w:r>
      <w:r>
        <w:rPr>
          <w:snapToGrid w:val="0"/>
        </w:rPr>
        <w:tab/>
        <w:t>Employment of casual or temporary staff</w:t>
      </w:r>
      <w:bookmarkEnd w:id="36"/>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by No. 59 of 1981 s. 5; amended by No. 8 of 2009 s. 99(3).]</w:t>
      </w:r>
    </w:p>
    <w:p>
      <w:pPr>
        <w:pStyle w:val="Heading5"/>
        <w:rPr>
          <w:snapToGrid w:val="0"/>
        </w:rPr>
      </w:pPr>
      <w:bookmarkStart w:id="37" w:name="_Toc436129688"/>
      <w:r>
        <w:rPr>
          <w:rStyle w:val="CharSectno"/>
        </w:rPr>
        <w:t>18</w:t>
      </w:r>
      <w:r>
        <w:rPr>
          <w:snapToGrid w:val="0"/>
        </w:rPr>
        <w:t>.</w:t>
      </w:r>
      <w:r>
        <w:rPr>
          <w:snapToGrid w:val="0"/>
        </w:rPr>
        <w:tab/>
        <w:t>Trust may use services of public servants</w:t>
      </w:r>
      <w:bookmarkEnd w:id="37"/>
    </w:p>
    <w:p>
      <w:pPr>
        <w:pStyle w:val="Subsection"/>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38" w:name="_Toc436129689"/>
      <w:r>
        <w:rPr>
          <w:rStyle w:val="CharSectno"/>
        </w:rPr>
        <w:t>19</w:t>
      </w:r>
      <w:r>
        <w:rPr>
          <w:snapToGrid w:val="0"/>
        </w:rPr>
        <w:t>.</w:t>
      </w:r>
      <w:r>
        <w:rPr>
          <w:snapToGrid w:val="0"/>
        </w:rPr>
        <w:tab/>
        <w:t>Trust may agree to lease, manage etc. theatre of Council</w:t>
      </w:r>
      <w:bookmarkEnd w:id="38"/>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39" w:name="_Toc413833788"/>
      <w:bookmarkStart w:id="40" w:name="_Toc413833823"/>
      <w:bookmarkStart w:id="41" w:name="_Toc413833896"/>
      <w:bookmarkStart w:id="42" w:name="_Toc435781015"/>
      <w:bookmarkStart w:id="43" w:name="_Toc436129690"/>
      <w:r>
        <w:rPr>
          <w:rStyle w:val="CharPartNo"/>
        </w:rPr>
        <w:t>Part IV</w:t>
      </w:r>
      <w:r>
        <w:rPr>
          <w:rStyle w:val="CharDivNo"/>
        </w:rPr>
        <w:t> </w:t>
      </w:r>
      <w:r>
        <w:t>—</w:t>
      </w:r>
      <w:r>
        <w:rPr>
          <w:rStyle w:val="CharDivText"/>
        </w:rPr>
        <w:t> </w:t>
      </w:r>
      <w:r>
        <w:rPr>
          <w:rStyle w:val="CharPartText"/>
        </w:rPr>
        <w:t>Financial provisions</w:t>
      </w:r>
      <w:bookmarkEnd w:id="39"/>
      <w:bookmarkEnd w:id="40"/>
      <w:bookmarkEnd w:id="41"/>
      <w:bookmarkEnd w:id="42"/>
      <w:bookmarkEnd w:id="43"/>
    </w:p>
    <w:p>
      <w:pPr>
        <w:pStyle w:val="Heading5"/>
        <w:rPr>
          <w:snapToGrid w:val="0"/>
        </w:rPr>
      </w:pPr>
      <w:bookmarkStart w:id="44" w:name="_Toc436129691"/>
      <w:r>
        <w:rPr>
          <w:rStyle w:val="CharSectno"/>
        </w:rPr>
        <w:t>20</w:t>
      </w:r>
      <w:r>
        <w:rPr>
          <w:snapToGrid w:val="0"/>
        </w:rPr>
        <w:t>.</w:t>
      </w:r>
      <w:r>
        <w:rPr>
          <w:snapToGrid w:val="0"/>
        </w:rPr>
        <w:tab/>
        <w:t>Certain property of Trust exempt from rates, taxes and duty</w:t>
      </w:r>
      <w:bookmarkEnd w:id="44"/>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Sch. 1 cl. 28.]</w:t>
      </w:r>
    </w:p>
    <w:p>
      <w:pPr>
        <w:pStyle w:val="Heading5"/>
        <w:rPr>
          <w:snapToGrid w:val="0"/>
        </w:rPr>
      </w:pPr>
      <w:bookmarkStart w:id="45" w:name="_Toc436129692"/>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45"/>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by No. 98 of 1985 s. 3; amended by No. 77 of 2006 Sch. 1 cl. 125(1) and (2).]</w:t>
      </w:r>
    </w:p>
    <w:p>
      <w:pPr>
        <w:pStyle w:val="Ednotesection"/>
      </w:pPr>
      <w:r>
        <w:t>[</w:t>
      </w:r>
      <w:r>
        <w:rPr>
          <w:b/>
        </w:rPr>
        <w:t>22.</w:t>
      </w:r>
      <w:r>
        <w:tab/>
        <w:t>Deleted by No. 98 of 1985 s. 3]</w:t>
      </w:r>
    </w:p>
    <w:p>
      <w:pPr>
        <w:pStyle w:val="Heading5"/>
        <w:rPr>
          <w:snapToGrid w:val="0"/>
        </w:rPr>
      </w:pPr>
      <w:bookmarkStart w:id="46" w:name="_Toc436129693"/>
      <w:r>
        <w:rPr>
          <w:rStyle w:val="CharSectno"/>
        </w:rPr>
        <w:t>23</w:t>
      </w:r>
      <w:r>
        <w:rPr>
          <w:snapToGrid w:val="0"/>
        </w:rPr>
        <w:t>.</w:t>
      </w:r>
      <w:r>
        <w:rPr>
          <w:snapToGrid w:val="0"/>
        </w:rPr>
        <w:tab/>
        <w:t>Funds of Trust</w:t>
      </w:r>
      <w:bookmarkEnd w:id="46"/>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47" w:name="endcomma"/>
      <w:bookmarkEnd w:id="47"/>
      <w:r>
        <w:t xml:space="preserve"> </w:t>
      </w:r>
      <w:bookmarkStart w:id="48" w:name="comma"/>
      <w:bookmarkEnd w:id="48"/>
      <w:r>
        <w:t>means Perth Theatre Trust Account referred to in subsection (2).</w:t>
      </w:r>
    </w:p>
    <w:p>
      <w:pPr>
        <w:pStyle w:val="Footnotesection"/>
      </w:pPr>
      <w:r>
        <w:tab/>
        <w:t>[Section 23 amended by No. 49 of 1996 s. 64; No. 1 of 1997 s. 18; No. 77 of 2006 Sch. 1 cl. 125(3).]</w:t>
      </w:r>
    </w:p>
    <w:p>
      <w:pPr>
        <w:pStyle w:val="Heading5"/>
        <w:rPr>
          <w:snapToGrid w:val="0"/>
        </w:rPr>
      </w:pPr>
      <w:bookmarkStart w:id="49" w:name="_Toc436129694"/>
      <w:r>
        <w:rPr>
          <w:rStyle w:val="CharSectno"/>
        </w:rPr>
        <w:t>24</w:t>
      </w:r>
      <w:r>
        <w:rPr>
          <w:snapToGrid w:val="0"/>
        </w:rPr>
        <w:t>.</w:t>
      </w:r>
      <w:r>
        <w:rPr>
          <w:snapToGrid w:val="0"/>
        </w:rPr>
        <w:tab/>
        <w:t>Trust may accept gifts</w:t>
      </w:r>
      <w:bookmarkEnd w:id="49"/>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by No. 98 of 1985 s. 3.]</w:t>
      </w:r>
    </w:p>
    <w:p>
      <w:pPr>
        <w:pStyle w:val="Heading2"/>
      </w:pPr>
      <w:bookmarkStart w:id="50" w:name="_Toc413833793"/>
      <w:bookmarkStart w:id="51" w:name="_Toc413833828"/>
      <w:bookmarkStart w:id="52" w:name="_Toc413833901"/>
      <w:bookmarkStart w:id="53" w:name="_Toc435781020"/>
      <w:bookmarkStart w:id="54" w:name="_Toc436129695"/>
      <w:r>
        <w:rPr>
          <w:rStyle w:val="CharPartNo"/>
        </w:rPr>
        <w:t>Part V</w:t>
      </w:r>
      <w:r>
        <w:rPr>
          <w:rStyle w:val="CharDivNo"/>
        </w:rPr>
        <w:t> </w:t>
      </w:r>
      <w:r>
        <w:t>—</w:t>
      </w:r>
      <w:r>
        <w:rPr>
          <w:rStyle w:val="CharDivText"/>
        </w:rPr>
        <w:t> </w:t>
      </w:r>
      <w:r>
        <w:rPr>
          <w:rStyle w:val="CharPartText"/>
        </w:rPr>
        <w:t>Miscellaneous</w:t>
      </w:r>
      <w:bookmarkEnd w:id="50"/>
      <w:bookmarkEnd w:id="51"/>
      <w:bookmarkEnd w:id="52"/>
      <w:bookmarkEnd w:id="53"/>
      <w:bookmarkEnd w:id="54"/>
    </w:p>
    <w:p>
      <w:pPr>
        <w:pStyle w:val="Heading5"/>
        <w:rPr>
          <w:snapToGrid w:val="0"/>
        </w:rPr>
      </w:pPr>
      <w:bookmarkStart w:id="55" w:name="_Toc436129696"/>
      <w:r>
        <w:rPr>
          <w:rStyle w:val="CharSectno"/>
        </w:rPr>
        <w:t>26</w:t>
      </w:r>
      <w:r>
        <w:rPr>
          <w:snapToGrid w:val="0"/>
        </w:rPr>
        <w:t>.</w:t>
      </w:r>
      <w:r>
        <w:rPr>
          <w:snapToGrid w:val="0"/>
        </w:rPr>
        <w:tab/>
        <w:t>Regulations</w:t>
      </w:r>
      <w:bookmarkEnd w:id="55"/>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6" w:name="_Toc413833795"/>
      <w:bookmarkStart w:id="57" w:name="_Toc413833830"/>
      <w:bookmarkStart w:id="58" w:name="_Toc413833903"/>
      <w:bookmarkStart w:id="59" w:name="_Toc435781022"/>
      <w:bookmarkStart w:id="60" w:name="_Toc436129697"/>
      <w:r>
        <w:rPr>
          <w:rStyle w:val="CharSchNo"/>
        </w:rPr>
        <w:t>Schedule</w:t>
      </w:r>
      <w:r>
        <w:t> — </w:t>
      </w:r>
      <w:r>
        <w:rPr>
          <w:rStyle w:val="CharSchText"/>
        </w:rPr>
        <w:t>Matters in respect of which the Governor may make regulations</w:t>
      </w:r>
      <w:bookmarkEnd w:id="56"/>
      <w:bookmarkEnd w:id="57"/>
      <w:bookmarkEnd w:id="58"/>
      <w:bookmarkEnd w:id="59"/>
      <w:bookmarkEnd w:id="60"/>
    </w:p>
    <w:p>
      <w:pPr>
        <w:pStyle w:val="yShoulderClause"/>
        <w:rPr>
          <w:snapToGrid w:val="0"/>
        </w:rPr>
      </w:pPr>
      <w:r>
        <w:rPr>
          <w:snapToGrid w:val="0"/>
        </w:rPr>
        <w:t>[s. 26]</w:t>
      </w:r>
    </w:p>
    <w:p>
      <w:pPr>
        <w:pStyle w:val="yFootnoteheading"/>
        <w:rPr>
          <w:snapToGrid w:val="0"/>
        </w:rPr>
      </w:pPr>
      <w:r>
        <w:tab/>
        <w:t>[Heading amended by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1" w:name="_Toc413833796"/>
      <w:bookmarkStart w:id="62" w:name="_Toc413833831"/>
      <w:bookmarkStart w:id="63" w:name="_Toc413833904"/>
      <w:bookmarkStart w:id="64" w:name="_Toc435781023"/>
      <w:bookmarkStart w:id="65" w:name="_Toc436129698"/>
      <w:r>
        <w:t>Notes</w:t>
      </w:r>
      <w:bookmarkEnd w:id="61"/>
      <w:bookmarkEnd w:id="62"/>
      <w:bookmarkEnd w:id="63"/>
      <w:bookmarkEnd w:id="64"/>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b w:val="0"/>
          <w:snapToGrid w:val="0"/>
        </w:rPr>
      </w:pPr>
      <w:bookmarkStart w:id="66" w:name="_Toc436129699"/>
      <w:r>
        <w:rPr>
          <w:snapToGrid w:val="0"/>
        </w:rPr>
        <w:t>Compilation table</w:t>
      </w:r>
      <w:bookmarkEnd w:id="66"/>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29"/>
        <w:gridCol w:w="6"/>
        <w:gridCol w:w="2546"/>
        <w:gridCol w:w="6"/>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gridSpan w:val="2"/>
          </w:tcPr>
          <w:p>
            <w:pPr>
              <w:pStyle w:val="nTable"/>
              <w:spacing w:after="40"/>
            </w:pPr>
            <w:r>
              <w:t>6 Dec 1979</w:t>
            </w:r>
          </w:p>
        </w:tc>
        <w:tc>
          <w:tcPr>
            <w:tcW w:w="2552" w:type="dxa"/>
            <w:gridSpan w:val="2"/>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gridSpan w:val="2"/>
          </w:tcPr>
          <w:p>
            <w:pPr>
              <w:pStyle w:val="nTable"/>
              <w:spacing w:after="40"/>
            </w:pPr>
            <w:r>
              <w:t>13 Oct 1981</w:t>
            </w:r>
          </w:p>
        </w:tc>
        <w:tc>
          <w:tcPr>
            <w:tcW w:w="2552" w:type="dxa"/>
            <w:gridSpan w:val="2"/>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gridSpan w:val="2"/>
          </w:tcPr>
          <w:p>
            <w:pPr>
              <w:pStyle w:val="nTable"/>
              <w:spacing w:after="40"/>
            </w:pPr>
            <w:r>
              <w:t>26 Nov 1987</w:t>
            </w:r>
          </w:p>
        </w:tc>
        <w:tc>
          <w:tcPr>
            <w:tcW w:w="2552" w:type="dxa"/>
            <w:gridSpan w:val="2"/>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gridSpan w:val="2"/>
          </w:tcPr>
          <w:p>
            <w:pPr>
              <w:pStyle w:val="nTable"/>
              <w:spacing w:after="40"/>
            </w:pPr>
            <w:r>
              <w:t>31 Dec 1987</w:t>
            </w:r>
          </w:p>
        </w:tc>
        <w:tc>
          <w:tcPr>
            <w:tcW w:w="2552" w:type="dxa"/>
            <w:gridSpan w:val="2"/>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gridSpan w:val="2"/>
          </w:tcPr>
          <w:p>
            <w:pPr>
              <w:pStyle w:val="nTable"/>
              <w:spacing w:after="40"/>
            </w:pPr>
            <w:r>
              <w:t>27 Aug 1993</w:t>
            </w:r>
          </w:p>
        </w:tc>
        <w:tc>
          <w:tcPr>
            <w:tcW w:w="2552" w:type="dxa"/>
            <w:gridSpan w:val="2"/>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gridSpan w:val="2"/>
          </w:tcPr>
          <w:p>
            <w:pPr>
              <w:pStyle w:val="nTable"/>
              <w:spacing w:after="40"/>
            </w:pPr>
            <w:r>
              <w:t>29 Jun 1994</w:t>
            </w:r>
          </w:p>
        </w:tc>
        <w:tc>
          <w:tcPr>
            <w:tcW w:w="2552" w:type="dxa"/>
            <w:gridSpan w:val="2"/>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gridSpan w:val="2"/>
          </w:tcPr>
          <w:p>
            <w:pPr>
              <w:pStyle w:val="nTable"/>
              <w:spacing w:after="40"/>
            </w:pPr>
            <w:r>
              <w:t>7 Nov 1994</w:t>
            </w:r>
          </w:p>
        </w:tc>
        <w:tc>
          <w:tcPr>
            <w:tcW w:w="2552" w:type="dxa"/>
            <w:gridSpan w:val="2"/>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gridSpan w:val="2"/>
          </w:tcPr>
          <w:p>
            <w:pPr>
              <w:pStyle w:val="nTable"/>
              <w:spacing w:after="40"/>
            </w:pPr>
            <w:r>
              <w:t>25 Oct 1996</w:t>
            </w:r>
          </w:p>
        </w:tc>
        <w:tc>
          <w:tcPr>
            <w:tcW w:w="2552" w:type="dxa"/>
            <w:gridSpan w:val="2"/>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gridSpan w:val="2"/>
          </w:tcPr>
          <w:p>
            <w:pPr>
              <w:pStyle w:val="nTable"/>
              <w:spacing w:after="40"/>
            </w:pPr>
            <w:r>
              <w:t>6 May 1997</w:t>
            </w:r>
          </w:p>
        </w:tc>
        <w:tc>
          <w:tcPr>
            <w:tcW w:w="2552" w:type="dxa"/>
            <w:gridSpan w:val="2"/>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gridSpan w:val="2"/>
          </w:tcPr>
          <w:p>
            <w:pPr>
              <w:pStyle w:val="nTable"/>
              <w:spacing w:after="40"/>
            </w:pPr>
            <w:r>
              <w:t>9 Dec 1997</w:t>
            </w:r>
          </w:p>
        </w:tc>
        <w:tc>
          <w:tcPr>
            <w:tcW w:w="2552" w:type="dxa"/>
            <w:gridSpan w:val="2"/>
          </w:tcPr>
          <w:p>
            <w:pPr>
              <w:pStyle w:val="nTable"/>
              <w:spacing w:after="40"/>
              <w:ind w:right="65"/>
            </w:pPr>
            <w:r>
              <w:t>6 Jan 1998 (see s. 2(1))</w:t>
            </w:r>
          </w:p>
        </w:tc>
      </w:tr>
      <w:tr>
        <w:trPr>
          <w:cantSplit/>
        </w:trPr>
        <w:tc>
          <w:tcPr>
            <w:tcW w:w="7094" w:type="dxa"/>
            <w:gridSpan w:val="6"/>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gridSpan w:val="2"/>
          </w:tcPr>
          <w:p>
            <w:pPr>
              <w:pStyle w:val="nTable"/>
              <w:spacing w:after="40"/>
            </w:pPr>
            <w:r>
              <w:rPr>
                <w:snapToGrid w:val="0"/>
              </w:rPr>
              <w:t>21 Dec 2006</w:t>
            </w:r>
          </w:p>
        </w:tc>
        <w:tc>
          <w:tcPr>
            <w:tcW w:w="2552" w:type="dxa"/>
            <w:gridSpan w:val="2"/>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gridSpan w:val="2"/>
          </w:tcPr>
          <w:p>
            <w:pPr>
              <w:pStyle w:val="nTable"/>
              <w:spacing w:after="40"/>
            </w:pPr>
            <w:r>
              <w:t>14 Apr 2008</w:t>
            </w:r>
          </w:p>
        </w:tc>
        <w:tc>
          <w:tcPr>
            <w:tcW w:w="2552" w:type="dxa"/>
            <w:gridSpan w:val="2"/>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6"/>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r>
        <w:trPr>
          <w:gridAfter w:val="1"/>
          <w:wAfter w:w="6" w:type="dxa"/>
          <w:cantSplit/>
        </w:trPr>
        <w:tc>
          <w:tcPr>
            <w:tcW w:w="2269" w:type="dxa"/>
          </w:tcPr>
          <w:p>
            <w:pPr>
              <w:pStyle w:val="nTable"/>
              <w:spacing w:after="40"/>
              <w:ind w:right="113"/>
              <w:rPr>
                <w:i/>
                <w:snapToGrid w:val="0"/>
              </w:rPr>
            </w:pPr>
            <w:r>
              <w:rPr>
                <w:i/>
              </w:rPr>
              <w:t>Mental Health Legislation Amendment Act 2014</w:t>
            </w:r>
            <w:r>
              <w:t xml:space="preserve"> Pt. 4 Div. 4 Subdiv. 19</w:t>
            </w:r>
          </w:p>
        </w:tc>
        <w:tc>
          <w:tcPr>
            <w:tcW w:w="1138" w:type="dxa"/>
          </w:tcPr>
          <w:p>
            <w:pPr>
              <w:pStyle w:val="nTable"/>
              <w:keepNext/>
              <w:spacing w:after="40"/>
            </w:pPr>
            <w:r>
              <w:rPr>
                <w:snapToGrid w:val="0"/>
                <w:lang w:val="en-US"/>
              </w:rPr>
              <w:t>25 of 2014</w:t>
            </w:r>
          </w:p>
        </w:tc>
        <w:tc>
          <w:tcPr>
            <w:tcW w:w="1129" w:type="dxa"/>
          </w:tcPr>
          <w:p>
            <w:pPr>
              <w:pStyle w:val="nTable"/>
              <w:keepNext/>
              <w:spacing w:after="40"/>
            </w:pPr>
            <w:r>
              <w:t>3 Nov 2014</w:t>
            </w:r>
          </w:p>
        </w:tc>
        <w:tc>
          <w:tcPr>
            <w:tcW w:w="2552" w:type="dxa"/>
            <w:gridSpan w:val="2"/>
          </w:tcPr>
          <w:p>
            <w:pPr>
              <w:pStyle w:val="nTable"/>
              <w:keepNext/>
              <w:spacing w:after="40"/>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 w:name="_Toc436129700"/>
      <w:r>
        <w:rPr>
          <w:snapToGrid w:val="0"/>
        </w:rPr>
        <w:t>Provisions that have not come into operation</w:t>
      </w:r>
      <w:bookmarkEnd w:id="67"/>
    </w:p>
    <w:tbl>
      <w:tblPr>
        <w:tblW w:w="7081" w:type="dxa"/>
        <w:tblInd w:w="84" w:type="dxa"/>
        <w:tblLayout w:type="fixed"/>
        <w:tblCellMar>
          <w:left w:w="56" w:type="dxa"/>
          <w:right w:w="56" w:type="dxa"/>
        </w:tblCellMar>
        <w:tblLook w:val="0000" w:firstRow="0" w:lastRow="0" w:firstColumn="0" w:lastColumn="0" w:noHBand="0" w:noVBand="0"/>
      </w:tblPr>
      <w:tblGrid>
        <w:gridCol w:w="2269"/>
        <w:gridCol w:w="1132"/>
        <w:gridCol w:w="1132"/>
        <w:gridCol w:w="2548"/>
      </w:tblGrid>
      <w:tr>
        <w:trPr>
          <w:cantSplit/>
          <w:tblHeader/>
        </w:trPr>
        <w:tc>
          <w:tcPr>
            <w:tcW w:w="2269"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2" w:type="dxa"/>
            <w:tcBorders>
              <w:top w:val="single" w:sz="8" w:space="0" w:color="auto"/>
              <w:bottom w:val="single" w:sz="8" w:space="0" w:color="auto"/>
            </w:tcBorders>
          </w:tcPr>
          <w:p>
            <w:pPr>
              <w:pStyle w:val="nTable"/>
              <w:keepNext/>
              <w:spacing w:after="40"/>
              <w:rPr>
                <w:b/>
              </w:rPr>
            </w:pPr>
            <w:r>
              <w:rPr>
                <w:b/>
              </w:rPr>
              <w:t>Assent</w:t>
            </w:r>
          </w:p>
        </w:tc>
        <w:tc>
          <w:tcPr>
            <w:tcW w:w="254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9" w:type="dxa"/>
            <w:tcBorders>
              <w:top w:val="single" w:sz="8" w:space="0" w:color="auto"/>
            </w:tcBorders>
          </w:tcPr>
          <w:p>
            <w:pPr>
              <w:pStyle w:val="nTable"/>
              <w:spacing w:after="40"/>
              <w:ind w:right="113"/>
              <w:rPr>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6</w:t>
            </w:r>
          </w:p>
        </w:tc>
        <w:tc>
          <w:tcPr>
            <w:tcW w:w="1132" w:type="dxa"/>
            <w:tcBorders>
              <w:top w:val="single" w:sz="8" w:space="0" w:color="auto"/>
            </w:tcBorders>
          </w:tcPr>
          <w:p>
            <w:pPr>
              <w:pStyle w:val="nTable"/>
              <w:keepNext/>
              <w:spacing w:after="40"/>
            </w:pPr>
            <w:r>
              <w:t>43 of 2000</w:t>
            </w:r>
          </w:p>
        </w:tc>
        <w:tc>
          <w:tcPr>
            <w:tcW w:w="1132" w:type="dxa"/>
            <w:tcBorders>
              <w:top w:val="single" w:sz="8" w:space="0" w:color="auto"/>
            </w:tcBorders>
          </w:tcPr>
          <w:p>
            <w:pPr>
              <w:pStyle w:val="nTable"/>
              <w:keepNext/>
              <w:spacing w:after="40"/>
            </w:pPr>
            <w:r>
              <w:t>2 Nov 2000</w:t>
            </w:r>
          </w:p>
        </w:tc>
        <w:tc>
          <w:tcPr>
            <w:tcW w:w="2548" w:type="dxa"/>
            <w:tcBorders>
              <w:top w:val="single" w:sz="8" w:space="0" w:color="auto"/>
            </w:tcBorders>
          </w:tcPr>
          <w:p>
            <w:pPr>
              <w:pStyle w:val="nTable"/>
              <w:keepNext/>
              <w:spacing w:after="40"/>
            </w:pPr>
            <w:r>
              <w:t>To be proclaimed (see s. 2(2))</w:t>
            </w:r>
          </w:p>
        </w:tc>
      </w:tr>
      <w:tr>
        <w:trPr>
          <w:cantSplit/>
        </w:trPr>
        <w:tc>
          <w:tcPr>
            <w:tcW w:w="2269" w:type="dxa"/>
            <w:tcBorders>
              <w:bottom w:val="single" w:sz="4" w:space="0" w:color="auto"/>
            </w:tcBorders>
          </w:tcPr>
          <w:p>
            <w:pPr>
              <w:pStyle w:val="nTable"/>
              <w:spacing w:after="40"/>
              <w:ind w:right="113"/>
              <w:rPr>
                <w:i/>
              </w:rPr>
            </w:pPr>
            <w:r>
              <w:rPr>
                <w:i/>
              </w:rPr>
              <w:t xml:space="preserve">Perth Theatre Trust Amendment Act 2015 </w:t>
            </w:r>
            <w:r>
              <w:t>s. 3</w:t>
            </w:r>
            <w:r>
              <w:noBreakHyphen/>
              <w:t>5</w:t>
            </w:r>
            <w:r>
              <w:rPr>
                <w:i/>
              </w:rPr>
              <w:t> </w:t>
            </w:r>
            <w:r>
              <w:rPr>
                <w:vertAlign w:val="superscript"/>
              </w:rPr>
              <w:t>8</w:t>
            </w:r>
          </w:p>
        </w:tc>
        <w:tc>
          <w:tcPr>
            <w:tcW w:w="1132" w:type="dxa"/>
            <w:tcBorders>
              <w:bottom w:val="single" w:sz="4" w:space="0" w:color="auto"/>
            </w:tcBorders>
          </w:tcPr>
          <w:p>
            <w:pPr>
              <w:pStyle w:val="nTable"/>
              <w:keepNext/>
              <w:spacing w:after="40"/>
              <w:rPr>
                <w:snapToGrid w:val="0"/>
                <w:lang w:val="en-US"/>
              </w:rPr>
            </w:pPr>
            <w:r>
              <w:rPr>
                <w:snapToGrid w:val="0"/>
                <w:lang w:val="en-US"/>
              </w:rPr>
              <w:t>7 of 2015</w:t>
            </w:r>
          </w:p>
        </w:tc>
        <w:tc>
          <w:tcPr>
            <w:tcW w:w="1132" w:type="dxa"/>
            <w:tcBorders>
              <w:bottom w:val="single" w:sz="4" w:space="0" w:color="auto"/>
            </w:tcBorders>
          </w:tcPr>
          <w:p>
            <w:pPr>
              <w:pStyle w:val="nTable"/>
              <w:keepNext/>
              <w:spacing w:after="40"/>
            </w:pPr>
            <w:r>
              <w:t>9 Mar 2015</w:t>
            </w:r>
          </w:p>
        </w:tc>
        <w:tc>
          <w:tcPr>
            <w:tcW w:w="2548" w:type="dxa"/>
            <w:tcBorders>
              <w:bottom w:val="single" w:sz="4" w:space="0" w:color="auto"/>
            </w:tcBorders>
          </w:tcPr>
          <w:p>
            <w:pPr>
              <w:pStyle w:val="nTable"/>
              <w:keepNext/>
              <w:spacing w:after="40"/>
              <w:rPr>
                <w:snapToGrid w:val="0"/>
                <w:lang w:val="en-US"/>
              </w:rPr>
            </w:pPr>
            <w:r>
              <w:rPr>
                <w:snapToGrid w:val="0"/>
                <w:lang w:val="en-US"/>
              </w:rPr>
              <w:t>To be proclaimed (see s. 2(b))</w:t>
            </w:r>
          </w:p>
        </w:tc>
      </w:tr>
    </w:tbl>
    <w:p>
      <w:pPr>
        <w:pStyle w:val="nSubsection"/>
        <w:spacing w:before="120"/>
      </w:pPr>
      <w:r>
        <w:rPr>
          <w:vertAlign w:val="superscript"/>
        </w:rPr>
        <w:t>2</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120"/>
      </w:pPr>
      <w:r>
        <w:rPr>
          <w:vertAlign w:val="superscript"/>
        </w:rPr>
        <w:t>3</w:t>
      </w:r>
      <w:r>
        <w:tab/>
        <w:t xml:space="preserve">Repealed by the </w:t>
      </w:r>
      <w:r>
        <w:rPr>
          <w:i/>
        </w:rPr>
        <w:t>Mental Health (Consequential Provisions) Act 1996</w:t>
      </w:r>
      <w:r>
        <w:t xml:space="preserve">. Now see the </w:t>
      </w:r>
      <w:r>
        <w:rPr>
          <w:i/>
        </w:rPr>
        <w:t>Mental Health Act 1996</w:t>
      </w:r>
      <w:r>
        <w:t>.</w:t>
      </w:r>
    </w:p>
    <w:p>
      <w:pPr>
        <w:pStyle w:val="nSubsection"/>
        <w:spacing w:before="12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 xml:space="preserve">State Superannuation (Transitional and Consequential Provisions) Act 2000 </w:t>
      </w:r>
      <w:r>
        <w:rPr>
          <w:snapToGrid w:val="0"/>
        </w:rPr>
        <w:t>s. 57 had not come into operation.  It reads as follows:</w:t>
      </w:r>
    </w:p>
    <w:p>
      <w:pPr>
        <w:pStyle w:val="BlankOpen"/>
      </w:pPr>
    </w:p>
    <w:p>
      <w:pPr>
        <w:pStyle w:val="nzHeading5"/>
      </w:pPr>
      <w:r>
        <w:rPr>
          <w:rStyle w:val="CharSectno"/>
        </w:rPr>
        <w:t>57</w:t>
      </w:r>
      <w:r>
        <w:t>.</w:t>
      </w:r>
      <w:r>
        <w:tab/>
      </w:r>
      <w:r>
        <w:rPr>
          <w:i/>
        </w:rPr>
        <w:t xml:space="preserve">Perth Theatre Trust Act 1979 </w:t>
      </w:r>
      <w:r>
        <w:t>amended</w:t>
      </w:r>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BlankClose"/>
      </w:pPr>
    </w:p>
    <w:p>
      <w:pPr>
        <w:pStyle w:val="BlankClose"/>
      </w:pPr>
    </w:p>
    <w:p>
      <w:pPr>
        <w:pStyle w:val="nSubsection"/>
        <w:keepNext/>
        <w:spacing w:before="120"/>
        <w:rPr>
          <w:snapToGrid w:val="0"/>
        </w:rPr>
      </w:pPr>
      <w:r>
        <w:rPr>
          <w:snapToGrid w:val="0"/>
          <w:vertAlign w:val="superscript"/>
        </w:rPr>
        <w:t>7</w:t>
      </w:r>
      <w:r>
        <w:rPr>
          <w:snapToGrid w:val="0"/>
        </w:rPr>
        <w:tab/>
        <w:t>Footnote no longer applicable.</w:t>
      </w:r>
    </w:p>
    <w:p>
      <w:pPr>
        <w:pStyle w:val="nSubsection"/>
        <w:keepNext/>
        <w:spacing w:before="12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Perth Theatre Trust Amendment Act 2015 </w:t>
      </w:r>
      <w:r>
        <w:rPr>
          <w:snapToGrid w:val="0"/>
        </w:rPr>
        <w:t>s. 3</w:t>
      </w:r>
      <w:r>
        <w:rPr>
          <w:snapToGrid w:val="0"/>
        </w:rPr>
        <w:noBreakHyphen/>
        <w:t>5 had not come into operation.  They read as follows:</w:t>
      </w:r>
    </w:p>
    <w:p>
      <w:pPr>
        <w:pStyle w:val="BlankOpen"/>
      </w:pPr>
    </w:p>
    <w:p>
      <w:pPr>
        <w:pStyle w:val="nzHeading5"/>
        <w:rPr>
          <w:snapToGrid w:val="0"/>
        </w:rPr>
      </w:pPr>
      <w:bookmarkStart w:id="68" w:name="_Toc412628284"/>
      <w:bookmarkStart w:id="69" w:name="_Toc413753205"/>
      <w:r>
        <w:rPr>
          <w:rStyle w:val="CharSectno"/>
        </w:rPr>
        <w:t>3</w:t>
      </w:r>
      <w:r>
        <w:rPr>
          <w:snapToGrid w:val="0"/>
        </w:rPr>
        <w:t>.</w:t>
      </w:r>
      <w:r>
        <w:rPr>
          <w:snapToGrid w:val="0"/>
        </w:rPr>
        <w:tab/>
        <w:t>Act amended</w:t>
      </w:r>
      <w:bookmarkEnd w:id="68"/>
      <w:bookmarkEnd w:id="69"/>
    </w:p>
    <w:p>
      <w:pPr>
        <w:pStyle w:val="nzSubsection"/>
      </w:pPr>
      <w:r>
        <w:tab/>
      </w:r>
      <w:r>
        <w:tab/>
        <w:t xml:space="preserve">This Act amends the </w:t>
      </w:r>
      <w:r>
        <w:rPr>
          <w:i/>
        </w:rPr>
        <w:t>Perth Theatre Trust Act 1979</w:t>
      </w:r>
      <w:r>
        <w:t>.</w:t>
      </w:r>
    </w:p>
    <w:p>
      <w:pPr>
        <w:pStyle w:val="nzHeading5"/>
      </w:pPr>
      <w:bookmarkStart w:id="70" w:name="_Toc412628285"/>
      <w:bookmarkStart w:id="71" w:name="_Toc413753206"/>
      <w:r>
        <w:rPr>
          <w:rStyle w:val="CharSectno"/>
        </w:rPr>
        <w:t>4</w:t>
      </w:r>
      <w:r>
        <w:t>.</w:t>
      </w:r>
      <w:r>
        <w:tab/>
        <w:t>Section 16 amended</w:t>
      </w:r>
      <w:bookmarkEnd w:id="70"/>
      <w:bookmarkEnd w:id="71"/>
    </w:p>
    <w:p>
      <w:pPr>
        <w:pStyle w:val="nzSubsection"/>
      </w:pPr>
      <w:r>
        <w:tab/>
        <w:t>(1)</w:t>
      </w:r>
      <w:r>
        <w:tab/>
        <w:t>Before section 16(1) insert:</w:t>
      </w:r>
    </w:p>
    <w:p>
      <w:pPr>
        <w:pStyle w:val="BlankOpen"/>
      </w:pPr>
    </w:p>
    <w:p>
      <w:pPr>
        <w:pStyle w:val="nzSubsection"/>
      </w:pPr>
      <w:r>
        <w:tab/>
        <w:t>(1A)</w:t>
      </w:r>
      <w:r>
        <w:tab/>
        <w:t xml:space="preserve">In this section — </w:t>
      </w:r>
    </w:p>
    <w:p>
      <w:pPr>
        <w:pStyle w:val="nzDefstart"/>
      </w:pPr>
      <w:r>
        <w:tab/>
      </w:r>
      <w:r>
        <w:rPr>
          <w:rStyle w:val="CharDefText"/>
        </w:rPr>
        <w:t>activity</w:t>
      </w:r>
      <w:r>
        <w:t xml:space="preserve"> includes an event, performance or production;</w:t>
      </w:r>
    </w:p>
    <w:p>
      <w:pPr>
        <w:pStyle w:val="nz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nz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nzDefstart"/>
        <w:rPr>
          <w:b/>
        </w:rPr>
      </w:pPr>
      <w:r>
        <w:tab/>
      </w:r>
      <w:r>
        <w:rPr>
          <w:rStyle w:val="CharDefText"/>
        </w:rPr>
        <w:t>promoting</w:t>
      </w:r>
      <w:r>
        <w:t>, in relation to an activity, includes attracting, organising, commissioning, funding, investing in, supporting, marketing, advertising and acting as project manager.</w:t>
      </w:r>
    </w:p>
    <w:p>
      <w:pPr>
        <w:pStyle w:val="BlankClose"/>
      </w:pPr>
    </w:p>
    <w:p>
      <w:pPr>
        <w:pStyle w:val="nzSubsection"/>
      </w:pPr>
      <w:r>
        <w:tab/>
        <w:t>(2)</w:t>
      </w:r>
      <w:r>
        <w:tab/>
        <w:t>After section 16(1)(a) insert:</w:t>
      </w:r>
    </w:p>
    <w:p>
      <w:pPr>
        <w:pStyle w:val="BlankOpen"/>
      </w:pPr>
    </w:p>
    <w:p>
      <w:pPr>
        <w:pStyle w:val="nzIndenta"/>
      </w:pPr>
      <w:r>
        <w:tab/>
        <w:t>(ba)</w:t>
      </w:r>
      <w:r>
        <w:tab/>
        <w:t>without limiting the generality of paragraph (a), promoting, or taking part in promoting, activities at Trust theatres; and</w:t>
      </w:r>
    </w:p>
    <w:p>
      <w:pPr>
        <w:pStyle w:val="BlankClose"/>
      </w:pPr>
    </w:p>
    <w:p>
      <w:pPr>
        <w:pStyle w:val="nzSubsection"/>
      </w:pPr>
      <w:r>
        <w:tab/>
        <w:t>(3)</w:t>
      </w:r>
      <w:r>
        <w:tab/>
        <w:t>After section 16(2)(c) insert:</w:t>
      </w:r>
    </w:p>
    <w:p>
      <w:pPr>
        <w:pStyle w:val="BlankOpen"/>
      </w:pPr>
    </w:p>
    <w:p>
      <w:pPr>
        <w:pStyle w:val="nzIndenta"/>
      </w:pPr>
      <w:r>
        <w:tab/>
        <w:t>(da)</w:t>
      </w:r>
      <w:r>
        <w:tab/>
        <w:t>subject to subsection (3), participate in a business arrangement and acquire, hold and dispose of shares, units or other interests in or relating to a business arrangement;</w:t>
      </w:r>
    </w:p>
    <w:p>
      <w:pPr>
        <w:pStyle w:val="nzIndenta"/>
        <w:keepNext/>
      </w:pPr>
      <w:r>
        <w:tab/>
        <w:t>(db)</w:t>
      </w:r>
      <w:r>
        <w:tab/>
        <w:t>cooperate with, and provide funds and other assistance to, other bodies and to individuals;</w:t>
      </w:r>
    </w:p>
    <w:p>
      <w:pPr>
        <w:pStyle w:val="BlankClose"/>
      </w:pPr>
    </w:p>
    <w:p>
      <w:pPr>
        <w:pStyle w:val="nzSubsection"/>
      </w:pPr>
      <w:r>
        <w:tab/>
        <w:t>(4)</w:t>
      </w:r>
      <w:r>
        <w:tab/>
        <w:t>After section 16(2) insert:</w:t>
      </w:r>
    </w:p>
    <w:p>
      <w:pPr>
        <w:pStyle w:val="BlankOpen"/>
      </w:pPr>
    </w:p>
    <w:p>
      <w:pPr>
        <w:pStyle w:val="nzSubsection"/>
      </w:pPr>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p>
    <w:p>
      <w:pPr>
        <w:pStyle w:val="nzIndenta"/>
      </w:pPr>
      <w:r>
        <w:tab/>
        <w:t>(a)</w:t>
      </w:r>
      <w:r>
        <w:tab/>
        <w:t>that business arrangement; or</w:t>
      </w:r>
    </w:p>
    <w:p>
      <w:pPr>
        <w:pStyle w:val="nzIndenta"/>
      </w:pPr>
      <w:r>
        <w:tab/>
        <w:t>(b)</w:t>
      </w:r>
      <w:r>
        <w:tab/>
        <w:t>business arrangements of that class; or</w:t>
      </w:r>
    </w:p>
    <w:p>
      <w:pPr>
        <w:pStyle w:val="nzIndenta"/>
      </w:pPr>
      <w:r>
        <w:tab/>
        <w:t>(c)</w:t>
      </w:r>
      <w:r>
        <w:tab/>
        <w:t>business arrangements generally.</w:t>
      </w:r>
    </w:p>
    <w:p>
      <w:pPr>
        <w:pStyle w:val="nzSubsection"/>
      </w:pPr>
      <w:r>
        <w:tab/>
        <w:t>(4)</w:t>
      </w:r>
      <w:r>
        <w:tab/>
        <w:t>The Treasurer may, by written notice given to the Trust, exempt any business arrangement or class of business arrangement from the operation of subsection (3) either unconditionally or on specified conditions.</w:t>
      </w:r>
    </w:p>
    <w:p>
      <w:pPr>
        <w:pStyle w:val="nzSubsection"/>
      </w:pPr>
      <w:r>
        <w:tab/>
        <w:t>(5)</w:t>
      </w:r>
      <w:r>
        <w:tab/>
        <w:t>A notice under subsection (4) may be revoked or amended by the Treasurer by written notice given to the Trust.</w:t>
      </w:r>
    </w:p>
    <w:p>
      <w:pPr>
        <w:pStyle w:val="BlankClose"/>
        <w:keepNext/>
      </w:pPr>
    </w:p>
    <w:p>
      <w:pPr>
        <w:pStyle w:val="nzHeading5"/>
      </w:pPr>
      <w:bookmarkStart w:id="72" w:name="_Toc412628286"/>
      <w:bookmarkStart w:id="73" w:name="_Toc413753207"/>
      <w:r>
        <w:rPr>
          <w:rStyle w:val="CharSectno"/>
        </w:rPr>
        <w:t>5</w:t>
      </w:r>
      <w:r>
        <w:t>.</w:t>
      </w:r>
      <w:r>
        <w:tab/>
        <w:t>Section 23 amended</w:t>
      </w:r>
      <w:bookmarkEnd w:id="72"/>
      <w:bookmarkEnd w:id="73"/>
    </w:p>
    <w:p>
      <w:pPr>
        <w:pStyle w:val="nzSubsection"/>
      </w:pPr>
      <w:r>
        <w:tab/>
      </w:r>
      <w:r>
        <w:tab/>
        <w:t>After section 23(5) insert:</w:t>
      </w:r>
    </w:p>
    <w:p>
      <w:pPr>
        <w:pStyle w:val="BlankOpen"/>
      </w:pPr>
    </w:p>
    <w:p>
      <w:pPr>
        <w:pStyle w:val="nzSubsection"/>
      </w:pPr>
      <w:r>
        <w:tab/>
        <w:t>(6A)</w:t>
      </w:r>
      <w:r>
        <w:tab/>
        <w:t>Subsections (4) and (5) do not affect the operation of section 16.</w:t>
      </w:r>
    </w:p>
    <w:p>
      <w:pPr>
        <w:pStyle w:val="BlankClose"/>
        <w:keepNext/>
      </w:pPr>
    </w:p>
    <w:p>
      <w:pPr>
        <w:pStyle w:val="BlankClose"/>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76" w:name="_Toc413833834"/>
      <w:bookmarkStart w:id="77" w:name="_Toc413833907"/>
      <w:bookmarkStart w:id="78" w:name="_Toc435781026"/>
      <w:bookmarkStart w:id="79" w:name="_Toc436129701"/>
      <w:r>
        <w:rPr>
          <w:sz w:val="28"/>
        </w:rPr>
        <w:t>Defined terms</w:t>
      </w:r>
      <w:bookmarkEnd w:id="76"/>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23(6)</w:t>
      </w:r>
    </w:p>
    <w:p>
      <w:pPr>
        <w:pStyle w:val="DefinedTerms"/>
      </w:pPr>
      <w:r>
        <w:t>chairman</w:t>
      </w:r>
      <w:r>
        <w:tab/>
        <w:t>3(1)</w:t>
      </w:r>
    </w:p>
    <w:p>
      <w:pPr>
        <w:pStyle w:val="DefinedTerms"/>
      </w:pPr>
      <w:r>
        <w:t>committee</w:t>
      </w:r>
      <w:r>
        <w:tab/>
        <w:t>3(1)</w:t>
      </w:r>
    </w:p>
    <w:p>
      <w:pPr>
        <w:pStyle w:val="DefinedTerms"/>
      </w:pPr>
      <w:r>
        <w:t>Council</w:t>
      </w:r>
      <w:r>
        <w:tab/>
        <w:t>3(1)</w:t>
      </w:r>
    </w:p>
    <w:p>
      <w:pPr>
        <w:pStyle w:val="DefinedTerms"/>
      </w:pPr>
      <w:r>
        <w:t>Council trustee</w:t>
      </w:r>
      <w:r>
        <w:tab/>
        <w:t>3(1)</w:t>
      </w:r>
    </w:p>
    <w:p>
      <w:pPr>
        <w:pStyle w:val="DefinedTerms"/>
      </w:pPr>
      <w:r>
        <w:t>department</w:t>
      </w:r>
      <w:r>
        <w:tab/>
        <w:t>18</w:t>
      </w:r>
    </w:p>
    <w:p>
      <w:pPr>
        <w:pStyle w:val="DefinedTerms"/>
      </w:pPr>
      <w:r>
        <w:t>ex officio trustee</w:t>
      </w:r>
      <w:r>
        <w:tab/>
        <w:t>3(1)</w:t>
      </w:r>
    </w:p>
    <w:p>
      <w:pPr>
        <w:pStyle w:val="DefinedTerms"/>
      </w:pPr>
      <w:r>
        <w:t>financial year</w:t>
      </w:r>
      <w:r>
        <w:tab/>
        <w:t>3(1)</w:t>
      </w:r>
    </w:p>
    <w:p>
      <w:pPr>
        <w:pStyle w:val="DefinedTerms"/>
      </w:pPr>
      <w:r>
        <w:t>general manager</w:t>
      </w:r>
      <w:r>
        <w:tab/>
        <w:t>3(1)</w:t>
      </w:r>
    </w:p>
    <w:p>
      <w:pPr>
        <w:pStyle w:val="DefinedTerms"/>
      </w:pPr>
      <w:r>
        <w:t>Ministerial trustee</w:t>
      </w:r>
      <w:r>
        <w:tab/>
        <w:t>3(1)</w:t>
      </w:r>
    </w:p>
    <w:p>
      <w:pPr>
        <w:pStyle w:val="DefinedTerms"/>
      </w:pPr>
      <w:r>
        <w:t>Superannuation Act</w:t>
      </w:r>
      <w:r>
        <w:tab/>
        <w:t>17(8)</w:t>
      </w:r>
    </w:p>
    <w:p>
      <w:pPr>
        <w:pStyle w:val="DefinedTerms"/>
      </w:pPr>
      <w:r>
        <w:t>theatre</w:t>
      </w:r>
      <w:r>
        <w:tab/>
        <w:t>3(1)</w:t>
      </w:r>
    </w:p>
    <w:p>
      <w:pPr>
        <w:pStyle w:val="DefinedTerms"/>
      </w:pPr>
      <w:r>
        <w:t>Trust</w:t>
      </w:r>
      <w:r>
        <w:tab/>
        <w:t>3(1)</w:t>
      </w:r>
    </w:p>
    <w:p>
      <w:pPr>
        <w:pStyle w:val="DefinedTerms"/>
      </w:pPr>
      <w:r>
        <w:t>Trust buildings and land</w:t>
      </w:r>
      <w:r>
        <w:tab/>
        <w:t>Sch. —</w:t>
      </w:r>
    </w:p>
    <w:p>
      <w:pPr>
        <w:pStyle w:val="DefinedTerms"/>
      </w:pPr>
      <w:r>
        <w:t>Trust theatres</w:t>
      </w:r>
      <w:r>
        <w:tab/>
        <w:t>16(1)</w:t>
      </w:r>
    </w:p>
    <w:p>
      <w:pPr>
        <w:pStyle w:val="DefinedTerms"/>
      </w:pPr>
      <w:r>
        <w:t>trustee</w:t>
      </w:r>
      <w:r>
        <w:tab/>
        <w:t>3(1)</w:t>
      </w:r>
    </w:p>
    <w:p>
      <w:pPr>
        <w:rPr>
          <w:rFonts w:ascii="Arial" w:hAnsi="Arial"/>
          <w:szCs w:val="24"/>
        </w:r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szCs w:val="24"/>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4" w:name="Compilation"/>
    <w:bookmarkStart w:id="75" w:name="Schedule"/>
    <w:bookmarkEnd w:id="74"/>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EC271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03"/>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 w:name="WAFER_20151109112303" w:val="UpdateStyles,UsedStyles"/>
    <w:docVar w:name="WAFER_20151109112303_GUID" w:val="af908efd-f758-4568-a8fb-7b6ecf5391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6563</Words>
  <Characters>30518</Characters>
  <Application>Microsoft Office Word</Application>
  <DocSecurity>0</DocSecurity>
  <Lines>897</Lines>
  <Paragraphs>507</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1979 - 02-d0-01</dc:title>
  <dc:subject/>
  <dc:creator/>
  <cp:keywords/>
  <dc:description/>
  <cp:lastModifiedBy>svcMRProcess</cp:lastModifiedBy>
  <cp:revision>4</cp:revision>
  <cp:lastPrinted>2011-02-09T07:40:00Z</cp:lastPrinted>
  <dcterms:created xsi:type="dcterms:W3CDTF">2015-11-30T02:52:00Z</dcterms:created>
  <dcterms:modified xsi:type="dcterms:W3CDTF">2015-11-30T02:52:00Z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DocumentType">
    <vt:lpwstr>Act</vt:lpwstr>
  </property>
  <property fmtid="{D5CDD505-2E9C-101B-9397-08002B2CF9AE}" pid="4" name="OwlsUID">
    <vt:i4>593</vt:i4>
  </property>
  <property fmtid="{D5CDD505-2E9C-101B-9397-08002B2CF9AE}" pid="5" name="ReprintedAsAt">
    <vt:filetime>2011-02-03T16:00:00Z</vt:filetime>
  </property>
  <property fmtid="{D5CDD505-2E9C-101B-9397-08002B2CF9AE}" pid="6" name="ReprintNo">
    <vt:lpwstr>2</vt:lpwstr>
  </property>
  <property fmtid="{D5CDD505-2E9C-101B-9397-08002B2CF9AE}" pid="7" name="AsAtDate">
    <vt:lpwstr>30 Nov 2015</vt:lpwstr>
  </property>
  <property fmtid="{D5CDD505-2E9C-101B-9397-08002B2CF9AE}" pid="8" name="Suffix">
    <vt:lpwstr>02-d0-01</vt:lpwstr>
  </property>
  <property fmtid="{D5CDD505-2E9C-101B-9397-08002B2CF9AE}" pid="9" name="CommencementDate">
    <vt:lpwstr>20151130</vt:lpwstr>
  </property>
</Properties>
</file>