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_Toc426984660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_Toc426984661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_Toc426984662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_Toc426984663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_Toc426984664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_Toc426984665 \h </w:instrText>
      </w:r>
      <w:r>
        <w:fldChar w:fldCharType="separate"/>
      </w:r>
      <w:r>
        <w:t>3</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_Toc426984666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_Toc426984667 \h </w:instrText>
      </w:r>
      <w:r>
        <w:fldChar w:fldCharType="separate"/>
      </w:r>
      <w:r>
        <w:t>5</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_Toc426984668 \h </w:instrText>
      </w:r>
      <w:r>
        <w:fldChar w:fldCharType="separate"/>
      </w:r>
      <w:r>
        <w:t>5</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_Toc426984669 \h </w:instrText>
      </w:r>
      <w:r>
        <w:fldChar w:fldCharType="separate"/>
      </w:r>
      <w:r>
        <w:t>7</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_Toc426984670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_Toc426984672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3" w:name="_Toc377564552"/>
      <w:bookmarkStart w:id="4" w:name="_Toc42698466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26984661"/>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July 2000</w:t>
      </w:r>
      <w:r>
        <w:t>.</w:t>
      </w:r>
    </w:p>
    <w:p>
      <w:pPr>
        <w:pStyle w:val="Heading5"/>
      </w:pPr>
      <w:bookmarkStart w:id="7" w:name="_Toc377564554"/>
      <w:bookmarkStart w:id="8" w:name="_Toc426984662"/>
      <w:r>
        <w:rPr>
          <w:rStyle w:val="CharSectno"/>
        </w:rPr>
        <w:t>3</w:t>
      </w:r>
      <w:r>
        <w:t>.</w:t>
      </w:r>
      <w:r>
        <w:tab/>
        <w:t>Term used: interested person</w:t>
      </w:r>
      <w:bookmarkEnd w:id="7"/>
      <w:bookmarkEnd w:id="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9" w:name="_Toc377564555"/>
      <w:bookmarkStart w:id="10" w:name="_Toc426984663"/>
      <w:r>
        <w:rPr>
          <w:rStyle w:val="CharSectno"/>
        </w:rPr>
        <w:t>4</w:t>
      </w:r>
      <w:r>
        <w:t>.</w:t>
      </w:r>
      <w:r>
        <w:tab/>
        <w:t>Interest of disabled person in home prescribed to be relevant interest (s. 6(1)(h))</w:t>
      </w:r>
      <w:bookmarkEnd w:id="9"/>
      <w:bookmarkEnd w:id="1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1" w:name="_Toc377564556"/>
      <w:bookmarkStart w:id="12" w:name="_Toc426984664"/>
      <w:r>
        <w:rPr>
          <w:rStyle w:val="CharSectno"/>
        </w:rPr>
        <w:t>5</w:t>
      </w:r>
      <w:r>
        <w:t>.</w:t>
      </w:r>
      <w:r>
        <w:tab/>
        <w:t>Interest of occupier of home on primary production land prescribed to be relevant interest (s. 6(1)(h))</w:t>
      </w:r>
      <w:bookmarkEnd w:id="11"/>
      <w:bookmarkEnd w:id="1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3" w:name="_Toc377564557"/>
      <w:bookmarkStart w:id="14" w:name="_Toc426984665"/>
      <w:r>
        <w:rPr>
          <w:rStyle w:val="CharSectno"/>
        </w:rPr>
        <w:t>6</w:t>
      </w:r>
      <w:r>
        <w:t>.</w:t>
      </w:r>
      <w:r>
        <w:tab/>
        <w:t>Prescribed qualification to completion of eligible transaction (s. 14(6))</w:t>
      </w:r>
      <w:bookmarkEnd w:id="13"/>
      <w:bookmarkEnd w:id="14"/>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15" w:name="_Toc377564558"/>
      <w:bookmarkStart w:id="16" w:name="_Toc426984666"/>
      <w:r>
        <w:rPr>
          <w:rStyle w:val="CharSectno"/>
        </w:rPr>
        <w:t>7</w:t>
      </w:r>
      <w:r>
        <w:t>.</w:t>
      </w:r>
      <w:r>
        <w:tab/>
        <w:t>Certain owners of land excluded from the operation of s. 16(1)</w:t>
      </w:r>
      <w:bookmarkEnd w:id="15"/>
      <w:bookmarkEnd w:id="16"/>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Footnotesection"/>
      </w:pPr>
      <w:r>
        <w:tab/>
        <w:t>[Regulation 7 amended in Gazette 22 Oct 2002 p. 5255-6; 11 Aug 2015 p. 3221</w:t>
      </w:r>
      <w:r>
        <w:noBreakHyphen/>
        <w:t>2.]</w:t>
      </w:r>
    </w:p>
    <w:p>
      <w:pPr>
        <w:pStyle w:val="Heading5"/>
      </w:pPr>
      <w:bookmarkStart w:id="17" w:name="_Toc426984667"/>
      <w:bookmarkStart w:id="18" w:name="_Toc377564559"/>
      <w:r>
        <w:rPr>
          <w:rStyle w:val="CharSectno"/>
        </w:rPr>
        <w:t>8</w:t>
      </w:r>
      <w:r>
        <w:t>.</w:t>
      </w:r>
      <w:r>
        <w:tab/>
        <w:t>Prescribed rates of interest (s. 30, 32 and 52)</w:t>
      </w:r>
      <w:bookmarkEnd w:id="17"/>
    </w:p>
    <w:p>
      <w:pPr>
        <w:pStyle w:val="Subsection"/>
      </w:pPr>
      <w:r>
        <w:tab/>
        <w:t>(1)</w:t>
      </w:r>
      <w:r>
        <w:tab/>
        <w:t>The rate of interest for the purposes of section 30(3), (4)(d) and (5)(c) of the Act is 2.6% per annum.</w:t>
      </w:r>
    </w:p>
    <w:p>
      <w:pPr>
        <w:pStyle w:val="Subsection"/>
      </w:pPr>
      <w:r>
        <w:tab/>
        <w:t>(2)</w:t>
      </w:r>
      <w:r>
        <w:tab/>
        <w:t>The rate of interest for the purposes of section 32(2), (3)(d) and (4)(c) of the Act is 2.6% per annum.</w:t>
      </w:r>
    </w:p>
    <w:p>
      <w:pPr>
        <w:pStyle w:val="Subsection"/>
      </w:pPr>
      <w:r>
        <w:tab/>
        <w:t>(3)</w:t>
      </w:r>
      <w:r>
        <w:tab/>
        <w:t>The rate of interest for the purposes of section 52(3)(a) and (7) of the Act is 10.6% per annum.</w:t>
      </w:r>
    </w:p>
    <w:p>
      <w:pPr>
        <w:pStyle w:val="Footnotesection"/>
      </w:pPr>
      <w:r>
        <w:tab/>
        <w:t>[Regulation 8 inserted in Gazette 26 Jun 2015 p. 2278.]</w:t>
      </w:r>
    </w:p>
    <w:p>
      <w:pPr>
        <w:pStyle w:val="Heading5"/>
      </w:pPr>
      <w:bookmarkStart w:id="19" w:name="_Toc377564560"/>
      <w:bookmarkStart w:id="20" w:name="_Toc426984668"/>
      <w:bookmarkEnd w:id="18"/>
      <w:r>
        <w:rPr>
          <w:rStyle w:val="CharSectno"/>
        </w:rPr>
        <w:t>9</w:t>
      </w:r>
      <w:r>
        <w:t>.</w:t>
      </w:r>
      <w:r>
        <w:tab/>
        <w:t>Conditions to be included in administration agreements (s. 37(2))</w:t>
      </w:r>
      <w:bookmarkEnd w:id="19"/>
      <w:bookmarkEnd w:id="2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in Gazette 11 Aug 2015 p. 3222.]</w:t>
      </w:r>
    </w:p>
    <w:p>
      <w:pPr>
        <w:pStyle w:val="Heading5"/>
      </w:pPr>
      <w:bookmarkStart w:id="21" w:name="_Toc377564561"/>
      <w:bookmarkStart w:id="22" w:name="_Toc426984669"/>
      <w:r>
        <w:rPr>
          <w:rStyle w:val="CharSectno"/>
        </w:rPr>
        <w:t>10</w:t>
      </w:r>
      <w:r>
        <w:t>.</w:t>
      </w:r>
      <w:r>
        <w:tab/>
        <w:t>Witness fees and expenses (s. 41(7))</w:t>
      </w:r>
      <w:bookmarkEnd w:id="21"/>
      <w:bookmarkEnd w:id="2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23" w:name="_Toc377564562"/>
      <w:bookmarkStart w:id="24" w:name="_Toc426984670"/>
      <w:r>
        <w:rPr>
          <w:rStyle w:val="CharSectno"/>
        </w:rPr>
        <w:t>11</w:t>
      </w:r>
      <w:r>
        <w:t>.</w:t>
      </w:r>
      <w:r>
        <w:tab/>
        <w:t>Authorised receipt and permitted disclosure of confidential information (s. 65(3))</w:t>
      </w:r>
      <w:bookmarkEnd w:id="23"/>
      <w:bookmarkEnd w:id="24"/>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7564563"/>
      <w:bookmarkStart w:id="26" w:name="_Toc418861214"/>
      <w:bookmarkStart w:id="27" w:name="_Toc423446346"/>
      <w:bookmarkStart w:id="28" w:name="_Toc426979234"/>
      <w:bookmarkStart w:id="29" w:name="_Toc426984671"/>
      <w:r>
        <w:t>Notes</w:t>
      </w:r>
      <w:bookmarkEnd w:id="25"/>
      <w:bookmarkEnd w:id="26"/>
      <w:bookmarkEnd w:id="27"/>
      <w:bookmarkEnd w:id="28"/>
      <w:bookmarkEnd w:id="29"/>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after="60"/>
      </w:pPr>
      <w:bookmarkStart w:id="30" w:name="_Toc377564564"/>
      <w:bookmarkStart w:id="31" w:name="_Toc426984672"/>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9" w:type="dxa"/>
            <w:tcBorders>
              <w:bottom w:val="single" w:sz="4" w:space="0" w:color="auto"/>
            </w:tcBorders>
          </w:tcPr>
          <w:p>
            <w:pPr>
              <w:pStyle w:val="nTable"/>
              <w:keepNext/>
              <w:spacing w:after="40"/>
              <w:rPr>
                <w:i/>
              </w:rPr>
            </w:pPr>
            <w:r>
              <w:rPr>
                <w:i/>
              </w:rPr>
              <w:t>First Home Owner Grant Amendment Regulations (No. 2) 2015</w:t>
            </w:r>
          </w:p>
        </w:tc>
        <w:tc>
          <w:tcPr>
            <w:tcW w:w="1276" w:type="dxa"/>
            <w:tcBorders>
              <w:bottom w:val="single" w:sz="4" w:space="0" w:color="auto"/>
            </w:tcBorders>
          </w:tcPr>
          <w:p>
            <w:pPr>
              <w:pStyle w:val="nTable"/>
              <w:keepNext/>
              <w:spacing w:after="40"/>
            </w:pPr>
            <w:r>
              <w:t>11 Aug 2015 p. 3221</w:t>
            </w:r>
            <w:r>
              <w:noBreakHyphen/>
              <w:t>2</w:t>
            </w:r>
          </w:p>
        </w:tc>
        <w:tc>
          <w:tcPr>
            <w:tcW w:w="2693" w:type="dxa"/>
            <w:tcBorders>
              <w:bottom w:val="single" w:sz="4" w:space="0" w:color="auto"/>
            </w:tcBorders>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First Home Owner Grant Amendment Regulations (No. 3) 2015 </w:t>
            </w:r>
            <w:r>
              <w:t>r. 3</w:t>
            </w:r>
            <w:r>
              <w:noBreakHyphen/>
              <w:t>4</w:t>
            </w:r>
            <w:r>
              <w:rPr>
                <w:vertAlign w:val="superscript"/>
              </w:rPr>
              <w:t> 3</w:t>
            </w:r>
          </w:p>
        </w:tc>
        <w:tc>
          <w:tcPr>
            <w:tcW w:w="1276" w:type="dxa"/>
          </w:tcPr>
          <w:p>
            <w:pPr>
              <w:pStyle w:val="nTable"/>
              <w:spacing w:after="40"/>
            </w:pPr>
            <w:r>
              <w:t>11 Dec 2015 p. 4961</w:t>
            </w:r>
          </w:p>
        </w:tc>
        <w:tc>
          <w:tcPr>
            <w:tcW w:w="2693" w:type="dxa"/>
          </w:tcPr>
          <w:p>
            <w:pPr>
              <w:pStyle w:val="nTable"/>
              <w:spacing w:after="40"/>
            </w:pPr>
            <w:r>
              <w:t>1 Jan 2016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First Home Owner Grant Amendment Regulations (No. 3) 2015</w:t>
      </w:r>
      <w:r>
        <w:rPr>
          <w:i/>
          <w:snapToGrid w:val="0"/>
        </w:rPr>
        <w:t xml:space="preserve"> </w:t>
      </w:r>
      <w:r>
        <w:rPr>
          <w:snapToGrid w:val="0"/>
        </w:rPr>
        <w:t>r. 3-4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First Home Owner Grant Regulations 2000</w:t>
      </w:r>
      <w:r>
        <w:t>.</w:t>
      </w:r>
    </w:p>
    <w:p>
      <w:pPr>
        <w:pStyle w:val="nzHeading5"/>
      </w:pPr>
      <w:r>
        <w:rPr>
          <w:rStyle w:val="CharSectno"/>
        </w:rPr>
        <w:t>4</w:t>
      </w:r>
      <w:r>
        <w:t>.</w:t>
      </w:r>
      <w:r>
        <w:tab/>
        <w:t>Regulation 8 amended</w:t>
      </w:r>
    </w:p>
    <w:p>
      <w:pPr>
        <w:pStyle w:val="nzSubsection"/>
      </w:pPr>
      <w:r>
        <w:tab/>
        <w:t>(1)</w:t>
      </w:r>
      <w:r>
        <w:tab/>
        <w:t>In regulation 8(1) and (2) delete “2.6%” and insert:</w:t>
      </w:r>
    </w:p>
    <w:p>
      <w:pPr>
        <w:pStyle w:val="BlankOpen"/>
      </w:pPr>
    </w:p>
    <w:p>
      <w:pPr>
        <w:pStyle w:val="nzSubsection"/>
      </w:pPr>
      <w:r>
        <w:tab/>
      </w:r>
      <w:r>
        <w:tab/>
        <w:t>2.2%</w:t>
      </w:r>
    </w:p>
    <w:p>
      <w:pPr>
        <w:pStyle w:val="BlankClose"/>
      </w:pPr>
    </w:p>
    <w:p>
      <w:pPr>
        <w:pStyle w:val="nzSubsection"/>
      </w:pPr>
      <w:r>
        <w:tab/>
        <w:t>(2)</w:t>
      </w:r>
      <w:r>
        <w:tab/>
        <w:t>In regulation 8(3) delete “10.6%” and insert:</w:t>
      </w:r>
    </w:p>
    <w:p>
      <w:pPr>
        <w:pStyle w:val="BlankOpen"/>
        <w:keepNext w:val="0"/>
        <w:widowControl w:val="0"/>
      </w:pPr>
    </w:p>
    <w:p>
      <w:pPr>
        <w:pStyle w:val="nzSubsection"/>
      </w:pPr>
      <w:r>
        <w:tab/>
      </w:r>
      <w:r>
        <w:tab/>
        <w:t>10.2%</w:t>
      </w:r>
    </w:p>
    <w:p>
      <w:pPr>
        <w:pStyle w:val="BlankClose"/>
        <w:widowControl w:val="0"/>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relevant owner of land</w:t>
      </w:r>
      <w:r>
        <w:tab/>
        <w:t>7(4)</w:t>
      </w:r>
    </w:p>
    <w:p>
      <w:pPr>
        <w:pStyle w:val="DefinedTerms"/>
      </w:pPr>
      <w:r>
        <w:t>State Housing Commission</w:t>
      </w:r>
      <w:r>
        <w:tab/>
        <w:t>7(4)</w:t>
      </w:r>
    </w:p>
    <w:p>
      <w:pPr>
        <w:pStyle w:val="DefinedTerms"/>
      </w:pPr>
      <w:r>
        <w:t>the records</w:t>
      </w:r>
      <w:r>
        <w:tab/>
        <w:t>9(4)</w:t>
      </w:r>
    </w:p>
    <w:p>
      <w:pPr>
        <w:pStyle w:val="DefinedTerms"/>
      </w:pPr>
      <w:r>
        <w:t>witness</w:t>
      </w:r>
      <w:r>
        <w:tab/>
        <w:t>10(1)</w:t>
      </w:r>
    </w:p>
    <w:p>
      <w:pPr>
        <w:pStyle w:val="DefinedTerms"/>
      </w:pPr>
      <w:r>
        <w:t>Yawuru Home Ownership Project</w:t>
      </w:r>
      <w:r>
        <w:tab/>
        <w:t>7(4)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3737"/>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3130</Words>
  <Characters>14902</Characters>
  <Application>Microsoft Office Word</Application>
  <DocSecurity>0</DocSecurity>
  <Lines>496</Lines>
  <Paragraphs>269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2000 - 02-h0-01</dc:title>
  <dc:subject/>
  <dc:creator/>
  <cp:keywords/>
  <dc:description/>
  <cp:lastModifiedBy>svcMRProcess</cp:lastModifiedBy>
  <cp:revision>4</cp:revision>
  <cp:lastPrinted>2009-10-23T02:12:00Z</cp:lastPrinted>
  <dcterms:created xsi:type="dcterms:W3CDTF">2015-12-16T01:48:00Z</dcterms:created>
  <dcterms:modified xsi:type="dcterms:W3CDTF">2015-12-16T01:48:00Z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AsAtDate">
    <vt:lpwstr>11 Dec 2015</vt:lpwstr>
  </property>
  <property fmtid="{D5CDD505-2E9C-101B-9397-08002B2CF9AE}" pid="7" name="Suffix">
    <vt:lpwstr>02-h0-01</vt:lpwstr>
  </property>
  <property fmtid="{D5CDD505-2E9C-101B-9397-08002B2CF9AE}" pid="8" name="CommencementDate">
    <vt:lpwstr>20151211</vt:lpwstr>
  </property>
</Properties>
</file>