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Vocational Education and Training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Vocational Education and Training (Colleges) Regulations 1996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Vocational Education and Training (Colleges)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_Toc524930876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_Toc524930877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_Toc524930878 \h </w:instrText>
      </w:r>
      <w:r>
        <w:fldChar w:fldCharType="separate"/>
      </w:r>
      <w:r>
        <w:t>1</w:t>
      </w:r>
      <w:r>
        <w:fldChar w:fldCharType="end"/>
      </w:r>
    </w:p>
    <w:p>
      <w:pPr>
        <w:pStyle w:val="TOC8"/>
        <w:rPr>
          <w:rFonts w:asciiTheme="minorHAnsi" w:eastAsiaTheme="minorEastAsia" w:hAnsiTheme="minorHAnsi" w:cstheme="minorBidi"/>
          <w:szCs w:val="22"/>
        </w:rPr>
      </w:pPr>
      <w:r>
        <w:t>3AA.</w:t>
      </w:r>
      <w:r>
        <w:tab/>
        <w:t>Nominal hours</w:t>
      </w:r>
      <w:r>
        <w:tab/>
      </w:r>
      <w:r>
        <w:fldChar w:fldCharType="begin"/>
      </w:r>
      <w:r>
        <w:instrText xml:space="preserve"> PAGEREF _Toc524930879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Management of colleges</w:t>
      </w:r>
    </w:p>
    <w:p>
      <w:pPr>
        <w:pStyle w:val="TOC8"/>
        <w:rPr>
          <w:rFonts w:asciiTheme="minorHAnsi" w:eastAsiaTheme="minorEastAsia" w:hAnsiTheme="minorHAnsi" w:cstheme="minorBidi"/>
          <w:szCs w:val="22"/>
        </w:rPr>
      </w:pPr>
      <w:r>
        <w:t>3A.</w:t>
      </w:r>
      <w:r>
        <w:tab/>
        <w:t>Period prescribed for strategic plans (Act s. 43(1))</w:t>
      </w:r>
      <w:r>
        <w:tab/>
      </w:r>
      <w:r>
        <w:fldChar w:fldCharType="begin"/>
      </w:r>
      <w:r>
        <w:instrText xml:space="preserve"> PAGEREF _Toc524930881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Classification of courses</w:t>
      </w:r>
    </w:p>
    <w:p>
      <w:pPr>
        <w:pStyle w:val="TOC8"/>
        <w:rPr>
          <w:rFonts w:asciiTheme="minorHAnsi" w:eastAsiaTheme="minorEastAsia" w:hAnsiTheme="minorHAnsi" w:cstheme="minorBidi"/>
          <w:szCs w:val="22"/>
        </w:rPr>
      </w:pPr>
      <w:r>
        <w:t>4</w:t>
      </w:r>
      <w:r>
        <w:rPr>
          <w:snapToGrid w:val="0"/>
        </w:rPr>
        <w:t>.</w:t>
      </w:r>
      <w:r>
        <w:rPr>
          <w:snapToGrid w:val="0"/>
        </w:rPr>
        <w:tab/>
        <w:t>Classification of courses</w:t>
      </w:r>
      <w:r>
        <w:tab/>
      </w:r>
      <w:r>
        <w:fldChar w:fldCharType="begin"/>
      </w:r>
      <w:r>
        <w:instrText xml:space="preserve"> PAGEREF _Toc524930883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Selection and fees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Selection for certain courses, and fees</w:t>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_Toc524930886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this Division</w:t>
      </w:r>
      <w:r>
        <w:tab/>
      </w:r>
      <w:r>
        <w:fldChar w:fldCharType="begin"/>
      </w:r>
      <w:r>
        <w:instrText xml:space="preserve"> PAGEREF _Toc524930887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Admissions Manager, designation and functions of</w:t>
      </w:r>
      <w:r>
        <w:tab/>
      </w:r>
      <w:r>
        <w:fldChar w:fldCharType="begin"/>
      </w:r>
      <w:r>
        <w:instrText xml:space="preserve"> PAGEREF _Toc524930888 \h </w:instrText>
      </w:r>
      <w:r>
        <w:fldChar w:fldCharType="separate"/>
      </w:r>
      <w:r>
        <w:t>7</w:t>
      </w:r>
      <w:r>
        <w:fldChar w:fldCharType="end"/>
      </w:r>
    </w:p>
    <w:p>
      <w:pPr>
        <w:pStyle w:val="TOC8"/>
        <w:rPr>
          <w:rFonts w:asciiTheme="minorHAnsi" w:eastAsiaTheme="minorEastAsia" w:hAnsiTheme="minorHAnsi" w:cstheme="minorBidi"/>
          <w:szCs w:val="22"/>
        </w:rPr>
      </w:pPr>
      <w:r>
        <w:t>8.</w:t>
      </w:r>
      <w:r>
        <w:tab/>
        <w:t>Application for selection for course at college</w:t>
      </w:r>
      <w:r>
        <w:tab/>
      </w:r>
      <w:r>
        <w:fldChar w:fldCharType="begin"/>
      </w:r>
      <w:r>
        <w:instrText xml:space="preserve"> PAGEREF _Toc524930889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Late applications</w:t>
      </w:r>
      <w:r>
        <w:tab/>
      </w:r>
      <w:r>
        <w:fldChar w:fldCharType="begin"/>
      </w:r>
      <w:r>
        <w:instrText xml:space="preserve"> PAGEREF _Toc524930890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Assessing applicant on basis of experience, fee for</w:t>
      </w:r>
      <w:r>
        <w:tab/>
      </w:r>
      <w:r>
        <w:fldChar w:fldCharType="begin"/>
      </w:r>
      <w:r>
        <w:instrText xml:space="preserve"> PAGEREF _Toc524930891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Course fees</w:t>
      </w:r>
    </w:p>
    <w:p>
      <w:pPr>
        <w:pStyle w:val="TOC8"/>
        <w:rPr>
          <w:rFonts w:asciiTheme="minorHAnsi" w:eastAsiaTheme="minorEastAsia" w:hAnsiTheme="minorHAnsi" w:cstheme="minorBidi"/>
          <w:szCs w:val="22"/>
        </w:rPr>
      </w:pPr>
      <w:r>
        <w:t>13B.</w:t>
      </w:r>
      <w:r>
        <w:tab/>
        <w:t>Course fees for 2015 — Schedule 1</w:t>
      </w:r>
      <w:r>
        <w:tab/>
      </w:r>
      <w:r>
        <w:fldChar w:fldCharType="begin"/>
      </w:r>
      <w:r>
        <w:instrText xml:space="preserve"> PAGEREF _Toc524930893 \h </w:instrText>
      </w:r>
      <w:r>
        <w:fldChar w:fldCharType="separate"/>
      </w:r>
      <w:r>
        <w:t>9</w:t>
      </w:r>
      <w:r>
        <w:fldChar w:fldCharType="end"/>
      </w:r>
    </w:p>
    <w:p>
      <w:pPr>
        <w:pStyle w:val="TOC8"/>
        <w:rPr>
          <w:rFonts w:asciiTheme="minorHAnsi" w:eastAsiaTheme="minorEastAsia" w:hAnsiTheme="minorHAnsi" w:cstheme="minorBidi"/>
          <w:szCs w:val="22"/>
        </w:rPr>
      </w:pPr>
      <w:r>
        <w:t>13.</w:t>
      </w:r>
      <w:r>
        <w:tab/>
        <w:t>Courses exempt from course fees</w:t>
      </w:r>
      <w:r>
        <w:tab/>
      </w:r>
      <w:r>
        <w:fldChar w:fldCharType="begin"/>
      </w:r>
      <w:r>
        <w:instrText xml:space="preserve"> PAGEREF _Toc524930894 \h </w:instrText>
      </w:r>
      <w:r>
        <w:fldChar w:fldCharType="separate"/>
      </w:r>
      <w:r>
        <w:t>9</w:t>
      </w:r>
      <w:r>
        <w:fldChar w:fldCharType="end"/>
      </w:r>
    </w:p>
    <w:p>
      <w:pPr>
        <w:pStyle w:val="TOC8"/>
        <w:rPr>
          <w:rFonts w:asciiTheme="minorHAnsi" w:eastAsiaTheme="minorEastAsia" w:hAnsiTheme="minorHAnsi" w:cstheme="minorBidi"/>
          <w:szCs w:val="22"/>
        </w:rPr>
      </w:pPr>
      <w:r>
        <w:t>15A.</w:t>
      </w:r>
      <w:r>
        <w:tab/>
        <w:t>Course fees for overseas students</w:t>
      </w:r>
      <w:r>
        <w:tab/>
      </w:r>
      <w:r>
        <w:fldChar w:fldCharType="begin"/>
      </w:r>
      <w:r>
        <w:instrText xml:space="preserve"> PAGEREF _Toc524930895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Other fees</w:t>
      </w:r>
    </w:p>
    <w:p>
      <w:pPr>
        <w:pStyle w:val="TOC8"/>
        <w:rPr>
          <w:rFonts w:asciiTheme="minorHAnsi" w:eastAsiaTheme="minorEastAsia" w:hAnsiTheme="minorHAnsi" w:cstheme="minorBidi"/>
          <w:szCs w:val="22"/>
        </w:rPr>
      </w:pPr>
      <w:r>
        <w:t>16</w:t>
      </w:r>
      <w:r>
        <w:rPr>
          <w:snapToGrid w:val="0"/>
        </w:rPr>
        <w:t>.</w:t>
      </w:r>
      <w:r>
        <w:rPr>
          <w:snapToGrid w:val="0"/>
        </w:rPr>
        <w:tab/>
        <w:t>Colleges may determine other fees</w:t>
      </w:r>
      <w:r>
        <w:tab/>
      </w:r>
      <w:r>
        <w:fldChar w:fldCharType="begin"/>
      </w:r>
      <w:r>
        <w:instrText xml:space="preserve"> PAGEREF _Toc524930897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Enrolment</w:t>
      </w:r>
    </w:p>
    <w:p>
      <w:pPr>
        <w:pStyle w:val="TOC8"/>
        <w:rPr>
          <w:rFonts w:asciiTheme="minorHAnsi" w:eastAsiaTheme="minorEastAsia" w:hAnsiTheme="minorHAnsi" w:cstheme="minorBidi"/>
          <w:szCs w:val="22"/>
        </w:rPr>
      </w:pPr>
      <w:r>
        <w:t>17</w:t>
      </w:r>
      <w:r>
        <w:rPr>
          <w:snapToGrid w:val="0"/>
        </w:rPr>
        <w:t>.</w:t>
      </w:r>
      <w:r>
        <w:rPr>
          <w:snapToGrid w:val="0"/>
        </w:rPr>
        <w:tab/>
        <w:t>Enrolment as student at college</w:t>
      </w:r>
      <w:r>
        <w:tab/>
      </w:r>
      <w:r>
        <w:fldChar w:fldCharType="begin"/>
      </w:r>
      <w:r>
        <w:instrText xml:space="preserve"> PAGEREF _Toc524930899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enrolment at college may be refused</w:t>
      </w:r>
      <w:r>
        <w:tab/>
      </w:r>
      <w:r>
        <w:fldChar w:fldCharType="begin"/>
      </w:r>
      <w:r>
        <w:instrText xml:space="preserve"> PAGEREF _Toc524930900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Fee concessions, exemptions and refunds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Concessional rates of fees</w:t>
      </w:r>
    </w:p>
    <w:p>
      <w:pPr>
        <w:pStyle w:val="TOC8"/>
        <w:rPr>
          <w:rFonts w:asciiTheme="minorHAnsi" w:eastAsiaTheme="minorEastAsia" w:hAnsiTheme="minorHAnsi" w:cstheme="minorBidi"/>
          <w:szCs w:val="22"/>
        </w:rPr>
      </w:pPr>
      <w:r>
        <w:t>20</w:t>
      </w:r>
      <w:r>
        <w:rPr>
          <w:snapToGrid w:val="0"/>
        </w:rPr>
        <w:t>.</w:t>
      </w:r>
      <w:r>
        <w:rPr>
          <w:snapToGrid w:val="0"/>
        </w:rPr>
        <w:tab/>
        <w:t>Persons entitled to concessional rate of course fee</w:t>
      </w:r>
      <w:r>
        <w:tab/>
      </w:r>
      <w:r>
        <w:fldChar w:fldCharType="begin"/>
      </w:r>
      <w:r>
        <w:instrText xml:space="preserve"> PAGEREF _Toc524930903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Concessional rate for category 2 or 3 course where there is financial hardship</w:t>
      </w:r>
      <w:r>
        <w:tab/>
      </w:r>
      <w:r>
        <w:fldChar w:fldCharType="begin"/>
      </w:r>
      <w:r>
        <w:instrText xml:space="preserve"> PAGEREF _Toc524930904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Payment by instalment and exemption for severe financial hardship</w:t>
      </w:r>
    </w:p>
    <w:p>
      <w:pPr>
        <w:pStyle w:val="TOC8"/>
        <w:rPr>
          <w:rFonts w:asciiTheme="minorHAnsi" w:eastAsiaTheme="minorEastAsia" w:hAnsiTheme="minorHAnsi" w:cstheme="minorBidi"/>
          <w:szCs w:val="22"/>
        </w:rPr>
      </w:pPr>
      <w:r>
        <w:t>22</w:t>
      </w:r>
      <w:r>
        <w:rPr>
          <w:snapToGrid w:val="0"/>
        </w:rPr>
        <w:t>.</w:t>
      </w:r>
      <w:r>
        <w:rPr>
          <w:snapToGrid w:val="0"/>
        </w:rPr>
        <w:tab/>
        <w:t>Payment of certain fees by instalments</w:t>
      </w:r>
      <w:r>
        <w:tab/>
      </w:r>
      <w:r>
        <w:fldChar w:fldCharType="begin"/>
      </w:r>
      <w:r>
        <w:instrText xml:space="preserve"> PAGEREF _Toc524930906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 from fees if severe financial hardship</w:t>
      </w:r>
      <w:r>
        <w:tab/>
      </w:r>
      <w:r>
        <w:fldChar w:fldCharType="begin"/>
      </w:r>
      <w:r>
        <w:instrText xml:space="preserve"> PAGEREF _Toc524930907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Refund of fees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_Toc524930909 \h </w:instrText>
      </w:r>
      <w:r>
        <w:fldChar w:fldCharType="separate"/>
      </w:r>
      <w:r>
        <w:t>18</w:t>
      </w:r>
      <w:r>
        <w:fldChar w:fldCharType="end"/>
      </w:r>
    </w:p>
    <w:p>
      <w:pPr>
        <w:pStyle w:val="TOC8"/>
        <w:rPr>
          <w:rFonts w:asciiTheme="minorHAnsi" w:eastAsiaTheme="minorEastAsia" w:hAnsiTheme="minorHAnsi" w:cstheme="minorBidi"/>
          <w:szCs w:val="22"/>
        </w:rPr>
      </w:pPr>
      <w:r>
        <w:t>24B.</w:t>
      </w:r>
      <w:r>
        <w:tab/>
        <w:t>Withdrawing from course or unit, manner of</w:t>
      </w:r>
      <w:r>
        <w:tab/>
      </w:r>
      <w:r>
        <w:fldChar w:fldCharType="begin"/>
      </w:r>
      <w:r>
        <w:instrText xml:space="preserve"> PAGEREF _Toc524930910 \h </w:instrText>
      </w:r>
      <w:r>
        <w:fldChar w:fldCharType="separate"/>
      </w:r>
      <w:r>
        <w:t>19</w:t>
      </w:r>
      <w:r>
        <w:fldChar w:fldCharType="end"/>
      </w:r>
    </w:p>
    <w:p>
      <w:pPr>
        <w:pStyle w:val="TOC8"/>
        <w:rPr>
          <w:rFonts w:asciiTheme="minorHAnsi" w:eastAsiaTheme="minorEastAsia" w:hAnsiTheme="minorHAnsi" w:cstheme="minorBidi"/>
          <w:szCs w:val="22"/>
        </w:rPr>
      </w:pPr>
      <w:r>
        <w:t>24.</w:t>
      </w:r>
      <w:r>
        <w:tab/>
        <w:t>Refund of fees on cancellation etc. of course or unit</w:t>
      </w:r>
      <w:r>
        <w:tab/>
      </w:r>
      <w:r>
        <w:fldChar w:fldCharType="begin"/>
      </w:r>
      <w:r>
        <w:instrText xml:space="preserve"> PAGEREF _Toc524930911 \h </w:instrText>
      </w:r>
      <w:r>
        <w:fldChar w:fldCharType="separate"/>
      </w:r>
      <w:r>
        <w:t>19</w:t>
      </w:r>
      <w:r>
        <w:fldChar w:fldCharType="end"/>
      </w:r>
    </w:p>
    <w:p>
      <w:pPr>
        <w:pStyle w:val="TOC8"/>
        <w:rPr>
          <w:rFonts w:asciiTheme="minorHAnsi" w:eastAsiaTheme="minorEastAsia" w:hAnsiTheme="minorHAnsi" w:cstheme="minorBidi"/>
          <w:szCs w:val="22"/>
        </w:rPr>
      </w:pPr>
      <w:r>
        <w:t>25.</w:t>
      </w:r>
      <w:r>
        <w:tab/>
        <w:t>Full refund of certain fees if withdrawal within allowed period</w:t>
      </w:r>
      <w:r>
        <w:tab/>
      </w:r>
      <w:r>
        <w:fldChar w:fldCharType="begin"/>
      </w:r>
      <w:r>
        <w:instrText xml:space="preserve"> PAGEREF _Toc524930912 \h </w:instrText>
      </w:r>
      <w:r>
        <w:fldChar w:fldCharType="separate"/>
      </w:r>
      <w:r>
        <w:t>19</w:t>
      </w:r>
      <w:r>
        <w:fldChar w:fldCharType="end"/>
      </w:r>
    </w:p>
    <w:p>
      <w:pPr>
        <w:pStyle w:val="TOC8"/>
        <w:rPr>
          <w:rFonts w:asciiTheme="minorHAnsi" w:eastAsiaTheme="minorEastAsia" w:hAnsiTheme="minorHAnsi" w:cstheme="minorBidi"/>
          <w:szCs w:val="22"/>
        </w:rPr>
      </w:pPr>
      <w:r>
        <w:t>26.</w:t>
      </w:r>
      <w:r>
        <w:tab/>
        <w:t>Pro rata refund of fees if withdrawal after allowed period</w:t>
      </w:r>
      <w:r>
        <w:tab/>
      </w:r>
      <w:r>
        <w:fldChar w:fldCharType="begin"/>
      </w:r>
      <w:r>
        <w:instrText xml:space="preserve"> PAGEREF _Toc524930913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 — Common seals of colleges</w:t>
      </w:r>
    </w:p>
    <w:p>
      <w:pPr>
        <w:pStyle w:val="TOC8"/>
        <w:rPr>
          <w:rFonts w:asciiTheme="minorHAnsi" w:eastAsiaTheme="minorEastAsia" w:hAnsiTheme="minorHAnsi" w:cstheme="minorBidi"/>
          <w:szCs w:val="22"/>
        </w:rPr>
      </w:pPr>
      <w:r>
        <w:t>27</w:t>
      </w:r>
      <w:r>
        <w:rPr>
          <w:snapToGrid w:val="0"/>
        </w:rPr>
        <w:t>.</w:t>
      </w:r>
      <w:r>
        <w:rPr>
          <w:snapToGrid w:val="0"/>
        </w:rPr>
        <w:tab/>
        <w:t>Form</w:t>
      </w:r>
      <w:r>
        <w:tab/>
      </w:r>
      <w:r>
        <w:fldChar w:fldCharType="begin"/>
      </w:r>
      <w:r>
        <w:instrText xml:space="preserve"> PAGEREF _Toc524930915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Custody</w:t>
      </w:r>
      <w:r>
        <w:tab/>
      </w:r>
      <w:r>
        <w:fldChar w:fldCharType="begin"/>
      </w:r>
      <w:r>
        <w:instrText xml:space="preserve"> PAGEREF _Toc524930916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Use</w:t>
      </w:r>
      <w:r>
        <w:tab/>
      </w:r>
      <w:r>
        <w:fldChar w:fldCharType="begin"/>
      </w:r>
      <w:r>
        <w:instrText xml:space="preserve"> PAGEREF _Toc524930917 \h </w:instrText>
      </w:r>
      <w:r>
        <w:fldChar w:fldCharType="separate"/>
      </w:r>
      <w:r>
        <w:t>21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Attestation</w:t>
      </w:r>
      <w:r>
        <w:tab/>
      </w:r>
      <w:r>
        <w:fldChar w:fldCharType="begin"/>
      </w:r>
      <w:r>
        <w:instrText xml:space="preserve"> PAGEREF _Toc524930918 \h </w:instrText>
      </w:r>
      <w:r>
        <w:fldChar w:fldCharType="separate"/>
      </w:r>
      <w:r>
        <w:t>21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Seal book</w:t>
      </w:r>
      <w:r>
        <w:tab/>
      </w:r>
      <w:r>
        <w:fldChar w:fldCharType="begin"/>
      </w:r>
      <w:r>
        <w:instrText xml:space="preserve"> PAGEREF _Toc524930919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_Toc524930922 \h </w:instrText>
      </w:r>
      <w:r>
        <w:fldChar w:fldCharType="separate"/>
      </w:r>
      <w:r>
        <w:t>23</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_Toc524930923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480" w:after="600"/>
        <w:rPr>
          <w:snapToGrid w:val="0"/>
        </w:rPr>
      </w:pPr>
      <w:r>
        <w:rPr>
          <w:snapToGrid w:val="0"/>
        </w:rPr>
        <w:t>Vocational Education and Training Act 1996</w:t>
      </w:r>
    </w:p>
    <w:p>
      <w:pPr>
        <w:pStyle w:val="NameofActReg"/>
        <w:spacing w:before="600" w:after="840"/>
      </w:pPr>
      <w:r>
        <w:t>Vocational Education and Training (Colleges) Regulations 1996</w:t>
      </w:r>
    </w:p>
    <w:p>
      <w:pPr>
        <w:pStyle w:val="Heading2"/>
        <w:pageBreakBefore w:val="0"/>
        <w:spacing w:before="360"/>
      </w:pPr>
      <w:bookmarkStart w:id="3" w:name="_Toc524930875"/>
      <w:r>
        <w:rPr>
          <w:rStyle w:val="CharPartNo"/>
        </w:rPr>
        <w:t>Part 1</w:t>
      </w:r>
      <w:r>
        <w:rPr>
          <w:rStyle w:val="CharDivNo"/>
        </w:rPr>
        <w:t> </w:t>
      </w:r>
      <w:r>
        <w:t>—</w:t>
      </w:r>
      <w:r>
        <w:rPr>
          <w:rStyle w:val="CharDivText"/>
        </w:rPr>
        <w:t> </w:t>
      </w:r>
      <w:r>
        <w:rPr>
          <w:rStyle w:val="CharPartText"/>
        </w:rPr>
        <w:t>Preliminary</w:t>
      </w:r>
      <w:bookmarkEnd w:id="3"/>
    </w:p>
    <w:p>
      <w:pPr>
        <w:pStyle w:val="Heading5"/>
        <w:rPr>
          <w:snapToGrid w:val="0"/>
        </w:rPr>
      </w:pPr>
      <w:bookmarkStart w:id="4" w:name="_Toc524930876"/>
      <w:r>
        <w:rPr>
          <w:rStyle w:val="CharSectno"/>
        </w:rPr>
        <w:t>1</w:t>
      </w:r>
      <w:r>
        <w:rPr>
          <w:snapToGrid w:val="0"/>
        </w:rPr>
        <w:t>.</w:t>
      </w:r>
      <w:r>
        <w:rPr>
          <w:snapToGrid w:val="0"/>
        </w:rPr>
        <w:tab/>
        <w:t>Citation</w:t>
      </w:r>
      <w:bookmarkEnd w:id="4"/>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 xml:space="preserve"> </w:t>
      </w:r>
      <w:r>
        <w:rPr>
          <w:snapToGrid w:val="0"/>
          <w:vertAlign w:val="superscript"/>
        </w:rPr>
        <w:t>1</w:t>
      </w:r>
      <w:r>
        <w:rPr>
          <w:snapToGrid w:val="0"/>
        </w:rPr>
        <w:t>.</w:t>
      </w:r>
    </w:p>
    <w:p>
      <w:pPr>
        <w:pStyle w:val="Footnotesection"/>
      </w:pPr>
      <w:r>
        <w:tab/>
        <w:t>[Regulation 1 amended in Gazette 22 May 2009 p. 1693.]</w:t>
      </w:r>
    </w:p>
    <w:p>
      <w:pPr>
        <w:pStyle w:val="Heading5"/>
        <w:rPr>
          <w:snapToGrid w:val="0"/>
        </w:rPr>
      </w:pPr>
      <w:bookmarkStart w:id="5" w:name="_Toc524930877"/>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6" w:name="_Toc524930878"/>
      <w:r>
        <w:rPr>
          <w:rStyle w:val="CharSectno"/>
        </w:rPr>
        <w:t>3</w:t>
      </w:r>
      <w:r>
        <w:rPr>
          <w:snapToGrid w:val="0"/>
        </w:rPr>
        <w:t>.</w:t>
      </w:r>
      <w:r>
        <w:rPr>
          <w:snapToGrid w:val="0"/>
        </w:rPr>
        <w:tab/>
        <w:t>Terms used</w:t>
      </w:r>
      <w:bookmarkEnd w:id="6"/>
    </w:p>
    <w:p>
      <w:pPr>
        <w:pStyle w:val="Subsection"/>
      </w:pPr>
      <w:r>
        <w:tab/>
        <w:t>(1)</w:t>
      </w:r>
      <w:r>
        <w:tab/>
        <w:t>In these regulations, unless the contrary intention appears —</w:t>
      </w:r>
    </w:p>
    <w:p>
      <w:pPr>
        <w:pStyle w:val="Defstart"/>
      </w:pPr>
      <w:r>
        <w:rPr>
          <w:b/>
        </w:rPr>
        <w:tab/>
      </w:r>
      <w:r>
        <w:rPr>
          <w:rStyle w:val="CharDefText"/>
        </w:rPr>
        <w:t>category</w:t>
      </w:r>
      <w:r>
        <w:t>, in relation to a course, means the category into which the course is classified under regulation 4;</w:t>
      </w:r>
    </w:p>
    <w:p>
      <w:pPr>
        <w:pStyle w:val="Defstart"/>
      </w:pPr>
      <w:r>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course</w:t>
      </w:r>
      <w:r>
        <w:t xml:space="preserve"> means a VET course;</w:t>
      </w:r>
    </w:p>
    <w:p>
      <w:pPr>
        <w:pStyle w:val="Defstart"/>
      </w:pPr>
      <w:r>
        <w:tab/>
      </w:r>
      <w:r>
        <w:rPr>
          <w:rStyle w:val="CharDefText"/>
        </w:rPr>
        <w:t>course fee</w:t>
      </w:r>
      <w:r>
        <w:t>, in relation to a person, means the fee to be paid under regulation 17 by the person when enrolling as a student at a college;</w:t>
      </w:r>
    </w:p>
    <w:p>
      <w:pPr>
        <w:pStyle w:val="Defstart"/>
      </w:pPr>
      <w:r>
        <w:tab/>
      </w:r>
      <w:r>
        <w:rPr>
          <w:rStyle w:val="CharDefText"/>
        </w:rPr>
        <w:t>hours</w:t>
      </w:r>
      <w:r>
        <w:t xml:space="preserve"> for a unit of a course, means the nominal hours for the unit determined under regulation 3AA;</w:t>
      </w:r>
    </w:p>
    <w:p>
      <w:pPr>
        <w:pStyle w:val="Defstart"/>
      </w:pPr>
      <w:r>
        <w:tab/>
      </w:r>
      <w:r>
        <w:rPr>
          <w:rStyle w:val="CharDefText"/>
        </w:rPr>
        <w:t>secondary school aged person</w:t>
      </w:r>
      <w:r>
        <w:t xml:space="preserve"> means a person who has reached 15 years of age but has not reached the end of the calendar year in which their compulsory education period expires, as defined in the </w:t>
      </w:r>
      <w:r>
        <w:rPr>
          <w:i/>
        </w:rPr>
        <w:t>School Education Act 1999</w:t>
      </w:r>
      <w:r>
        <w:t xml:space="preserve"> section 4;</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pPr>
      <w:r>
        <w:tab/>
        <w:t>[(2)</w:t>
      </w:r>
      <w:r>
        <w:tab/>
        <w:t>deleted]</w:t>
      </w:r>
    </w:p>
    <w:p>
      <w:pPr>
        <w:pStyle w:val="Footnotesection"/>
      </w:pPr>
      <w:r>
        <w:tab/>
        <w:t>[Regulation 3 amended in Gazette 23 Dec 2005 p. 6246-7; 9 Nov 2007 p. 5605-6; 22 May 2009 p. 1693-4; 26 Jun 2009 p. 2566; 18 Dec 2009 p. 5172; 17 Dec 2013 p. 6255</w:t>
      </w:r>
      <w:r>
        <w:noBreakHyphen/>
        <w:t>6; 12 Dec 2014 p. 4739.]</w:t>
      </w:r>
    </w:p>
    <w:p>
      <w:pPr>
        <w:pStyle w:val="Heading5"/>
      </w:pPr>
      <w:bookmarkStart w:id="7" w:name="_Toc524930879"/>
      <w:r>
        <w:rPr>
          <w:rStyle w:val="CharSectno"/>
        </w:rPr>
        <w:t>3AA</w:t>
      </w:r>
      <w:r>
        <w:t>.</w:t>
      </w:r>
      <w:r>
        <w:tab/>
        <w:t>Nominal hours</w:t>
      </w:r>
      <w:bookmarkEnd w:id="7"/>
    </w:p>
    <w:p>
      <w:pPr>
        <w:pStyle w:val="Subsection"/>
      </w:pPr>
      <w:r>
        <w:tab/>
        <w:t>(1)</w:t>
      </w:r>
      <w:r>
        <w:tab/>
        <w:t xml:space="preserve">The </w:t>
      </w:r>
      <w:r>
        <w:rPr>
          <w:rStyle w:val="CharDefText"/>
        </w:rPr>
        <w:t>nominal hours</w:t>
      </w:r>
      <w:r>
        <w:t xml:space="preserve"> for a unit of a course means — </w:t>
      </w:r>
    </w:p>
    <w:p>
      <w:pPr>
        <w:pStyle w:val="Indenta"/>
      </w:pPr>
      <w:r>
        <w:tab/>
        <w:t>(a)</w:t>
      </w:r>
      <w:r>
        <w:tab/>
        <w:t>for a unit of a course accredited by the Council — the number of hours set out in the application to have the course accredited under section 58C of the Act as being the number of hours in which an average student could reasonably be expected to complete the unit; or</w:t>
      </w:r>
    </w:p>
    <w:p>
      <w:pPr>
        <w:pStyle w:val="Indenta"/>
      </w:pPr>
      <w:r>
        <w:tab/>
        <w:t>(b)</w:t>
      </w:r>
      <w:r>
        <w:tab/>
        <w:t xml:space="preserve">for a listed unit of competency that forms part of a listed training package, as referred to in the </w:t>
      </w:r>
      <w:r>
        <w:rPr>
          <w:i/>
        </w:rPr>
        <w:t>Vocational Education and Training (General) Regulations 2009</w:t>
      </w:r>
      <w:r>
        <w:t xml:space="preserve"> regulation 4 — the number of hours approved by the Minister as being the number of hours in which an average student could reasonably be expected to complete the unit; or</w:t>
      </w:r>
    </w:p>
    <w:p>
      <w:pPr>
        <w:pStyle w:val="Indenta"/>
      </w:pPr>
      <w:r>
        <w:tab/>
        <w:t>(c)</w:t>
      </w:r>
      <w:r>
        <w:tab/>
        <w:t>for a unit of a course accredited under a corresponding law — the number of hours set out in the application to have the course accredited under the corresponding law as being the number of hours in which an average student could reasonably be expected to complete the unit.</w:t>
      </w:r>
    </w:p>
    <w:p>
      <w:pPr>
        <w:pStyle w:val="Subsection"/>
      </w:pPr>
      <w:r>
        <w:tab/>
        <w:t>(2)</w:t>
      </w:r>
      <w:r>
        <w:tab/>
        <w:t>The chief executive must give public notice of the nominal hours for each unit, in such manner and at such times as the chief executive decides is appropriate, which may include on a website approved by the chief executive.</w:t>
      </w:r>
    </w:p>
    <w:p>
      <w:pPr>
        <w:pStyle w:val="Footnotesection"/>
      </w:pPr>
      <w:r>
        <w:tab/>
        <w:t>[Regulation 3AA inserted in Gazette 17 Dec 2013 p.</w:t>
      </w:r>
      <w:r>
        <w:rPr>
          <w:sz w:val="19"/>
        </w:rPr>
        <w:t> </w:t>
      </w:r>
      <w:r>
        <w:t>6256</w:t>
      </w:r>
      <w:r>
        <w:noBreakHyphen/>
        <w:t>7.]</w:t>
      </w:r>
    </w:p>
    <w:p>
      <w:pPr>
        <w:pStyle w:val="Heading2"/>
      </w:pPr>
      <w:bookmarkStart w:id="8" w:name="_Toc524930880"/>
      <w:r>
        <w:rPr>
          <w:rStyle w:val="CharPartNo"/>
        </w:rPr>
        <w:t>Part 2A</w:t>
      </w:r>
      <w:r>
        <w:rPr>
          <w:b w:val="0"/>
        </w:rPr>
        <w:t> </w:t>
      </w:r>
      <w:r>
        <w:t>—</w:t>
      </w:r>
      <w:r>
        <w:rPr>
          <w:b w:val="0"/>
        </w:rPr>
        <w:t> </w:t>
      </w:r>
      <w:r>
        <w:rPr>
          <w:rStyle w:val="CharPartText"/>
        </w:rPr>
        <w:t>Management of colleges</w:t>
      </w:r>
      <w:bookmarkEnd w:id="8"/>
    </w:p>
    <w:p>
      <w:pPr>
        <w:pStyle w:val="Footnoteheading"/>
      </w:pPr>
      <w:r>
        <w:tab/>
        <w:t>[Heading inserted in Gazette 22 May 2009 p. 1694.]</w:t>
      </w:r>
    </w:p>
    <w:p>
      <w:pPr>
        <w:pStyle w:val="Heading5"/>
      </w:pPr>
      <w:bookmarkStart w:id="9" w:name="_Toc524930881"/>
      <w:r>
        <w:rPr>
          <w:rStyle w:val="CharSectno"/>
        </w:rPr>
        <w:t>3A</w:t>
      </w:r>
      <w:r>
        <w:t>.</w:t>
      </w:r>
      <w:r>
        <w:tab/>
        <w:t>Period prescribed for strategic plans (Act s. 43(1))</w:t>
      </w:r>
      <w:bookmarkEnd w:id="9"/>
    </w:p>
    <w:p>
      <w:pPr>
        <w:pStyle w:val="Subsection"/>
      </w:pPr>
      <w:r>
        <w:tab/>
      </w:r>
      <w:r>
        <w:tab/>
        <w:t>For the purposes of section 43(1) of the Act, a college’s draft strategic plan must be for a period of 3 years.</w:t>
      </w:r>
    </w:p>
    <w:p>
      <w:pPr>
        <w:pStyle w:val="Footnotesection"/>
      </w:pPr>
      <w:r>
        <w:tab/>
        <w:t>[Regulation 3A inserted in Gazette 22 May 2009 p. 1694.]</w:t>
      </w:r>
    </w:p>
    <w:p>
      <w:pPr>
        <w:pStyle w:val="Heading2"/>
      </w:pPr>
      <w:bookmarkStart w:id="10" w:name="_Toc524930882"/>
      <w:r>
        <w:rPr>
          <w:rStyle w:val="CharPartNo"/>
        </w:rPr>
        <w:t>Part 2</w:t>
      </w:r>
      <w:r>
        <w:rPr>
          <w:rStyle w:val="CharDivNo"/>
        </w:rPr>
        <w:t> </w:t>
      </w:r>
      <w:r>
        <w:t>—</w:t>
      </w:r>
      <w:r>
        <w:rPr>
          <w:rStyle w:val="CharDivText"/>
        </w:rPr>
        <w:t> </w:t>
      </w:r>
      <w:r>
        <w:rPr>
          <w:rStyle w:val="CharPartText"/>
        </w:rPr>
        <w:t>Classification of courses</w:t>
      </w:r>
      <w:bookmarkEnd w:id="10"/>
      <w:r>
        <w:rPr>
          <w:rStyle w:val="CharPartText"/>
        </w:rPr>
        <w:t xml:space="preserve"> </w:t>
      </w:r>
    </w:p>
    <w:p>
      <w:pPr>
        <w:pStyle w:val="Footnoteheading"/>
      </w:pPr>
      <w:r>
        <w:tab/>
        <w:t>[Heading amended in Gazette 9 Nov 2007 p. 5606; 17 Dec 2013 p. 6257.]</w:t>
      </w:r>
    </w:p>
    <w:p>
      <w:pPr>
        <w:pStyle w:val="Heading5"/>
        <w:rPr>
          <w:snapToGrid w:val="0"/>
        </w:rPr>
      </w:pPr>
      <w:bookmarkStart w:id="11" w:name="_Toc524930883"/>
      <w:r>
        <w:rPr>
          <w:rStyle w:val="CharSectno"/>
        </w:rPr>
        <w:t>4</w:t>
      </w:r>
      <w:r>
        <w:rPr>
          <w:snapToGrid w:val="0"/>
        </w:rPr>
        <w:t>.</w:t>
      </w:r>
      <w:r>
        <w:rPr>
          <w:snapToGrid w:val="0"/>
        </w:rPr>
        <w:tab/>
        <w:t>Classification of courses</w:t>
      </w:r>
      <w:bookmarkEnd w:id="11"/>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w:t>
      </w:r>
    </w:p>
    <w:p>
      <w:pPr>
        <w:pStyle w:val="Indenta"/>
      </w:pPr>
      <w:r>
        <w:tab/>
        <w:t>(a)</w:t>
      </w:r>
      <w:r>
        <w:tab/>
        <w:t xml:space="preserve">category 1 is to consist of courses that — </w:t>
      </w:r>
    </w:p>
    <w:p>
      <w:pPr>
        <w:pStyle w:val="Indenti"/>
      </w:pPr>
      <w:r>
        <w:tab/>
        <w:t>(i)</w:t>
      </w:r>
      <w:r>
        <w:tab/>
        <w:t>are approved VET courses or result in the conferral of a prescribed VET qualification of one of the following types — Diploma or Advanced Diploma; and</w:t>
      </w:r>
    </w:p>
    <w:p>
      <w:pPr>
        <w:pStyle w:val="Indenti"/>
      </w:pPr>
      <w:r>
        <w:tab/>
        <w:t>(ii)</w:t>
      </w:r>
      <w:r>
        <w:tab/>
        <w:t>the Minister determines are priorities for industry training, apprenticeships or traineeships or are for general industry training;</w:t>
      </w:r>
    </w:p>
    <w:p>
      <w:pPr>
        <w:pStyle w:val="Indenta"/>
      </w:pPr>
      <w:r>
        <w:tab/>
        <w:t>(b)</w:t>
      </w:r>
      <w:r>
        <w:tab/>
        <w:t xml:space="preserve">category 2 is to consist of courses that — </w:t>
      </w:r>
    </w:p>
    <w:p>
      <w:pPr>
        <w:pStyle w:val="Indenti"/>
      </w:pPr>
      <w:r>
        <w:tab/>
        <w:t>(i)</w:t>
      </w:r>
      <w:r>
        <w:tab/>
        <w:t>are approved VET courses or result in the conferral of a prescribed VET qualification of one of the following types — Certificate I, II, III or IV; and</w:t>
      </w:r>
    </w:p>
    <w:p>
      <w:pPr>
        <w:pStyle w:val="Indenti"/>
      </w:pPr>
      <w:r>
        <w:tab/>
        <w:t>(ii)</w:t>
      </w:r>
      <w:r>
        <w:tab/>
        <w:t>the Minister determines are priorities for industry training, apprenticeships or traineeships;</w:t>
      </w:r>
    </w:p>
    <w:p>
      <w:pPr>
        <w:pStyle w:val="Indenta"/>
      </w:pPr>
      <w:r>
        <w:tab/>
        <w:t>(c)</w:t>
      </w:r>
      <w:r>
        <w:tab/>
        <w:t xml:space="preserve">category 3 is to consist of courses that — </w:t>
      </w:r>
    </w:p>
    <w:p>
      <w:pPr>
        <w:pStyle w:val="Indenti"/>
      </w:pPr>
      <w:r>
        <w:tab/>
        <w:t>(i)</w:t>
      </w:r>
      <w:r>
        <w:tab/>
        <w:t>are approved VET courses or result in the conferral of a prescribed VET qualification of one of the following types — Certificate I, II, III or IV; and</w:t>
      </w:r>
    </w:p>
    <w:p>
      <w:pPr>
        <w:pStyle w:val="Indenti"/>
      </w:pPr>
      <w:r>
        <w:tab/>
        <w:t>(ii)</w:t>
      </w:r>
      <w:r>
        <w:tab/>
        <w:t>the Minister determines are for general industry training;</w:t>
      </w:r>
    </w:p>
    <w:p>
      <w:pPr>
        <w:pStyle w:val="Indenta"/>
      </w:pPr>
      <w:r>
        <w:tab/>
        <w:t>(d)</w:t>
      </w:r>
      <w:r>
        <w:tab/>
        <w:t xml:space="preserve">category 4 is to consist of courses that the Minister determines are — </w:t>
      </w:r>
    </w:p>
    <w:p>
      <w:pPr>
        <w:pStyle w:val="Indenti"/>
      </w:pPr>
      <w:r>
        <w:tab/>
        <w:t>(i)</w:t>
      </w:r>
      <w:r>
        <w:tab/>
        <w:t>foundation skills training; or</w:t>
      </w:r>
    </w:p>
    <w:p>
      <w:pPr>
        <w:pStyle w:val="Indenti"/>
      </w:pPr>
      <w:r>
        <w:tab/>
        <w:t>(ii)</w:t>
      </w:r>
      <w:r>
        <w:tab/>
        <w:t>intended to promote equality of opportunity in gaining access to vocational education and training or employment.</w:t>
      </w:r>
    </w:p>
    <w:p>
      <w:pPr>
        <w:pStyle w:val="Subsection"/>
      </w:pPr>
      <w:r>
        <w:tab/>
        <w:t>(3A)</w:t>
      </w:r>
      <w:r>
        <w:tab/>
        <w:t>Despite subregulation (1), if a course that results in the conferral of a Diploma or an Advanced Diploma is also an apprenticeship course, the Minister may, in the instrument referred to in that subregulation, classify the course as a category 2 course.</w:t>
      </w:r>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Footnotesection"/>
      </w:pPr>
      <w:r>
        <w:tab/>
        <w:t>[Regulation 4 amended in Gazette 18 Dec 2009 p. 5172; 17 Dec 2013 p. 6257</w:t>
      </w:r>
      <w:r>
        <w:noBreakHyphen/>
        <w:t>9.]</w:t>
      </w:r>
    </w:p>
    <w:p>
      <w:pPr>
        <w:pStyle w:val="Ednotesection"/>
      </w:pPr>
      <w:r>
        <w:t>[</w:t>
      </w:r>
      <w:r>
        <w:rPr>
          <w:b/>
        </w:rPr>
        <w:t>4A, 4B.</w:t>
      </w:r>
      <w:r>
        <w:tab/>
        <w:t>Deleted in Gazette 17 Dec 2013 p. 6259.]</w:t>
      </w:r>
    </w:p>
    <w:p>
      <w:pPr>
        <w:pStyle w:val="Heading2"/>
      </w:pPr>
      <w:bookmarkStart w:id="12" w:name="_Toc524930884"/>
      <w:r>
        <w:rPr>
          <w:rStyle w:val="CharPartNo"/>
        </w:rPr>
        <w:t>Part 3</w:t>
      </w:r>
      <w:r>
        <w:t> — </w:t>
      </w:r>
      <w:r>
        <w:rPr>
          <w:rStyle w:val="CharPartText"/>
        </w:rPr>
        <w:t>Selection and fees</w:t>
      </w:r>
      <w:bookmarkEnd w:id="12"/>
    </w:p>
    <w:p>
      <w:pPr>
        <w:pStyle w:val="Heading3"/>
      </w:pPr>
      <w:bookmarkStart w:id="13" w:name="_Toc524930885"/>
      <w:r>
        <w:rPr>
          <w:rStyle w:val="CharDivNo"/>
        </w:rPr>
        <w:t>Division 1</w:t>
      </w:r>
      <w:r>
        <w:rPr>
          <w:snapToGrid w:val="0"/>
        </w:rPr>
        <w:t> — </w:t>
      </w:r>
      <w:r>
        <w:rPr>
          <w:rStyle w:val="CharDivText"/>
        </w:rPr>
        <w:t>Selection for certain courses, and fees</w:t>
      </w:r>
      <w:bookmarkEnd w:id="13"/>
    </w:p>
    <w:p>
      <w:pPr>
        <w:pStyle w:val="Footnoteheading"/>
      </w:pPr>
      <w:r>
        <w:tab/>
        <w:t>[Heading amended in Gazette 17 Dec 2013 p. 6259.]</w:t>
      </w:r>
    </w:p>
    <w:p>
      <w:pPr>
        <w:pStyle w:val="Heading5"/>
        <w:rPr>
          <w:snapToGrid w:val="0"/>
        </w:rPr>
      </w:pPr>
      <w:bookmarkStart w:id="14" w:name="_Toc524930886"/>
      <w:r>
        <w:rPr>
          <w:rStyle w:val="CharSectno"/>
        </w:rPr>
        <w:t>5</w:t>
      </w:r>
      <w:r>
        <w:rPr>
          <w:snapToGrid w:val="0"/>
        </w:rPr>
        <w:t>.</w:t>
      </w:r>
      <w:r>
        <w:rPr>
          <w:snapToGrid w:val="0"/>
        </w:rPr>
        <w:tab/>
        <w:t>Terms used</w:t>
      </w:r>
      <w:bookmarkEnd w:id="14"/>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Defstart"/>
      </w:pPr>
      <w:r>
        <w:tab/>
      </w:r>
      <w:r>
        <w:rPr>
          <w:rStyle w:val="CharDefText"/>
        </w:rPr>
        <w:t>course</w:t>
      </w:r>
      <w:r>
        <w:t xml:space="preserve"> means a category 1, 2 or 3 course.</w:t>
      </w:r>
    </w:p>
    <w:p>
      <w:pPr>
        <w:pStyle w:val="Footnotesection"/>
      </w:pPr>
      <w:r>
        <w:tab/>
        <w:t>[Regulation 5 amended in Gazette 17 Dec 2013 p.</w:t>
      </w:r>
      <w:r>
        <w:rPr>
          <w:sz w:val="19"/>
        </w:rPr>
        <w:t> </w:t>
      </w:r>
      <w:r>
        <w:t>6259; 12 Dec 2014 p. 4739.]</w:t>
      </w:r>
    </w:p>
    <w:p>
      <w:pPr>
        <w:pStyle w:val="Heading5"/>
        <w:rPr>
          <w:snapToGrid w:val="0"/>
        </w:rPr>
      </w:pPr>
      <w:bookmarkStart w:id="15" w:name="_Toc524930887"/>
      <w:r>
        <w:rPr>
          <w:rStyle w:val="CharSectno"/>
        </w:rPr>
        <w:t>6</w:t>
      </w:r>
      <w:r>
        <w:rPr>
          <w:snapToGrid w:val="0"/>
        </w:rPr>
        <w:t>.</w:t>
      </w:r>
      <w:r>
        <w:rPr>
          <w:snapToGrid w:val="0"/>
        </w:rPr>
        <w:tab/>
        <w:t>Application of this Division</w:t>
      </w:r>
      <w:bookmarkEnd w:id="15"/>
    </w:p>
    <w:p>
      <w:pPr>
        <w:pStyle w:val="Subsection"/>
        <w:rPr>
          <w:snapToGrid w:val="0"/>
        </w:rPr>
      </w:pPr>
      <w:r>
        <w:rPr>
          <w:snapToGrid w:val="0"/>
        </w:rPr>
        <w:tab/>
        <w:t>(1)</w:t>
      </w:r>
      <w:r>
        <w:rPr>
          <w:snapToGrid w:val="0"/>
        </w:rPr>
        <w:tab/>
        <w:t>This Division does not apply to a course if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 9 Nov 2007 p. 5607.]</w:t>
      </w:r>
    </w:p>
    <w:p>
      <w:pPr>
        <w:pStyle w:val="Heading5"/>
        <w:rPr>
          <w:snapToGrid w:val="0"/>
        </w:rPr>
      </w:pPr>
      <w:bookmarkStart w:id="16" w:name="_Toc524930888"/>
      <w:r>
        <w:rPr>
          <w:rStyle w:val="CharSectno"/>
        </w:rPr>
        <w:t>7</w:t>
      </w:r>
      <w:r>
        <w:rPr>
          <w:snapToGrid w:val="0"/>
        </w:rPr>
        <w:t>.</w:t>
      </w:r>
      <w:r>
        <w:rPr>
          <w:snapToGrid w:val="0"/>
        </w:rPr>
        <w:tab/>
        <w:t>Admissions Manager, designation and functions of</w:t>
      </w:r>
      <w:bookmarkEnd w:id="16"/>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courses on behalf of colleges.</w:t>
      </w:r>
    </w:p>
    <w:p>
      <w:pPr>
        <w:pStyle w:val="Footnotesection"/>
      </w:pPr>
      <w:r>
        <w:tab/>
        <w:t>[Regulation 7 amended in Gazette 9 Nov 2007 p. 5607; 17 Dec 2013 p. 6259.]</w:t>
      </w:r>
    </w:p>
    <w:p>
      <w:pPr>
        <w:pStyle w:val="Heading5"/>
      </w:pPr>
      <w:bookmarkStart w:id="17" w:name="_Toc524930889"/>
      <w:r>
        <w:rPr>
          <w:rStyle w:val="CharSectno"/>
        </w:rPr>
        <w:t>8</w:t>
      </w:r>
      <w:r>
        <w:t>.</w:t>
      </w:r>
      <w:r>
        <w:tab/>
        <w:t>Application for selection for course at college</w:t>
      </w:r>
      <w:bookmarkEnd w:id="17"/>
    </w:p>
    <w:p>
      <w:pPr>
        <w:pStyle w:val="Subsection"/>
      </w:pPr>
      <w:r>
        <w:tab/>
      </w:r>
      <w:r>
        <w:tab/>
        <w:t>A person who wishes to be selected for a course provided by a college must apply in writing to the Admissions Manager for selection.</w:t>
      </w:r>
    </w:p>
    <w:p>
      <w:pPr>
        <w:pStyle w:val="Footnotesection"/>
      </w:pPr>
      <w:r>
        <w:tab/>
        <w:t>[Regulation 8 inserted in Gazette 9 Nov 2007 p. 5607.]</w:t>
      </w:r>
    </w:p>
    <w:p>
      <w:pPr>
        <w:pStyle w:val="Heading5"/>
        <w:rPr>
          <w:snapToGrid w:val="0"/>
        </w:rPr>
      </w:pPr>
      <w:bookmarkStart w:id="18" w:name="_Toc524930890"/>
      <w:r>
        <w:rPr>
          <w:rStyle w:val="CharSectno"/>
        </w:rPr>
        <w:t>9</w:t>
      </w:r>
      <w:r>
        <w:rPr>
          <w:snapToGrid w:val="0"/>
        </w:rPr>
        <w:t>.</w:t>
      </w:r>
      <w:r>
        <w:rPr>
          <w:snapToGrid w:val="0"/>
        </w:rPr>
        <w:tab/>
        <w:t>Late applications</w:t>
      </w:r>
      <w:bookmarkEnd w:id="18"/>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r>
        <w:tab/>
        <w:t>(2)</w:t>
      </w:r>
      <w:r>
        <w:tab/>
        <w:t>A person who makes an application under regulation 8 that is a late application must pay the late application fee set out in Schedule 1 item 1.</w:t>
      </w:r>
    </w:p>
    <w:p>
      <w:pPr>
        <w:pStyle w:val="Footnotesection"/>
      </w:pPr>
      <w:r>
        <w:tab/>
        <w:t>[Regulation 9 amended in Gazette 9 Nov 2007 p. 5607; 17 Dec 2013 p. 6259; 12 Dec 2014 p. 4739.]</w:t>
      </w:r>
    </w:p>
    <w:p>
      <w:pPr>
        <w:pStyle w:val="Heading5"/>
        <w:rPr>
          <w:snapToGrid w:val="0"/>
        </w:rPr>
      </w:pPr>
      <w:bookmarkStart w:id="19" w:name="_Toc524930891"/>
      <w:r>
        <w:rPr>
          <w:rStyle w:val="CharSectno"/>
        </w:rPr>
        <w:t>10</w:t>
      </w:r>
      <w:r>
        <w:rPr>
          <w:snapToGrid w:val="0"/>
        </w:rPr>
        <w:t>.</w:t>
      </w:r>
      <w:r>
        <w:rPr>
          <w:snapToGrid w:val="0"/>
        </w:rPr>
        <w:tab/>
        <w:t>Assessing applicant on basis of experience, fee for</w:t>
      </w:r>
      <w:bookmarkEnd w:id="19"/>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r>
        <w:tab/>
        <w:t>(2)</w:t>
      </w:r>
      <w:r>
        <w:tab/>
        <w:t>The fee determined under subregulation (1) must not exceed $70.</w:t>
      </w:r>
    </w:p>
    <w:p>
      <w:pPr>
        <w:pStyle w:val="Footnotesection"/>
        <w:ind w:left="890" w:hanging="890"/>
      </w:pPr>
      <w:r>
        <w:tab/>
        <w:t>[Regulation 10 amended in Gazette 9 Nov 2007 p. 5607.]</w:t>
      </w:r>
    </w:p>
    <w:p>
      <w:pPr>
        <w:pStyle w:val="Heading3"/>
        <w:keepLines/>
      </w:pPr>
      <w:bookmarkStart w:id="20" w:name="_Toc524930892"/>
      <w:r>
        <w:rPr>
          <w:rStyle w:val="CharDivNo"/>
        </w:rPr>
        <w:t>Division 2</w:t>
      </w:r>
      <w:r>
        <w:t> — </w:t>
      </w:r>
      <w:r>
        <w:rPr>
          <w:rStyle w:val="CharDivText"/>
        </w:rPr>
        <w:t>Course fees</w:t>
      </w:r>
      <w:bookmarkEnd w:id="20"/>
    </w:p>
    <w:p>
      <w:pPr>
        <w:pStyle w:val="Footnoteheading"/>
        <w:keepNext/>
        <w:keepLines/>
      </w:pPr>
      <w:r>
        <w:tab/>
        <w:t>[Heading inserted in Gazette 23 Dec 2005 p. 6247.]</w:t>
      </w:r>
    </w:p>
    <w:p>
      <w:pPr>
        <w:pStyle w:val="Ednotesubdivision"/>
      </w:pPr>
      <w:r>
        <w:t>[Subdivision 1 (r. 11-13A) deleted in Gazette 12 Dec 2014 p. 4739.]</w:t>
      </w:r>
    </w:p>
    <w:p>
      <w:pPr>
        <w:pStyle w:val="Ednotesubdivision"/>
      </w:pPr>
      <w:r>
        <w:t>[Heading deleted in Gazette 12 Dec 2014 p. 4740.]</w:t>
      </w:r>
    </w:p>
    <w:p>
      <w:pPr>
        <w:pStyle w:val="Heading5"/>
      </w:pPr>
      <w:bookmarkStart w:id="21" w:name="_Toc524930893"/>
      <w:r>
        <w:rPr>
          <w:rStyle w:val="CharSectno"/>
        </w:rPr>
        <w:t>13B</w:t>
      </w:r>
      <w:r>
        <w:t>.</w:t>
      </w:r>
      <w:r>
        <w:tab/>
        <w:t>Course fees for 2015 — Schedule 1</w:t>
      </w:r>
      <w:bookmarkEnd w:id="21"/>
    </w:p>
    <w:p>
      <w:pPr>
        <w:pStyle w:val="Subsection"/>
      </w:pPr>
      <w:r>
        <w:tab/>
        <w:t>(1)</w:t>
      </w:r>
      <w:r>
        <w:tab/>
        <w:t xml:space="preserve">The course fee for a unit of a course to be commenced by a student in 2015 is as follows — </w:t>
      </w:r>
    </w:p>
    <w:p>
      <w:pPr>
        <w:pStyle w:val="Indenta"/>
      </w:pPr>
      <w:r>
        <w:tab/>
        <w:t>(a)</w:t>
      </w:r>
      <w:r>
        <w:tab/>
        <w:t xml:space="preserve">the relevant fee determined in accordance with Schedule 1 item 2, 3, 4 or 5 (the </w:t>
      </w:r>
      <w:r>
        <w:rPr>
          <w:b/>
          <w:i/>
        </w:rPr>
        <w:t>unit fee</w:t>
      </w:r>
      <w:r>
        <w:t>);</w:t>
      </w:r>
    </w:p>
    <w:p>
      <w:pPr>
        <w:pStyle w:val="Indenta"/>
      </w:pPr>
      <w:r>
        <w:tab/>
        <w:t>(b)</w:t>
      </w:r>
      <w:r>
        <w:tab/>
        <w:t>if more than one unit is to be commenced — the sum of the unit fees for each unit to be commenced.</w:t>
      </w:r>
    </w:p>
    <w:p>
      <w:pPr>
        <w:pStyle w:val="Subsection"/>
      </w:pPr>
      <w:r>
        <w:tab/>
        <w:t>(2)</w:t>
      </w:r>
      <w:r>
        <w:tab/>
        <w:t>Subregulation (1) does not apply to a course or unit for which there is a determination in force under regulation 15A.</w:t>
      </w:r>
    </w:p>
    <w:p>
      <w:pPr>
        <w:pStyle w:val="Subsection"/>
      </w:pPr>
      <w:r>
        <w:tab/>
        <w:t>(3)</w:t>
      </w:r>
      <w:r>
        <w:tab/>
        <w:t>Despite subregulation (1), the maximum amount of course fee payable in 2015 by a student who is not a secondary school aged person is $7 700 for each course, that the student is enrolled in one or more than one unit of, that, if successfully completed, would result in the conferral of a prescribed VET qualification of a Diploma or Advanced Diploma.</w:t>
      </w:r>
    </w:p>
    <w:p>
      <w:pPr>
        <w:pStyle w:val="Subsection"/>
      </w:pPr>
      <w:r>
        <w:tab/>
        <w:t>(4)</w:t>
      </w:r>
      <w:r>
        <w:tab/>
        <w:t>Despite subregulation (1), the maximum amount of course fee payable in 2015 by a student who is a secondary school aged person is $410.</w:t>
      </w:r>
    </w:p>
    <w:p>
      <w:pPr>
        <w:pStyle w:val="Footnotesection"/>
        <w:ind w:left="890" w:hanging="890"/>
      </w:pPr>
      <w:r>
        <w:tab/>
        <w:t>[Regulation 13B inserted in Gazette 12 Dec 2014 p. 4740.]</w:t>
      </w:r>
    </w:p>
    <w:p>
      <w:pPr>
        <w:pStyle w:val="Heading5"/>
        <w:spacing w:before="180"/>
      </w:pPr>
      <w:bookmarkStart w:id="22" w:name="_Toc524930894"/>
      <w:r>
        <w:rPr>
          <w:rStyle w:val="CharSectno"/>
        </w:rPr>
        <w:t>13</w:t>
      </w:r>
      <w:r>
        <w:t>.</w:t>
      </w:r>
      <w:r>
        <w:tab/>
        <w:t>Courses exempt from course fees</w:t>
      </w:r>
      <w:bookmarkEnd w:id="22"/>
    </w:p>
    <w:p>
      <w:pPr>
        <w:pStyle w:val="Ednotesubsection"/>
      </w:pPr>
      <w:r>
        <w:tab/>
        <w:t>[(1)</w:t>
      </w:r>
      <w:r>
        <w:tab/>
        <w:t>deleted]</w:t>
      </w:r>
    </w:p>
    <w:p>
      <w:pPr>
        <w:pStyle w:val="Subsection"/>
        <w:keepNext/>
      </w:pPr>
      <w:r>
        <w:tab/>
        <w:t>(2)</w:t>
      </w:r>
      <w:r>
        <w:tab/>
        <w:t xml:space="preserve">No course fee is payable for the following category 4 courses if the person enrolling in the course is also enrolled for a category 1, 2 or 3 course — </w:t>
      </w:r>
    </w:p>
    <w:p>
      <w:pPr>
        <w:pStyle w:val="Indenta"/>
      </w:pPr>
      <w:r>
        <w:tab/>
        <w:t>(a)</w:t>
      </w:r>
      <w:r>
        <w:tab/>
        <w:t>Course in Applied Vocational Study Skills (CAVSS);</w:t>
      </w:r>
    </w:p>
    <w:p>
      <w:pPr>
        <w:pStyle w:val="Indenta"/>
      </w:pPr>
      <w:r>
        <w:tab/>
        <w:t>(b)</w:t>
      </w:r>
      <w:r>
        <w:tab/>
        <w:t>Course in Underpinning Skills for Industry Qualifications (USIQ).</w:t>
      </w:r>
    </w:p>
    <w:p>
      <w:pPr>
        <w:pStyle w:val="Subsection"/>
      </w:pPr>
      <w:r>
        <w:tab/>
        <w:t>(3)</w:t>
      </w:r>
      <w:r>
        <w:tab/>
        <w:t xml:space="preserve">No course fee is payable for a course undertaken — </w:t>
      </w:r>
    </w:p>
    <w:p>
      <w:pPr>
        <w:pStyle w:val="Indenta"/>
      </w:pPr>
      <w:r>
        <w:tab/>
        <w:t>(a)</w:t>
      </w:r>
      <w:r>
        <w:tab/>
        <w:t xml:space="preserve">by a person enrolled on a full-time basis at a school, as defined in the </w:t>
      </w:r>
      <w:r>
        <w:rPr>
          <w:i/>
        </w:rPr>
        <w:t>School Education Act 1999</w:t>
      </w:r>
      <w:r>
        <w:t xml:space="preserve"> section 4; and</w:t>
      </w:r>
    </w:p>
    <w:p>
      <w:pPr>
        <w:pStyle w:val="Indenta"/>
      </w:pPr>
      <w:r>
        <w:tab/>
        <w:t>(b)</w:t>
      </w:r>
      <w:r>
        <w:tab/>
        <w:t xml:space="preserve">as part of a requirement for graduation from secondary school and the issue of a certificate of student achievement under the </w:t>
      </w:r>
      <w:r>
        <w:rPr>
          <w:i/>
        </w:rPr>
        <w:t>School Curriculum and Standards Authority Act 1997</w:t>
      </w:r>
      <w:r>
        <w:t>.</w:t>
      </w:r>
    </w:p>
    <w:p>
      <w:pPr>
        <w:pStyle w:val="Footnotesection"/>
        <w:ind w:left="890" w:hanging="890"/>
      </w:pPr>
      <w:r>
        <w:tab/>
        <w:t>[Regulation 13 inserted in Gazette 31 Dec 2008 p. 5682; amended in Gazette 18 Dec 2009 p. 5173; 17 Dec 2013 p. 6263</w:t>
      </w:r>
      <w:r>
        <w:noBreakHyphen/>
        <w:t>4; 12 Dec 2014 p. 4740.]</w:t>
      </w:r>
    </w:p>
    <w:p>
      <w:pPr>
        <w:pStyle w:val="Ednotesection"/>
        <w:ind w:left="890" w:hanging="890"/>
      </w:pPr>
      <w:r>
        <w:t>[</w:t>
      </w:r>
      <w:r>
        <w:rPr>
          <w:b/>
          <w:bCs/>
        </w:rPr>
        <w:t>14.</w:t>
      </w:r>
      <w:r>
        <w:rPr>
          <w:b/>
          <w:bCs/>
        </w:rPr>
        <w:tab/>
      </w:r>
      <w:r>
        <w:t>Deleted in Gazette 12 Oct 2012 p. 4853.]</w:t>
      </w:r>
    </w:p>
    <w:p>
      <w:pPr>
        <w:pStyle w:val="Ednotesection"/>
        <w:ind w:left="890" w:hanging="890"/>
      </w:pPr>
      <w:r>
        <w:t>[</w:t>
      </w:r>
      <w:r>
        <w:rPr>
          <w:b/>
          <w:bCs/>
        </w:rPr>
        <w:t>15.</w:t>
      </w:r>
      <w:r>
        <w:rPr>
          <w:b/>
          <w:bCs/>
        </w:rPr>
        <w:tab/>
      </w:r>
      <w:r>
        <w:t>Deleted in Gazette 23 Dec 2005 p. 6247.]</w:t>
      </w:r>
    </w:p>
    <w:p>
      <w:pPr>
        <w:pStyle w:val="Heading5"/>
      </w:pPr>
      <w:bookmarkStart w:id="23" w:name="_Toc524930895"/>
      <w:r>
        <w:rPr>
          <w:rStyle w:val="CharSectno"/>
        </w:rPr>
        <w:t>15A</w:t>
      </w:r>
      <w:r>
        <w:t>.</w:t>
      </w:r>
      <w:r>
        <w:tab/>
        <w:t>Course fees for overseas students</w:t>
      </w:r>
      <w:bookmarkEnd w:id="23"/>
    </w:p>
    <w:p>
      <w:pPr>
        <w:pStyle w:val="Subsection"/>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13B.</w:t>
      </w:r>
    </w:p>
    <w:p>
      <w:pPr>
        <w:pStyle w:val="Subsection"/>
      </w:pPr>
      <w:r>
        <w:tab/>
        <w:t>(2)</w:t>
      </w:r>
      <w:r>
        <w:tab/>
        <w:t>The Minister may by instrument issued to the relevant college or colleges determine the course fee for a course for students who are not Australian residents.</w:t>
      </w:r>
    </w:p>
    <w:p>
      <w:pPr>
        <w:pStyle w:val="Subsection"/>
      </w:pPr>
      <w:r>
        <w:tab/>
        <w:t>(3)</w:t>
      </w:r>
      <w:r>
        <w:tab/>
        <w:t>The Minister may determine different fees for different courses, different units or different students based on —</w:t>
      </w:r>
    </w:p>
    <w:p>
      <w:pPr>
        <w:pStyle w:val="Indenta"/>
      </w:pPr>
      <w:r>
        <w:tab/>
        <w:t>(a)</w:t>
      </w:r>
      <w:r>
        <w:tab/>
        <w:t>the categories of the course; or</w:t>
      </w:r>
    </w:p>
    <w:p>
      <w:pPr>
        <w:pStyle w:val="Indenta"/>
      </w:pPr>
      <w:r>
        <w:tab/>
        <w:t>(b)</w:t>
      </w:r>
      <w:r>
        <w:tab/>
        <w:t>the subject matter of the course or unit; or</w:t>
      </w:r>
    </w:p>
    <w:p>
      <w:pPr>
        <w:pStyle w:val="Indenta"/>
      </w:pPr>
      <w:r>
        <w:tab/>
        <w:t>(c)</w:t>
      </w:r>
      <w:r>
        <w:tab/>
        <w:t>which college provides the course or unit; or</w:t>
      </w:r>
    </w:p>
    <w:p>
      <w:pPr>
        <w:pStyle w:val="Indenta"/>
      </w:pPr>
      <w:r>
        <w:tab/>
        <w:t>(d)</w:t>
      </w:r>
      <w:r>
        <w:tab/>
        <w:t>the country of origin of the student; or</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keepNext/>
      </w:pPr>
      <w:r>
        <w:tab/>
        <w:t>(4)</w:t>
      </w:r>
      <w:r>
        <w:tab/>
        <w:t>In this regulation —</w:t>
      </w:r>
    </w:p>
    <w:p>
      <w:pPr>
        <w:pStyle w:val="Defstart"/>
        <w:keepNext/>
        <w:keepLines/>
      </w:pPr>
      <w:r>
        <w:tab/>
      </w:r>
      <w:r>
        <w:rPr>
          <w:rStyle w:val="CharDefText"/>
        </w:rPr>
        <w:t>Australian resident</w:t>
      </w:r>
      <w:r>
        <w:t xml:space="preserve"> means a person who —</w:t>
      </w:r>
    </w:p>
    <w:p>
      <w:pPr>
        <w:pStyle w:val="Defpara"/>
      </w:pPr>
      <w:r>
        <w:tab/>
        <w:t>(a)</w:t>
      </w:r>
      <w:r>
        <w:tab/>
        <w:t xml:space="preserve">is an Australian citizen within the meaning of the </w:t>
      </w:r>
      <w:r>
        <w:rPr>
          <w:i/>
        </w:rPr>
        <w:t>Australian Citizenship Act 1948</w:t>
      </w:r>
      <w:r>
        <w:rPr>
          <w:iCs/>
          <w:vertAlign w:val="superscript"/>
        </w:rPr>
        <w:t> 2</w:t>
      </w:r>
      <w:r>
        <w:t xml:space="preserve"> of the Commonwealth; or</w:t>
      </w:r>
    </w:p>
    <w:p>
      <w:pPr>
        <w:pStyle w:val="Defpara"/>
      </w:pPr>
      <w:r>
        <w:tab/>
        <w:t>(b)</w:t>
      </w:r>
      <w:r>
        <w:tab/>
        <w:t>holds —</w:t>
      </w:r>
    </w:p>
    <w:p>
      <w:pPr>
        <w:pStyle w:val="Defsubpara"/>
      </w:pPr>
      <w:r>
        <w:tab/>
        <w:t>(i)</w:t>
      </w:r>
      <w:r>
        <w:tab/>
        <w:t xml:space="preserve">a permanent visa within the meaning of the </w:t>
      </w:r>
      <w:r>
        <w:rPr>
          <w:i/>
          <w:iCs/>
        </w:rPr>
        <w:t>Migration Act 1958</w:t>
      </w:r>
      <w:r>
        <w:t xml:space="preserve"> of the Commonwealth; or</w:t>
      </w:r>
    </w:p>
    <w:p>
      <w:pPr>
        <w:pStyle w:val="Defsubpara"/>
      </w:pPr>
      <w:r>
        <w:tab/>
        <w:t>(ii)</w:t>
      </w:r>
      <w:r>
        <w:tab/>
        <w:t xml:space="preserve">a visa of subclass 309, 310, 820, 826 or 851 within the meaning of the </w:t>
      </w:r>
      <w:r>
        <w:rPr>
          <w:i/>
          <w:iCs/>
        </w:rPr>
        <w:t>Migration Regulations 1994</w:t>
      </w:r>
      <w:r>
        <w:t xml:space="preserve"> of the Commonwealth; or</w:t>
      </w:r>
    </w:p>
    <w:p>
      <w:pPr>
        <w:pStyle w:val="Defsubpara"/>
      </w:pPr>
      <w:r>
        <w:tab/>
        <w:t>(iii)</w:t>
      </w:r>
      <w:r>
        <w:tab/>
        <w:t>a visa of subclass 457 within the meaning of those regulations, other than a person who satisfied the primary criteria for that subclass of visa.</w:t>
      </w:r>
    </w:p>
    <w:p>
      <w:pPr>
        <w:pStyle w:val="Footnotesection"/>
        <w:spacing w:after="480"/>
        <w:ind w:left="890" w:hanging="890"/>
      </w:pPr>
      <w:r>
        <w:tab/>
        <w:t>[Regulation 15A inserted in Gazette 13 Apr 1999 p. 1547</w:t>
      </w:r>
      <w:r>
        <w:noBreakHyphen/>
        <w:t>8; amended in Gazette 5 Nov 1999 p. 5635; 8 Oct 2002 p. 5097; 23 Dec 2005 p. 6248; 30 May 2008 p. 2068-9; 27 Oct 2011 p. 4558; 17 Dec 2013 p. 6264</w:t>
      </w:r>
      <w:r>
        <w:noBreakHyphen/>
        <w:t>5.]</w:t>
      </w:r>
    </w:p>
    <w:p>
      <w:pPr>
        <w:pStyle w:val="Heading3"/>
        <w:spacing w:before="120"/>
      </w:pPr>
      <w:bookmarkStart w:id="24" w:name="_Toc524930896"/>
      <w:r>
        <w:rPr>
          <w:rStyle w:val="CharDivNo"/>
        </w:rPr>
        <w:t>Division 3</w:t>
      </w:r>
      <w:r>
        <w:rPr>
          <w:snapToGrid w:val="0"/>
        </w:rPr>
        <w:t> — </w:t>
      </w:r>
      <w:r>
        <w:rPr>
          <w:rStyle w:val="CharDivText"/>
        </w:rPr>
        <w:t>Other fees</w:t>
      </w:r>
      <w:bookmarkEnd w:id="24"/>
    </w:p>
    <w:p>
      <w:pPr>
        <w:pStyle w:val="Heading5"/>
        <w:spacing w:before="120"/>
        <w:rPr>
          <w:snapToGrid w:val="0"/>
        </w:rPr>
      </w:pPr>
      <w:bookmarkStart w:id="25" w:name="_Toc524930897"/>
      <w:r>
        <w:rPr>
          <w:rStyle w:val="CharSectno"/>
        </w:rPr>
        <w:t>16</w:t>
      </w:r>
      <w:r>
        <w:rPr>
          <w:snapToGrid w:val="0"/>
        </w:rPr>
        <w:t>.</w:t>
      </w:r>
      <w:r>
        <w:rPr>
          <w:snapToGrid w:val="0"/>
        </w:rPr>
        <w:tab/>
        <w:t>Colleges may determine other fees</w:t>
      </w:r>
      <w:bookmarkEnd w:id="25"/>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Ednotesection"/>
        <w:spacing w:before="240"/>
        <w:ind w:left="890" w:hanging="890"/>
      </w:pPr>
      <w:r>
        <w:t>[</w:t>
      </w:r>
      <w:r>
        <w:rPr>
          <w:b/>
          <w:bCs/>
        </w:rPr>
        <w:t>16A, 16B.</w:t>
      </w:r>
      <w:r>
        <w:tab/>
        <w:t>Deleted in Gazette 22 May 2009 p. 1694.]</w:t>
      </w:r>
    </w:p>
    <w:p>
      <w:pPr>
        <w:pStyle w:val="Heading2"/>
      </w:pPr>
      <w:bookmarkStart w:id="26" w:name="_Toc524930898"/>
      <w:r>
        <w:rPr>
          <w:rStyle w:val="CharPartNo"/>
        </w:rPr>
        <w:t>Part 4</w:t>
      </w:r>
      <w:r>
        <w:rPr>
          <w:rStyle w:val="CharDivNo"/>
        </w:rPr>
        <w:t> </w:t>
      </w:r>
      <w:r>
        <w:t>—</w:t>
      </w:r>
      <w:r>
        <w:rPr>
          <w:rStyle w:val="CharDivText"/>
        </w:rPr>
        <w:t> </w:t>
      </w:r>
      <w:r>
        <w:rPr>
          <w:rStyle w:val="CharPartText"/>
        </w:rPr>
        <w:t>Enrolment</w:t>
      </w:r>
      <w:bookmarkEnd w:id="26"/>
    </w:p>
    <w:p>
      <w:pPr>
        <w:pStyle w:val="Heading5"/>
        <w:spacing w:before="120"/>
        <w:rPr>
          <w:snapToGrid w:val="0"/>
        </w:rPr>
      </w:pPr>
      <w:bookmarkStart w:id="27" w:name="_Toc524930899"/>
      <w:r>
        <w:rPr>
          <w:rStyle w:val="CharSectno"/>
        </w:rPr>
        <w:t>17</w:t>
      </w:r>
      <w:r>
        <w:rPr>
          <w:snapToGrid w:val="0"/>
        </w:rPr>
        <w:t>.</w:t>
      </w:r>
      <w:r>
        <w:rPr>
          <w:snapToGrid w:val="0"/>
        </w:rPr>
        <w:tab/>
        <w:t>Enrolment as student at college</w:t>
      </w:r>
      <w:bookmarkEnd w:id="27"/>
    </w:p>
    <w:p>
      <w:pPr>
        <w:pStyle w:val="Subsection"/>
        <w:rPr>
          <w:snapToGrid w:val="0"/>
        </w:rPr>
      </w:pPr>
      <w:r>
        <w:rPr>
          <w:snapToGrid w:val="0"/>
        </w:rPr>
        <w:tab/>
        <w:t>(1)</w:t>
      </w:r>
      <w:r>
        <w:rPr>
          <w:snapToGrid w:val="0"/>
        </w:rPr>
        <w:tab/>
        <w:t xml:space="preserve">A person cannot take a </w:t>
      </w:r>
      <w:r>
        <w:t>course or unit</w:t>
      </w:r>
      <w:r>
        <w:rPr>
          <w:snapToGrid w:val="0"/>
        </w:rPr>
        <w:t xml:space="preserve"> 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he or she has lodged a completed enrolment form for one, or more than one, unit of a course with the college; and</w:t>
      </w:r>
    </w:p>
    <w:p>
      <w:pPr>
        <w:pStyle w:val="Indenta"/>
      </w:pPr>
      <w:r>
        <w:tab/>
        <w:t>(b)</w:t>
      </w:r>
      <w:r>
        <w:tab/>
        <w:t xml:space="preserve">subject to regulations 22 and 23, he or she pays, or has arranged to the satisfaction of the college for the payment of —  </w:t>
      </w:r>
    </w:p>
    <w:p>
      <w:pPr>
        <w:pStyle w:val="Indenti"/>
      </w:pPr>
      <w:r>
        <w:tab/>
        <w:t>(i)</w:t>
      </w:r>
      <w:r>
        <w:tab/>
        <w:t>the course fee for the unit or units provided for by Part 3 Division 2 as the payment becomes due; and</w:t>
      </w:r>
    </w:p>
    <w:p>
      <w:pPr>
        <w:pStyle w:val="Indenti"/>
      </w:pPr>
      <w:r>
        <w:tab/>
        <w:t>(ii)</w:t>
      </w:r>
      <w:r>
        <w:tab/>
        <w:t>any other fee or charge properly payable in connection with the course under regulation 16.</w:t>
      </w:r>
    </w:p>
    <w:p>
      <w:pPr>
        <w:pStyle w:val="Footnotesection"/>
      </w:pPr>
      <w:r>
        <w:tab/>
        <w:t>[Regulation 17 amended in Gazette 29 Nov 2002 p. 5667; 23 Dec 2005 p. 6248; 9 Nov 2007 p. 5608; 19 Jan 2010 p. 144; 17 Dec 2013 p. 6265.]</w:t>
      </w:r>
    </w:p>
    <w:p>
      <w:pPr>
        <w:pStyle w:val="Heading5"/>
        <w:rPr>
          <w:snapToGrid w:val="0"/>
        </w:rPr>
      </w:pPr>
      <w:bookmarkStart w:id="28" w:name="_Toc524930900"/>
      <w:r>
        <w:rPr>
          <w:rStyle w:val="CharSectno"/>
        </w:rPr>
        <w:t>18</w:t>
      </w:r>
      <w:r>
        <w:rPr>
          <w:snapToGrid w:val="0"/>
        </w:rPr>
        <w:t>.</w:t>
      </w:r>
      <w:r>
        <w:rPr>
          <w:snapToGrid w:val="0"/>
        </w:rPr>
        <w:tab/>
        <w:t>When enrolment at college may be refused</w:t>
      </w:r>
      <w:bookmarkEnd w:id="28"/>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has failed to pay any fee or charge properly payable to a college.</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Ednotesection"/>
      </w:pPr>
      <w:r>
        <w:t>[</w:t>
      </w:r>
      <w:r>
        <w:rPr>
          <w:b/>
          <w:bCs/>
        </w:rPr>
        <w:t>19.</w:t>
      </w:r>
      <w:r>
        <w:tab/>
        <w:t>Deleted in Gazette 9 Nov 2007 p. 5608.]</w:t>
      </w:r>
    </w:p>
    <w:p>
      <w:pPr>
        <w:pStyle w:val="Heading2"/>
      </w:pPr>
      <w:bookmarkStart w:id="29" w:name="_Toc524930901"/>
      <w:r>
        <w:rPr>
          <w:rStyle w:val="CharPartNo"/>
        </w:rPr>
        <w:t>Part 5</w:t>
      </w:r>
      <w:r>
        <w:rPr>
          <w:b w:val="0"/>
        </w:rPr>
        <w:t> </w:t>
      </w:r>
      <w:r>
        <w:t>—</w:t>
      </w:r>
      <w:r>
        <w:rPr>
          <w:b w:val="0"/>
        </w:rPr>
        <w:t> </w:t>
      </w:r>
      <w:r>
        <w:rPr>
          <w:rStyle w:val="CharPartText"/>
        </w:rPr>
        <w:t>Fee concessions, exemptions and refunds</w:t>
      </w:r>
      <w:bookmarkEnd w:id="29"/>
    </w:p>
    <w:p>
      <w:pPr>
        <w:pStyle w:val="Footnoteheading"/>
      </w:pPr>
      <w:r>
        <w:tab/>
        <w:t>[Heading inserted in Gazette 18 Dec 2009 p. 5174.]</w:t>
      </w:r>
    </w:p>
    <w:p>
      <w:pPr>
        <w:pStyle w:val="Heading3"/>
      </w:pPr>
      <w:bookmarkStart w:id="30" w:name="_Toc524930902"/>
      <w:r>
        <w:rPr>
          <w:rStyle w:val="CharDivNo"/>
        </w:rPr>
        <w:t>Division 1</w:t>
      </w:r>
      <w:r>
        <w:rPr>
          <w:snapToGrid w:val="0"/>
        </w:rPr>
        <w:t> — </w:t>
      </w:r>
      <w:r>
        <w:rPr>
          <w:rStyle w:val="CharDivText"/>
        </w:rPr>
        <w:t>Concessional rates of fees</w:t>
      </w:r>
      <w:bookmarkEnd w:id="30"/>
    </w:p>
    <w:p>
      <w:pPr>
        <w:pStyle w:val="Heading5"/>
        <w:rPr>
          <w:snapToGrid w:val="0"/>
        </w:rPr>
      </w:pPr>
      <w:bookmarkStart w:id="31" w:name="_Toc524930903"/>
      <w:r>
        <w:rPr>
          <w:rStyle w:val="CharSectno"/>
        </w:rPr>
        <w:t>20</w:t>
      </w:r>
      <w:r>
        <w:rPr>
          <w:snapToGrid w:val="0"/>
        </w:rPr>
        <w:t>.</w:t>
      </w:r>
      <w:r>
        <w:rPr>
          <w:snapToGrid w:val="0"/>
        </w:rPr>
        <w:tab/>
        <w:t>Persons entitled to concessional rate of course fee</w:t>
      </w:r>
      <w:bookmarkEnd w:id="31"/>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 xml:space="preserve">The following persons are entitled to the concessional rate of course fee for any </w:t>
      </w:r>
      <w:r>
        <w:t>category 2 or 3 course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secondary school aged person;</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5; 4 Dec 1998 p. 6535; 28 Nov 2003 p. 4774; 23 Dec 2005 p. 6248-9; 18 Dec 2009 p. 5174; 17 Dec 2013 p. 6266.]</w:t>
      </w:r>
    </w:p>
    <w:p>
      <w:pPr>
        <w:pStyle w:val="Heading5"/>
        <w:rPr>
          <w:snapToGrid w:val="0"/>
        </w:rPr>
      </w:pPr>
      <w:bookmarkStart w:id="32" w:name="_Toc524930904"/>
      <w:r>
        <w:rPr>
          <w:rStyle w:val="CharSectno"/>
        </w:rPr>
        <w:t>21</w:t>
      </w:r>
      <w:r>
        <w:rPr>
          <w:snapToGrid w:val="0"/>
        </w:rPr>
        <w:t>.</w:t>
      </w:r>
      <w:r>
        <w:rPr>
          <w:snapToGrid w:val="0"/>
        </w:rPr>
        <w:tab/>
        <w:t>Concessional rate for category 2 or 3 course where there is financial hardship</w:t>
      </w:r>
      <w:bookmarkEnd w:id="32"/>
    </w:p>
    <w:p>
      <w:pPr>
        <w:pStyle w:val="Subsection"/>
        <w:rPr>
          <w:snapToGrid w:val="0"/>
        </w:rPr>
      </w:pPr>
      <w:r>
        <w:rPr>
          <w:snapToGrid w:val="0"/>
        </w:rPr>
        <w:tab/>
      </w:r>
      <w:r>
        <w:rPr>
          <w:snapToGrid w:val="0"/>
        </w:rPr>
        <w:tab/>
        <w:t xml:space="preserve">If the governing council of a college is satisfied, on application by a person who wishes to enrol at the college for a </w:t>
      </w:r>
      <w:r>
        <w:t>unit, or more than one unit, of a category 2 or 3 course, that payment of the course fee provided for by Part 3 Division 2</w:t>
      </w:r>
      <w:r>
        <w:rPr>
          <w:snapToGrid w:val="0"/>
        </w:rPr>
        <w:t xml:space="preserve"> would cause financial hardship to the person, the council may determine that the concessional rate is to apply to that person for that </w:t>
      </w:r>
      <w:r>
        <w:t>unit, or those units, as if the person were a person to whom regulation 20(2) applies.</w:t>
      </w:r>
    </w:p>
    <w:p>
      <w:pPr>
        <w:pStyle w:val="Footnotesection"/>
      </w:pPr>
      <w:r>
        <w:tab/>
        <w:t>[Regulation 21 amended in Gazette 7 Nov 1997 p. 6150 (disallowed in Gazette 9 Jun 1998 p. 3098); 23 Dec 2005 p. 6249; 17 Dec 2013 p. 6266.]</w:t>
      </w:r>
    </w:p>
    <w:p>
      <w:pPr>
        <w:pStyle w:val="Heading3"/>
      </w:pPr>
      <w:bookmarkStart w:id="33" w:name="_Toc524930905"/>
      <w:r>
        <w:rPr>
          <w:rStyle w:val="CharDivNo"/>
        </w:rPr>
        <w:t>Division 2</w:t>
      </w:r>
      <w:r>
        <w:t> — </w:t>
      </w:r>
      <w:r>
        <w:rPr>
          <w:rStyle w:val="CharDivText"/>
        </w:rPr>
        <w:t>Payment by instalment and exemption for severe financial hardship</w:t>
      </w:r>
      <w:bookmarkEnd w:id="33"/>
    </w:p>
    <w:p>
      <w:pPr>
        <w:pStyle w:val="Footnoteheading"/>
        <w:keepNext/>
      </w:pPr>
      <w:r>
        <w:tab/>
        <w:t>[Heading inserted in Gazette 17 Dec 2013 p. 6267.]</w:t>
      </w:r>
    </w:p>
    <w:p>
      <w:pPr>
        <w:pStyle w:val="Heading5"/>
        <w:rPr>
          <w:snapToGrid w:val="0"/>
        </w:rPr>
      </w:pPr>
      <w:bookmarkStart w:id="34" w:name="_Toc524930906"/>
      <w:r>
        <w:rPr>
          <w:rStyle w:val="CharSectno"/>
        </w:rPr>
        <w:t>22</w:t>
      </w:r>
      <w:r>
        <w:rPr>
          <w:snapToGrid w:val="0"/>
        </w:rPr>
        <w:t>.</w:t>
      </w:r>
      <w:r>
        <w:rPr>
          <w:snapToGrid w:val="0"/>
        </w:rPr>
        <w:tab/>
        <w:t>Payment of certain fees by instalments</w:t>
      </w:r>
      <w:bookmarkEnd w:id="34"/>
    </w:p>
    <w:p>
      <w:pPr>
        <w:pStyle w:val="Subsection"/>
      </w:pPr>
      <w:r>
        <w:tab/>
        <w:t>(1)</w:t>
      </w:r>
      <w:r>
        <w:tab/>
        <w:t xml:space="preserve">The governing council of a college may, on </w:t>
      </w:r>
      <w:r>
        <w:rPr>
          <w:snapToGrid w:val="0"/>
        </w:rPr>
        <w:t>application by a person who wishes to enrol at the college, allow the person to pay a course fee by instalments of such amounts and at such times as it determines.</w:t>
      </w:r>
    </w:p>
    <w:p>
      <w:pPr>
        <w:pStyle w:val="Subsection"/>
        <w:rPr>
          <w:snapToGrid w:val="0"/>
        </w:rPr>
      </w:pPr>
      <w:r>
        <w:tab/>
        <w:t>(2)</w:t>
      </w:r>
      <w:r>
        <w:tab/>
        <w:t xml:space="preserve">The governing council of a college may, on </w:t>
      </w:r>
      <w:r>
        <w:rPr>
          <w:snapToGrid w:val="0"/>
        </w:rPr>
        <w:t>application by a person who would otherwise be liable for a fee imposed under regulation 16 for a service,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in Gazette 7 Nov 1997 p. 6151; 23 Dec 2005 p. 6249; 17 Dec 2013 p. 6267.]</w:t>
      </w:r>
    </w:p>
    <w:p>
      <w:pPr>
        <w:pStyle w:val="Heading5"/>
        <w:rPr>
          <w:snapToGrid w:val="0"/>
        </w:rPr>
      </w:pPr>
      <w:bookmarkStart w:id="35" w:name="_Toc524930907"/>
      <w:r>
        <w:rPr>
          <w:rStyle w:val="CharSectno"/>
        </w:rPr>
        <w:t>23</w:t>
      </w:r>
      <w:r>
        <w:rPr>
          <w:snapToGrid w:val="0"/>
        </w:rPr>
        <w:t>.</w:t>
      </w:r>
      <w:r>
        <w:rPr>
          <w:snapToGrid w:val="0"/>
        </w:rPr>
        <w:tab/>
        <w:t>Exemption from fees if severe financial hardship</w:t>
      </w:r>
      <w:bookmarkEnd w:id="35"/>
    </w:p>
    <w:p>
      <w:pPr>
        <w:pStyle w:val="Subsection"/>
        <w:rPr>
          <w:snapToGrid w:val="0"/>
        </w:rPr>
      </w:pPr>
      <w:r>
        <w:rPr>
          <w:snapToGrid w:val="0"/>
        </w:rPr>
        <w:tab/>
        <w:t>(1)</w:t>
      </w:r>
      <w:r>
        <w:rPr>
          <w:snapToGrid w:val="0"/>
        </w:rPr>
        <w:tab/>
        <w:t xml:space="preserve">If the governing council of a college is satisfied, on application by a person who wishes to enrol at the college </w:t>
      </w:r>
      <w:r>
        <w:t>that payment of the course fee</w:t>
      </w:r>
      <w:r>
        <w:rPr>
          <w:snapToGrid w:val="0"/>
        </w:rPr>
        <w:t xml:space="preserve"> would cause severe financial hardship to the person, the council may determine that </w:t>
      </w:r>
      <w:r>
        <w:t>the person is not required to pay the course fee.</w:t>
      </w:r>
    </w:p>
    <w:p>
      <w:pPr>
        <w:pStyle w:val="Subsection"/>
        <w:keepNext/>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 17 Dec 2013 p. 6267</w:t>
      </w:r>
      <w:r>
        <w:noBreakHyphen/>
        <w:t>8.]</w:t>
      </w:r>
    </w:p>
    <w:p>
      <w:pPr>
        <w:pStyle w:val="Heading3"/>
      </w:pPr>
      <w:bookmarkStart w:id="36" w:name="_Toc524930908"/>
      <w:r>
        <w:rPr>
          <w:rStyle w:val="CharDivNo"/>
        </w:rPr>
        <w:t>Division 3</w:t>
      </w:r>
      <w:r>
        <w:t> — </w:t>
      </w:r>
      <w:r>
        <w:rPr>
          <w:rStyle w:val="CharDivText"/>
        </w:rPr>
        <w:t>Refund of fees</w:t>
      </w:r>
      <w:bookmarkEnd w:id="36"/>
    </w:p>
    <w:p>
      <w:pPr>
        <w:pStyle w:val="Footnoteheading"/>
        <w:keepNext/>
      </w:pPr>
      <w:r>
        <w:tab/>
        <w:t>[Heading inserted in Gazette 19 Jan 2010 p. 144.]</w:t>
      </w:r>
    </w:p>
    <w:p>
      <w:pPr>
        <w:pStyle w:val="Heading5"/>
      </w:pPr>
      <w:bookmarkStart w:id="37" w:name="_Toc524930909"/>
      <w:r>
        <w:rPr>
          <w:rStyle w:val="CharSectno"/>
        </w:rPr>
        <w:t>24A</w:t>
      </w:r>
      <w:r>
        <w:t>.</w:t>
      </w:r>
      <w:r>
        <w:tab/>
        <w:t>Terms used</w:t>
      </w:r>
      <w:bookmarkEnd w:id="37"/>
    </w:p>
    <w:p>
      <w:pPr>
        <w:pStyle w:val="Subsection"/>
      </w:pPr>
      <w:r>
        <w:tab/>
      </w:r>
      <w:r>
        <w:tab/>
        <w:t xml:space="preserve">In this Division — </w:t>
      </w:r>
    </w:p>
    <w:p>
      <w:pPr>
        <w:pStyle w:val="Defstart"/>
      </w:pPr>
      <w:r>
        <w:tab/>
      </w:r>
      <w:r>
        <w:rPr>
          <w:rStyle w:val="CharDefText"/>
        </w:rPr>
        <w:t>payment period</w:t>
      </w:r>
      <w:r>
        <w:t>, in relation to the payment of an instalment of a course fee under a determination by a governing council under regulation 22, means a period of 6 months commencing on the day the payment of the instalment was due, or a period of up to 12 months (if within the same calendar year);</w:t>
      </w:r>
    </w:p>
    <w:p>
      <w:pPr>
        <w:pStyle w:val="Defstart"/>
      </w:pPr>
      <w:r>
        <w:tab/>
      </w:r>
      <w:r>
        <w:rPr>
          <w:rStyle w:val="CharDefText"/>
        </w:rPr>
        <w:t>pro rata refund</w:t>
      </w:r>
      <w:r>
        <w:t xml:space="preserve"> means — </w:t>
      </w:r>
    </w:p>
    <w:p>
      <w:pPr>
        <w:pStyle w:val="Defpara"/>
      </w:pPr>
      <w:r>
        <w:tab/>
        <w:t>(a)</w:t>
      </w:r>
      <w:r>
        <w:tab/>
        <w:t>where the course fee is paid at enrolment — a refund of the same proportion of the fee paid by a person for the unit as the proportion of the unit that had not been delivered at the time the person withdrew from the unit;</w:t>
      </w:r>
    </w:p>
    <w:p>
      <w:pPr>
        <w:pStyle w:val="Defpara"/>
      </w:pPr>
      <w:r>
        <w:tab/>
        <w:t>(b)</w:t>
      </w:r>
      <w:r>
        <w:tab/>
        <w:t>where the course fee is paid by instalments —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25(3).</w:t>
      </w:r>
    </w:p>
    <w:p>
      <w:pPr>
        <w:pStyle w:val="Footnotesection"/>
        <w:ind w:left="890" w:hanging="890"/>
      </w:pPr>
      <w:r>
        <w:tab/>
        <w:t>[Regulation 24A inserted in Gazette 19 Jan 2010 p. 144-5; amended in Gazette 17 Dec 2013 p. 6268; 12 Dec 2014 p. 4740</w:t>
      </w:r>
      <w:r>
        <w:noBreakHyphen/>
        <w:t>1.]</w:t>
      </w:r>
    </w:p>
    <w:p>
      <w:pPr>
        <w:pStyle w:val="Heading5"/>
      </w:pPr>
      <w:bookmarkStart w:id="38" w:name="_Toc524930910"/>
      <w:r>
        <w:rPr>
          <w:rStyle w:val="CharSectno"/>
        </w:rPr>
        <w:t>24B</w:t>
      </w:r>
      <w:r>
        <w:t>.</w:t>
      </w:r>
      <w:r>
        <w:tab/>
        <w:t>Withdrawing from course or unit, manner of</w:t>
      </w:r>
      <w:bookmarkEnd w:id="38"/>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 in Gazette 19 Jan 2010 p. 145.]</w:t>
      </w:r>
    </w:p>
    <w:p>
      <w:pPr>
        <w:pStyle w:val="Heading5"/>
      </w:pPr>
      <w:bookmarkStart w:id="39" w:name="_Toc524930911"/>
      <w:r>
        <w:rPr>
          <w:rStyle w:val="CharSectno"/>
        </w:rPr>
        <w:t>24</w:t>
      </w:r>
      <w:r>
        <w:t>.</w:t>
      </w:r>
      <w:r>
        <w:tab/>
        <w:t>Refund of fees on cancellation etc. of course or unit</w:t>
      </w:r>
      <w:bookmarkEnd w:id="39"/>
    </w:p>
    <w:p>
      <w:pPr>
        <w:pStyle w:val="Subsection"/>
      </w:pPr>
      <w:r>
        <w:tab/>
      </w:r>
      <w:r>
        <w:tab/>
        <w:t xml:space="preserve">A person enrolled for a course or a unit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pPr>
      <w:r>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 in Gazette 19 Jan 2010 p. 145; amended in Gazette 17 Dec 2013 p. 6268.]</w:t>
      </w:r>
    </w:p>
    <w:p>
      <w:pPr>
        <w:pStyle w:val="Heading5"/>
      </w:pPr>
      <w:bookmarkStart w:id="40" w:name="_Toc524930912"/>
      <w:r>
        <w:rPr>
          <w:rStyle w:val="CharSectno"/>
        </w:rPr>
        <w:t>25</w:t>
      </w:r>
      <w:r>
        <w:t>.</w:t>
      </w:r>
      <w:r>
        <w:tab/>
        <w:t>Full refund of certain fees if withdrawal within allowed period</w:t>
      </w:r>
      <w:bookmarkEnd w:id="40"/>
    </w:p>
    <w:p>
      <w:pPr>
        <w:pStyle w:val="Subsection"/>
      </w:pPr>
      <w:r>
        <w:tab/>
        <w:t>(1)</w:t>
      </w:r>
      <w:r>
        <w:tab/>
        <w:t>A person enrolled for a whole of course is entitled to a full refund of all fees paid in respect of the payment period for that course if within the allowed period the person withdraws from the course.</w:t>
      </w:r>
    </w:p>
    <w:p>
      <w:pPr>
        <w:pStyle w:val="Subsection"/>
      </w:pPr>
      <w:r>
        <w:tab/>
        <w:t>(2)</w:t>
      </w:r>
      <w:r>
        <w:tab/>
        <w:t>A person enrolled for a unit is entitled to a full refund of all fees paid in respect of that unit or a payment period for that unit if within the allowed period the person withdraws from the unit.</w:t>
      </w:r>
    </w:p>
    <w:p>
      <w:pPr>
        <w:pStyle w:val="Subsection"/>
      </w:pPr>
      <w:r>
        <w:tab/>
        <w:t>(3)</w:t>
      </w:r>
      <w:r>
        <w:tab/>
        <w:t xml:space="preserve">For the purpose of subregulations (1) and (2) the allowed period — </w:t>
      </w:r>
    </w:p>
    <w:p>
      <w:pPr>
        <w:pStyle w:val="Indenta"/>
      </w:pPr>
      <w:r>
        <w:tab/>
        <w:t>(a)</w:t>
      </w:r>
      <w:r>
        <w:tab/>
        <w:t>for a course is the period ending 20% of the way through the payment period; and</w:t>
      </w:r>
    </w:p>
    <w:p>
      <w:pPr>
        <w:pStyle w:val="Indenta"/>
      </w:pPr>
      <w:r>
        <w:tab/>
        <w:t>(b)</w:t>
      </w:r>
      <w:r>
        <w:tab/>
        <w:t>for a unit is the period ending 20% of the way through the period during which that unit is undertaken.</w:t>
      </w:r>
    </w:p>
    <w:p>
      <w:pPr>
        <w:pStyle w:val="Footnotesection"/>
      </w:pPr>
      <w:r>
        <w:tab/>
        <w:t>[Regulation 25 inserted in Gazette 12 Dec 2014 p. 4741.]</w:t>
      </w:r>
    </w:p>
    <w:p>
      <w:pPr>
        <w:pStyle w:val="Heading5"/>
      </w:pPr>
      <w:bookmarkStart w:id="41" w:name="_Toc524930913"/>
      <w:r>
        <w:rPr>
          <w:rStyle w:val="CharSectno"/>
        </w:rPr>
        <w:t>26</w:t>
      </w:r>
      <w:r>
        <w:t>.</w:t>
      </w:r>
      <w:r>
        <w:tab/>
        <w:t>Pro rata refund of fees if withdrawal after allowed period</w:t>
      </w:r>
      <w:bookmarkEnd w:id="41"/>
    </w:p>
    <w:p>
      <w:pPr>
        <w:pStyle w:val="Subsection"/>
      </w:pPr>
      <w:r>
        <w:tab/>
        <w:t>(1)</w:t>
      </w:r>
      <w:r>
        <w:tab/>
        <w:t xml:space="preserve">A person enrolled for a unit where the course fee was paid at enrolment is entitled to a pro rata refund of the fees paid for the unit if, after the expiry of the allowed period for that unit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tab/>
        <w:t>(2)</w:t>
      </w:r>
      <w:r>
        <w:tab/>
        <w:t xml:space="preserve">A person enrolled for a unit where the course fee is paid by instalments is entitled to a pro rata refund of the amount of the fee paid in respect of a payment period if after the expiry of the allowed period for that payment period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Footnotesection"/>
      </w:pPr>
      <w:r>
        <w:tab/>
        <w:t>[Regulation 26 inserted in Gazette 19 Jan 2010 p. 146; amended in Gazette 17 Dec 2013 p. 6269; 12 Dec 2014 p. 4741.]</w:t>
      </w:r>
    </w:p>
    <w:p>
      <w:pPr>
        <w:pStyle w:val="Ednotesection"/>
      </w:pPr>
      <w:r>
        <w:t>[</w:t>
      </w:r>
      <w:r>
        <w:rPr>
          <w:b/>
          <w:bCs/>
        </w:rPr>
        <w:t>26A.</w:t>
      </w:r>
      <w:r>
        <w:tab/>
        <w:t>Deleted in Gazette 18 Dec 2009 p. 5174.]</w:t>
      </w:r>
    </w:p>
    <w:p>
      <w:pPr>
        <w:pStyle w:val="Heading2"/>
      </w:pPr>
      <w:bookmarkStart w:id="42" w:name="_Toc524930914"/>
      <w:r>
        <w:rPr>
          <w:rStyle w:val="CharPartNo"/>
        </w:rPr>
        <w:t>Part 6</w:t>
      </w:r>
      <w:r>
        <w:rPr>
          <w:rStyle w:val="CharDivNo"/>
        </w:rPr>
        <w:t> </w:t>
      </w:r>
      <w:r>
        <w:t>—</w:t>
      </w:r>
      <w:r>
        <w:rPr>
          <w:rStyle w:val="CharDivText"/>
        </w:rPr>
        <w:t> </w:t>
      </w:r>
      <w:r>
        <w:rPr>
          <w:rStyle w:val="CharPartText"/>
        </w:rPr>
        <w:t>Common seals of colleges</w:t>
      </w:r>
      <w:bookmarkEnd w:id="42"/>
    </w:p>
    <w:p>
      <w:pPr>
        <w:pStyle w:val="Heading5"/>
        <w:spacing w:before="180"/>
        <w:rPr>
          <w:snapToGrid w:val="0"/>
        </w:rPr>
      </w:pPr>
      <w:bookmarkStart w:id="43" w:name="_Toc524930915"/>
      <w:r>
        <w:rPr>
          <w:rStyle w:val="CharSectno"/>
        </w:rPr>
        <w:t>27</w:t>
      </w:r>
      <w:r>
        <w:rPr>
          <w:snapToGrid w:val="0"/>
        </w:rPr>
        <w:t>.</w:t>
      </w:r>
      <w:r>
        <w:rPr>
          <w:snapToGrid w:val="0"/>
        </w:rPr>
        <w:tab/>
        <w:t>Form</w:t>
      </w:r>
      <w:bookmarkEnd w:id="43"/>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44" w:name="_Toc524930916"/>
      <w:r>
        <w:rPr>
          <w:rStyle w:val="CharSectno"/>
        </w:rPr>
        <w:t>28</w:t>
      </w:r>
      <w:r>
        <w:rPr>
          <w:snapToGrid w:val="0"/>
        </w:rPr>
        <w:t>.</w:t>
      </w:r>
      <w:r>
        <w:rPr>
          <w:snapToGrid w:val="0"/>
        </w:rPr>
        <w:tab/>
        <w:t>Custody</w:t>
      </w:r>
      <w:bookmarkEnd w:id="44"/>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45" w:name="_Toc524930917"/>
      <w:r>
        <w:rPr>
          <w:rStyle w:val="CharSectno"/>
        </w:rPr>
        <w:t>29</w:t>
      </w:r>
      <w:r>
        <w:rPr>
          <w:snapToGrid w:val="0"/>
        </w:rPr>
        <w:t>.</w:t>
      </w:r>
      <w:r>
        <w:rPr>
          <w:snapToGrid w:val="0"/>
        </w:rPr>
        <w:tab/>
        <w:t>Use</w:t>
      </w:r>
      <w:bookmarkEnd w:id="45"/>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46" w:name="_Toc524930918"/>
      <w:r>
        <w:rPr>
          <w:rStyle w:val="CharSectno"/>
        </w:rPr>
        <w:t>30</w:t>
      </w:r>
      <w:r>
        <w:rPr>
          <w:snapToGrid w:val="0"/>
        </w:rPr>
        <w:t>.</w:t>
      </w:r>
      <w:r>
        <w:rPr>
          <w:snapToGrid w:val="0"/>
        </w:rPr>
        <w:tab/>
        <w:t>Attestation</w:t>
      </w:r>
      <w:bookmarkEnd w:id="46"/>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47" w:name="_Toc524930919"/>
      <w:r>
        <w:rPr>
          <w:rStyle w:val="CharSectno"/>
        </w:rPr>
        <w:t>31</w:t>
      </w:r>
      <w:r>
        <w:rPr>
          <w:snapToGrid w:val="0"/>
        </w:rPr>
        <w:t>.</w:t>
      </w:r>
      <w:r>
        <w:rPr>
          <w:snapToGrid w:val="0"/>
        </w:rPr>
        <w:tab/>
        <w:t>Seal book</w:t>
      </w:r>
      <w:bookmarkEnd w:id="47"/>
    </w:p>
    <w:p>
      <w:pPr>
        <w:pStyle w:val="Subsection"/>
        <w:spacing w:before="120"/>
        <w:rPr>
          <w:snapToGrid w:val="0"/>
        </w:rPr>
      </w:pPr>
      <w:r>
        <w:rPr>
          <w:snapToGrid w:val="0"/>
        </w:rPr>
        <w:tab/>
        <w:t>(1)</w:t>
      </w:r>
      <w:r>
        <w:rPr>
          <w:snapToGrid w:val="0"/>
        </w:rPr>
        <w:tab/>
        <w:t xml:space="preserve">A college is to have a book (the </w:t>
      </w:r>
      <w:r>
        <w:rPr>
          <w:rStyle w:val="CharDefText"/>
        </w:rPr>
        <w:t>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Ednotepart"/>
        <w:spacing w:before="200"/>
      </w:pPr>
      <w:r>
        <w:t>[Part 7 (r. 32-38) deleted in Gazette 22 May 2009 p. 1694.]</w:t>
      </w:r>
    </w:p>
    <w:p>
      <w:pPr>
        <w:rPr>
          <w:rStyle w:val="CharDivText"/>
        </w:r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48" w:name="_Toc524930920"/>
      <w:r>
        <w:rPr>
          <w:rStyle w:val="CharSchNo"/>
        </w:rPr>
        <w:t>Schedule 1</w:t>
      </w:r>
      <w:r>
        <w:t> — </w:t>
      </w:r>
      <w:r>
        <w:rPr>
          <w:rStyle w:val="CharSchText"/>
        </w:rPr>
        <w:t>Fees</w:t>
      </w:r>
      <w:bookmarkEnd w:id="48"/>
    </w:p>
    <w:p>
      <w:pPr>
        <w:pStyle w:val="yShoulderClause"/>
      </w:pPr>
      <w:r>
        <w:t>[r. 9 and Pt. 3 Div. 2]</w:t>
      </w:r>
    </w:p>
    <w:p>
      <w:pPr>
        <w:pStyle w:val="yFootnoteheading"/>
      </w:pPr>
      <w:r>
        <w:tab/>
        <w:t>[Heading inserted in Gazette 17 Dec 2013 p. 6270.]</w:t>
      </w:r>
    </w:p>
    <w:p>
      <w:pPr>
        <w:pStyle w:val="yEdnotedivision"/>
      </w:pPr>
      <w:r>
        <w:t xml:space="preserve">[Division 1 deleted in Gazette </w:t>
      </w:r>
      <w:r>
        <w:rPr>
          <w:szCs w:val="22"/>
        </w:rPr>
        <w:t>12 Dec 2014 p. 4741</w:t>
      </w:r>
      <w:r>
        <w:t>.]</w:t>
      </w:r>
    </w:p>
    <w:p>
      <w:pPr>
        <w:pStyle w:val="yEdnotedivision"/>
        <w:spacing w:after="120"/>
      </w:pPr>
      <w:r>
        <w:t xml:space="preserve">[Heading deleted in Gazette </w:t>
      </w:r>
      <w:r>
        <w:rPr>
          <w:szCs w:val="22"/>
        </w:rPr>
        <w:t>12 Dec 2014 p. 4741</w:t>
      </w:r>
      <w:r>
        <w:t>.]</w:t>
      </w:r>
    </w:p>
    <w:tbl>
      <w:tblPr>
        <w:tblW w:w="70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309"/>
        <w:gridCol w:w="1417"/>
      </w:tblGrid>
      <w:tr>
        <w:trPr>
          <w:tblHeader/>
        </w:trPr>
        <w:tc>
          <w:tcPr>
            <w:tcW w:w="1276" w:type="dxa"/>
            <w:tcBorders>
              <w:bottom w:val="nil"/>
            </w:tcBorders>
          </w:tcPr>
          <w:p>
            <w:pPr>
              <w:pStyle w:val="yTableNAm"/>
              <w:jc w:val="center"/>
            </w:pPr>
            <w:r>
              <w:rPr>
                <w:b/>
                <w:bCs/>
              </w:rPr>
              <w:t>Item</w:t>
            </w:r>
          </w:p>
        </w:tc>
        <w:tc>
          <w:tcPr>
            <w:tcW w:w="4309" w:type="dxa"/>
            <w:tcBorders>
              <w:bottom w:val="nil"/>
            </w:tcBorders>
          </w:tcPr>
          <w:p>
            <w:pPr>
              <w:pStyle w:val="yTableNAm"/>
              <w:tabs>
                <w:tab w:val="clear" w:pos="567"/>
                <w:tab w:val="left" w:pos="461"/>
                <w:tab w:val="left" w:pos="953"/>
              </w:tabs>
              <w:jc w:val="center"/>
            </w:pPr>
            <w:r>
              <w:rPr>
                <w:b/>
                <w:bCs/>
              </w:rPr>
              <w:t>Fee for</w:t>
            </w:r>
          </w:p>
        </w:tc>
        <w:tc>
          <w:tcPr>
            <w:tcW w:w="1417" w:type="dxa"/>
            <w:vMerge w:val="restart"/>
          </w:tcPr>
          <w:p>
            <w:pPr>
              <w:pStyle w:val="yTableNAm"/>
            </w:pPr>
            <w:r>
              <w:rPr>
                <w:b/>
                <w:bCs/>
              </w:rPr>
              <w:t>Fee</w:t>
            </w:r>
          </w:p>
        </w:tc>
      </w:tr>
      <w:tr>
        <w:trPr>
          <w:tblHeader/>
        </w:trPr>
        <w:tc>
          <w:tcPr>
            <w:tcW w:w="1276" w:type="dxa"/>
            <w:tcBorders>
              <w:top w:val="nil"/>
            </w:tcBorders>
          </w:tcPr>
          <w:p>
            <w:pPr>
              <w:pStyle w:val="zyTableNAm"/>
              <w:keepNext/>
              <w:keepLines/>
              <w:widowControl w:val="0"/>
              <w:jc w:val="center"/>
            </w:pPr>
          </w:p>
        </w:tc>
        <w:tc>
          <w:tcPr>
            <w:tcW w:w="4309" w:type="dxa"/>
            <w:tcBorders>
              <w:top w:val="nil"/>
            </w:tcBorders>
          </w:tcPr>
          <w:p>
            <w:pPr>
              <w:pStyle w:val="zyTableNAm"/>
              <w:keepNext/>
              <w:keepLines/>
              <w:widowControl w:val="0"/>
              <w:tabs>
                <w:tab w:val="clear" w:pos="567"/>
                <w:tab w:val="left" w:pos="461"/>
                <w:tab w:val="left" w:pos="953"/>
              </w:tabs>
            </w:pPr>
          </w:p>
        </w:tc>
        <w:tc>
          <w:tcPr>
            <w:tcW w:w="1417" w:type="dxa"/>
            <w:vMerge/>
          </w:tcPr>
          <w:p>
            <w:pPr>
              <w:pStyle w:val="yTableNAm"/>
            </w:pPr>
          </w:p>
        </w:tc>
      </w:tr>
      <w:tr>
        <w:trPr>
          <w:cantSplit/>
        </w:trPr>
        <w:tc>
          <w:tcPr>
            <w:tcW w:w="1276" w:type="dxa"/>
          </w:tcPr>
          <w:p>
            <w:pPr>
              <w:pStyle w:val="yTableNAm"/>
              <w:jc w:val="center"/>
              <w:rPr>
                <w:rFonts w:ascii="Arial" w:hAnsi="Arial"/>
                <w:b/>
              </w:rPr>
            </w:pPr>
            <w:r>
              <w:t>1.</w:t>
            </w:r>
          </w:p>
        </w:tc>
        <w:tc>
          <w:tcPr>
            <w:tcW w:w="4309" w:type="dxa"/>
          </w:tcPr>
          <w:p>
            <w:pPr>
              <w:pStyle w:val="yTableNAm"/>
              <w:tabs>
                <w:tab w:val="clear" w:pos="567"/>
                <w:tab w:val="left" w:pos="461"/>
                <w:tab w:val="left" w:pos="953"/>
              </w:tabs>
              <w:rPr>
                <w:rFonts w:ascii="Arial" w:hAnsi="Arial"/>
                <w:b/>
              </w:rPr>
            </w:pPr>
            <w:r>
              <w:t>Late application (r. 9(2)) .................................</w:t>
            </w:r>
          </w:p>
        </w:tc>
        <w:tc>
          <w:tcPr>
            <w:tcW w:w="1417" w:type="dxa"/>
          </w:tcPr>
          <w:p>
            <w:pPr>
              <w:pStyle w:val="yTableNAm"/>
            </w:pPr>
            <w:r>
              <w:t>75.00</w:t>
            </w:r>
          </w:p>
        </w:tc>
      </w:tr>
      <w:tr>
        <w:trPr>
          <w:cantSplit/>
        </w:trPr>
        <w:tc>
          <w:tcPr>
            <w:tcW w:w="1276" w:type="dxa"/>
          </w:tcPr>
          <w:p>
            <w:pPr>
              <w:pStyle w:val="zyTableNAm"/>
              <w:keepNext/>
              <w:keepLines/>
              <w:widowControl w:val="0"/>
              <w:jc w:val="center"/>
            </w:pPr>
          </w:p>
        </w:tc>
        <w:tc>
          <w:tcPr>
            <w:tcW w:w="4309" w:type="dxa"/>
          </w:tcPr>
          <w:p>
            <w:pPr>
              <w:pStyle w:val="zyTableNAm"/>
              <w:keepNext/>
              <w:keepLines/>
              <w:widowControl w:val="0"/>
              <w:tabs>
                <w:tab w:val="clear" w:pos="567"/>
                <w:tab w:val="left" w:pos="461"/>
                <w:tab w:val="left" w:pos="953"/>
              </w:tabs>
            </w:pPr>
          </w:p>
        </w:tc>
        <w:tc>
          <w:tcPr>
            <w:tcW w:w="1417" w:type="dxa"/>
          </w:tcPr>
          <w:p>
            <w:pPr>
              <w:pStyle w:val="yTableNAm"/>
              <w:rPr>
                <w:rFonts w:ascii="Arial" w:hAnsi="Arial"/>
                <w:b/>
              </w:rPr>
            </w:pPr>
            <w:r>
              <w:rPr>
                <w:b/>
                <w:bCs/>
              </w:rPr>
              <w:t>Fee in $ per hour of unit</w:t>
            </w:r>
          </w:p>
        </w:tc>
      </w:tr>
      <w:tr>
        <w:trPr>
          <w:cantSplit/>
        </w:trPr>
        <w:tc>
          <w:tcPr>
            <w:tcW w:w="1276" w:type="dxa"/>
          </w:tcPr>
          <w:p>
            <w:pPr>
              <w:pStyle w:val="yTableNAm"/>
              <w:jc w:val="center"/>
              <w:rPr>
                <w:rFonts w:ascii="Arial" w:hAnsi="Arial"/>
                <w:b/>
              </w:rPr>
            </w:pPr>
            <w:r>
              <w:t>2.</w:t>
            </w:r>
          </w:p>
        </w:tc>
        <w:tc>
          <w:tcPr>
            <w:tcW w:w="4309" w:type="dxa"/>
          </w:tcPr>
          <w:p>
            <w:pPr>
              <w:pStyle w:val="yTableNAm"/>
              <w:tabs>
                <w:tab w:val="clear" w:pos="567"/>
                <w:tab w:val="left" w:pos="461"/>
                <w:tab w:val="left" w:pos="953"/>
              </w:tabs>
              <w:rPr>
                <w:rFonts w:ascii="Arial" w:hAnsi="Arial"/>
                <w:b/>
              </w:rPr>
            </w:pPr>
            <w:r>
              <w:t xml:space="preserve">Category 1 course — </w:t>
            </w:r>
            <w:r>
              <w:br/>
              <w:t>all students ......................................................</w:t>
            </w:r>
          </w:p>
        </w:tc>
        <w:tc>
          <w:tcPr>
            <w:tcW w:w="1417" w:type="dxa"/>
          </w:tcPr>
          <w:p>
            <w:pPr>
              <w:pStyle w:val="yTableNAm"/>
            </w:pPr>
            <w:r>
              <w:br/>
            </w:r>
            <w:r>
              <w:rPr>
                <w:szCs w:val="22"/>
              </w:rPr>
              <w:t>5.67</w:t>
            </w:r>
          </w:p>
        </w:tc>
      </w:tr>
      <w:tr>
        <w:trPr>
          <w:cantSplit/>
        </w:trPr>
        <w:tc>
          <w:tcPr>
            <w:tcW w:w="1276" w:type="dxa"/>
            <w:tcBorders>
              <w:bottom w:val="single" w:sz="4" w:space="0" w:color="auto"/>
            </w:tcBorders>
          </w:tcPr>
          <w:p>
            <w:pPr>
              <w:pStyle w:val="yTableNAm"/>
              <w:jc w:val="center"/>
              <w:rPr>
                <w:rFonts w:ascii="Arial" w:hAnsi="Arial"/>
                <w:b/>
              </w:rPr>
            </w:pPr>
            <w:r>
              <w:t>3.</w:t>
            </w:r>
          </w:p>
        </w:tc>
        <w:tc>
          <w:tcPr>
            <w:tcW w:w="4309" w:type="dxa"/>
            <w:tcBorders>
              <w:bottom w:val="single" w:sz="4" w:space="0" w:color="auto"/>
            </w:tcBorders>
          </w:tcPr>
          <w:p>
            <w:pPr>
              <w:pStyle w:val="yTableNAm"/>
              <w:tabs>
                <w:tab w:val="clear" w:pos="567"/>
                <w:tab w:val="left" w:pos="461"/>
                <w:tab w:val="left" w:pos="953"/>
              </w:tabs>
              <w:rPr>
                <w:rFonts w:ascii="Arial" w:hAnsi="Arial"/>
                <w:b/>
              </w:rPr>
            </w:pPr>
            <w:r>
              <w:t xml:space="preserve">Category 2 course — </w:t>
            </w:r>
          </w:p>
        </w:tc>
        <w:tc>
          <w:tcPr>
            <w:tcW w:w="1417" w:type="dxa"/>
            <w:tcBorders>
              <w:bottom w:val="single" w:sz="4" w:space="0" w:color="auto"/>
            </w:tcBorders>
          </w:tcPr>
          <w:p>
            <w:pPr>
              <w:pStyle w:val="yTableNAm"/>
            </w:pPr>
          </w:p>
        </w:tc>
      </w:tr>
      <w:tr>
        <w:trPr>
          <w:cantSplit/>
        </w:trPr>
        <w:tc>
          <w:tcPr>
            <w:tcW w:w="1276" w:type="dxa"/>
            <w:tcBorders>
              <w:bottom w:val="nil"/>
            </w:tcBorders>
          </w:tcPr>
          <w:p>
            <w:pPr>
              <w:pStyle w:val="zyTableNAm"/>
              <w:jc w:val="center"/>
            </w:pPr>
          </w:p>
        </w:tc>
        <w:tc>
          <w:tcPr>
            <w:tcW w:w="4309" w:type="dxa"/>
            <w:tcBorders>
              <w:bottom w:val="nil"/>
            </w:tcBorders>
          </w:tcPr>
          <w:p>
            <w:pPr>
              <w:pStyle w:val="yTableNAm"/>
              <w:tabs>
                <w:tab w:val="clear" w:pos="567"/>
                <w:tab w:val="left" w:pos="461"/>
                <w:tab w:val="left" w:pos="953"/>
              </w:tabs>
              <w:ind w:left="461" w:hanging="461"/>
              <w:rPr>
                <w:rFonts w:ascii="Arial" w:hAnsi="Arial"/>
                <w:b/>
              </w:rPr>
            </w:pPr>
            <w:r>
              <w:t>(a)</w:t>
            </w:r>
            <w:r>
              <w:tab/>
              <w:t>for a student who is not a concessional student ....................................................</w:t>
            </w:r>
          </w:p>
        </w:tc>
        <w:tc>
          <w:tcPr>
            <w:tcW w:w="1417" w:type="dxa"/>
            <w:tcBorders>
              <w:bottom w:val="nil"/>
            </w:tcBorders>
          </w:tcPr>
          <w:p>
            <w:pPr>
              <w:pStyle w:val="yTableNAm"/>
            </w:pPr>
            <w:r>
              <w:br/>
            </w:r>
            <w:r>
              <w:rPr>
                <w:szCs w:val="22"/>
              </w:rPr>
              <w:t>3.09</w:t>
            </w:r>
          </w:p>
        </w:tc>
      </w:tr>
      <w:tr>
        <w:trPr>
          <w:cantSplit/>
        </w:trPr>
        <w:tc>
          <w:tcPr>
            <w:tcW w:w="1276" w:type="dxa"/>
            <w:tcBorders>
              <w:top w:val="nil"/>
            </w:tcBorders>
          </w:tcPr>
          <w:p>
            <w:pPr>
              <w:pStyle w:val="zyTableNAm"/>
              <w:spacing w:before="80"/>
              <w:jc w:val="center"/>
            </w:pPr>
          </w:p>
        </w:tc>
        <w:tc>
          <w:tcPr>
            <w:tcW w:w="4309" w:type="dxa"/>
            <w:tcBorders>
              <w:top w:val="nil"/>
            </w:tcBorders>
          </w:tcPr>
          <w:p>
            <w:pPr>
              <w:pStyle w:val="yTableNAm"/>
              <w:tabs>
                <w:tab w:val="clear" w:pos="567"/>
                <w:tab w:val="left" w:pos="461"/>
                <w:tab w:val="left" w:pos="953"/>
              </w:tabs>
              <w:spacing w:before="80"/>
              <w:ind w:left="461" w:hanging="461"/>
              <w:rPr>
                <w:rFonts w:ascii="Arial" w:hAnsi="Arial"/>
                <w:b/>
              </w:rPr>
            </w:pPr>
            <w:r>
              <w:t>(b)</w:t>
            </w:r>
            <w:r>
              <w:tab/>
              <w:t>for a concessional student .......................</w:t>
            </w:r>
          </w:p>
        </w:tc>
        <w:tc>
          <w:tcPr>
            <w:tcW w:w="1417" w:type="dxa"/>
            <w:tcBorders>
              <w:top w:val="nil"/>
            </w:tcBorders>
          </w:tcPr>
          <w:p>
            <w:pPr>
              <w:pStyle w:val="yTableNAm"/>
              <w:spacing w:before="80"/>
            </w:pPr>
            <w:r>
              <w:rPr>
                <w:szCs w:val="22"/>
              </w:rPr>
              <w:t>1.55</w:t>
            </w:r>
          </w:p>
        </w:tc>
      </w:tr>
      <w:tr>
        <w:trPr>
          <w:cantSplit/>
        </w:trPr>
        <w:tc>
          <w:tcPr>
            <w:tcW w:w="1276" w:type="dxa"/>
            <w:tcBorders>
              <w:bottom w:val="single" w:sz="4" w:space="0" w:color="auto"/>
            </w:tcBorders>
          </w:tcPr>
          <w:p>
            <w:pPr>
              <w:pStyle w:val="yTableNAm"/>
              <w:jc w:val="center"/>
              <w:rPr>
                <w:rFonts w:ascii="Arial" w:hAnsi="Arial"/>
                <w:b/>
              </w:rPr>
            </w:pPr>
            <w:r>
              <w:t>4.</w:t>
            </w:r>
          </w:p>
        </w:tc>
        <w:tc>
          <w:tcPr>
            <w:tcW w:w="4309" w:type="dxa"/>
            <w:tcBorders>
              <w:bottom w:val="single" w:sz="4" w:space="0" w:color="auto"/>
            </w:tcBorders>
          </w:tcPr>
          <w:p>
            <w:pPr>
              <w:pStyle w:val="yTableNAm"/>
              <w:tabs>
                <w:tab w:val="clear" w:pos="567"/>
                <w:tab w:val="left" w:pos="461"/>
                <w:tab w:val="left" w:pos="953"/>
              </w:tabs>
              <w:rPr>
                <w:rFonts w:ascii="Arial" w:hAnsi="Arial"/>
                <w:b/>
              </w:rPr>
            </w:pPr>
            <w:r>
              <w:t xml:space="preserve">Category 3 course — </w:t>
            </w:r>
          </w:p>
        </w:tc>
        <w:tc>
          <w:tcPr>
            <w:tcW w:w="1417" w:type="dxa"/>
            <w:tcBorders>
              <w:bottom w:val="single" w:sz="4" w:space="0" w:color="auto"/>
            </w:tcBorders>
          </w:tcPr>
          <w:p>
            <w:pPr>
              <w:pStyle w:val="yTableNAm"/>
            </w:pPr>
          </w:p>
        </w:tc>
      </w:tr>
      <w:tr>
        <w:trPr>
          <w:cantSplit/>
        </w:trPr>
        <w:tc>
          <w:tcPr>
            <w:tcW w:w="1276" w:type="dxa"/>
            <w:tcBorders>
              <w:bottom w:val="nil"/>
            </w:tcBorders>
          </w:tcPr>
          <w:p>
            <w:pPr>
              <w:pStyle w:val="zyTableNAm"/>
              <w:jc w:val="center"/>
            </w:pPr>
          </w:p>
        </w:tc>
        <w:tc>
          <w:tcPr>
            <w:tcW w:w="4309" w:type="dxa"/>
            <w:tcBorders>
              <w:bottom w:val="nil"/>
            </w:tcBorders>
          </w:tcPr>
          <w:p>
            <w:pPr>
              <w:pStyle w:val="yTableNAm"/>
              <w:tabs>
                <w:tab w:val="clear" w:pos="567"/>
                <w:tab w:val="left" w:pos="461"/>
                <w:tab w:val="left" w:pos="953"/>
              </w:tabs>
              <w:ind w:left="461" w:hanging="461"/>
              <w:rPr>
                <w:rFonts w:ascii="Arial" w:hAnsi="Arial"/>
                <w:b/>
              </w:rPr>
            </w:pPr>
            <w:r>
              <w:t>(a)</w:t>
            </w:r>
            <w:r>
              <w:tab/>
              <w:t xml:space="preserve">student who is not a concessional student </w:t>
            </w:r>
          </w:p>
        </w:tc>
        <w:tc>
          <w:tcPr>
            <w:tcW w:w="1417" w:type="dxa"/>
            <w:tcBorders>
              <w:bottom w:val="nil"/>
            </w:tcBorders>
          </w:tcPr>
          <w:p>
            <w:pPr>
              <w:pStyle w:val="yTableNAm"/>
            </w:pPr>
            <w:r>
              <w:rPr>
                <w:szCs w:val="22"/>
              </w:rPr>
              <w:t>4.65</w:t>
            </w:r>
          </w:p>
        </w:tc>
      </w:tr>
      <w:tr>
        <w:trPr>
          <w:cantSplit/>
        </w:trPr>
        <w:tc>
          <w:tcPr>
            <w:tcW w:w="1276" w:type="dxa"/>
            <w:tcBorders>
              <w:top w:val="nil"/>
            </w:tcBorders>
          </w:tcPr>
          <w:p>
            <w:pPr>
              <w:pStyle w:val="zyTableNAm"/>
              <w:spacing w:before="80"/>
              <w:jc w:val="center"/>
            </w:pPr>
          </w:p>
        </w:tc>
        <w:tc>
          <w:tcPr>
            <w:tcW w:w="4309" w:type="dxa"/>
            <w:tcBorders>
              <w:top w:val="nil"/>
            </w:tcBorders>
          </w:tcPr>
          <w:p>
            <w:pPr>
              <w:pStyle w:val="yTableNAm"/>
              <w:tabs>
                <w:tab w:val="clear" w:pos="567"/>
                <w:tab w:val="left" w:pos="461"/>
                <w:tab w:val="left" w:pos="953"/>
              </w:tabs>
              <w:spacing w:before="80"/>
              <w:ind w:left="461" w:hanging="461"/>
              <w:rPr>
                <w:rFonts w:ascii="Arial" w:hAnsi="Arial"/>
                <w:b/>
              </w:rPr>
            </w:pPr>
            <w:r>
              <w:t>(b)</w:t>
            </w:r>
            <w:r>
              <w:tab/>
              <w:t>for a concessional student .......................</w:t>
            </w:r>
          </w:p>
        </w:tc>
        <w:tc>
          <w:tcPr>
            <w:tcW w:w="1417" w:type="dxa"/>
            <w:tcBorders>
              <w:top w:val="nil"/>
            </w:tcBorders>
          </w:tcPr>
          <w:p>
            <w:pPr>
              <w:pStyle w:val="yTableNAm"/>
              <w:spacing w:before="80"/>
            </w:pPr>
            <w:r>
              <w:rPr>
                <w:szCs w:val="22"/>
              </w:rPr>
              <w:t>2.32</w:t>
            </w:r>
          </w:p>
        </w:tc>
      </w:tr>
      <w:tr>
        <w:trPr>
          <w:cantSplit/>
        </w:trPr>
        <w:tc>
          <w:tcPr>
            <w:tcW w:w="1276" w:type="dxa"/>
          </w:tcPr>
          <w:p>
            <w:pPr>
              <w:pStyle w:val="yTableNAm"/>
              <w:jc w:val="center"/>
              <w:rPr>
                <w:rFonts w:ascii="Arial" w:hAnsi="Arial"/>
                <w:b/>
              </w:rPr>
            </w:pPr>
            <w:r>
              <w:t>5.</w:t>
            </w:r>
          </w:p>
        </w:tc>
        <w:tc>
          <w:tcPr>
            <w:tcW w:w="4309" w:type="dxa"/>
          </w:tcPr>
          <w:p>
            <w:pPr>
              <w:pStyle w:val="yTableNAm"/>
              <w:tabs>
                <w:tab w:val="clear" w:pos="567"/>
                <w:tab w:val="left" w:pos="461"/>
                <w:tab w:val="left" w:pos="953"/>
              </w:tabs>
              <w:rPr>
                <w:rFonts w:ascii="Arial" w:hAnsi="Arial"/>
                <w:b/>
              </w:rPr>
            </w:pPr>
            <w:r>
              <w:t>Category 4 course — all students ....................</w:t>
            </w:r>
          </w:p>
        </w:tc>
        <w:tc>
          <w:tcPr>
            <w:tcW w:w="1417" w:type="dxa"/>
          </w:tcPr>
          <w:p>
            <w:pPr>
              <w:pStyle w:val="yTableNAm"/>
            </w:pPr>
            <w:r>
              <w:rPr>
                <w:szCs w:val="22"/>
              </w:rPr>
              <w:t>0.21</w:t>
            </w:r>
          </w:p>
        </w:tc>
      </w:tr>
    </w:tbl>
    <w:p>
      <w:pPr>
        <w:pStyle w:val="yFootnotesection"/>
      </w:pPr>
      <w:r>
        <w:tab/>
        <w:t xml:space="preserve">[Division 2 inserted in Gazette </w:t>
      </w:r>
      <w:r>
        <w:rPr>
          <w:szCs w:val="22"/>
        </w:rPr>
        <w:t>17 Dec 2013 p. 6271; amended in Gazette 12 Dec 2014 p. 4742</w:t>
      </w:r>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right" w:pos="658"/>
        </w:tabs>
        <w:spacing w:before="60"/>
        <w:ind w:right="118"/>
        <w:jc w:val="right"/>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50" w:name="_Toc524930921"/>
      <w:r>
        <w:t>Notes</w:t>
      </w:r>
      <w:bookmarkEnd w:id="50"/>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(Colleges) Regulations 1996</w:t>
      </w:r>
      <w:r>
        <w:rPr>
          <w:snapToGrid w:val="0"/>
        </w:rPr>
        <w:t xml:space="preserve"> and includes the amendments made by the other written laws referred to in the following table</w:t>
      </w:r>
      <w:r>
        <w:rPr>
          <w:snapToGrid w:val="0"/>
          <w:vertAlign w:val="superscript"/>
        </w:rPr>
        <w:t> </w:t>
      </w:r>
      <w:r>
        <w:rPr>
          <w:vertAlign w:val="superscript"/>
        </w:rPr>
        <w:t>1a</w:t>
      </w:r>
      <w:r>
        <w:rPr>
          <w:snapToGrid w:val="0"/>
        </w:rPr>
        <w:t>.  The table also contains information about any reprint.</w:t>
      </w:r>
    </w:p>
    <w:p>
      <w:pPr>
        <w:pStyle w:val="nHeading3"/>
      </w:pPr>
      <w:bookmarkStart w:id="51" w:name="_Toc524930922"/>
      <w:r>
        <w:t>Compilation table</w:t>
      </w:r>
      <w:bookmarkEnd w:id="5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Vocational Education and Training Regulations 1996</w:t>
            </w:r>
            <w:r>
              <w:rPr>
                <w:iCs/>
              </w:rPr>
              <w:t xml:space="preserve"> </w:t>
            </w:r>
            <w:r>
              <w:rPr>
                <w:iCs/>
                <w:vertAlign w:val="superscript"/>
              </w:rPr>
              <w:t>4</w:t>
            </w:r>
          </w:p>
        </w:tc>
        <w:tc>
          <w:tcPr>
            <w:tcW w:w="1276" w:type="dxa"/>
            <w:tcBorders>
              <w:top w:val="single" w:sz="8" w:space="0" w:color="auto"/>
            </w:tcBorders>
          </w:tcPr>
          <w:p>
            <w:pPr>
              <w:pStyle w:val="nTable"/>
              <w:spacing w:after="40"/>
            </w:pPr>
            <w:r>
              <w:t>27 Dec 1996 p. 7167</w:t>
            </w:r>
            <w:r>
              <w:noBreakHyphen/>
              <w:t>84</w:t>
            </w:r>
          </w:p>
        </w:tc>
        <w:tc>
          <w:tcPr>
            <w:tcW w:w="2693" w:type="dxa"/>
            <w:tcBorders>
              <w:top w:val="single" w:sz="8" w:space="0" w:color="auto"/>
            </w:tcBorders>
          </w:tcPr>
          <w:p>
            <w:pPr>
              <w:pStyle w:val="nTable"/>
              <w:spacing w:after="40"/>
            </w:pPr>
            <w:r>
              <w:t>1 Jan 1997 (see r. 2 and </w:t>
            </w:r>
            <w:r>
              <w:rPr>
                <w:i/>
              </w:rPr>
              <w:t>Gazette</w:t>
            </w:r>
            <w:r>
              <w:t xml:space="preserve"> 12 Nov 1996 p. 6301)</w:t>
            </w:r>
          </w:p>
        </w:tc>
      </w:tr>
      <w:tr>
        <w:trPr>
          <w:cantSplit/>
        </w:trPr>
        <w:tc>
          <w:tcPr>
            <w:tcW w:w="3119" w:type="dxa"/>
          </w:tcPr>
          <w:p>
            <w:pPr>
              <w:pStyle w:val="nTable"/>
              <w:spacing w:after="40"/>
              <w:ind w:right="113"/>
            </w:pPr>
            <w:r>
              <w:rPr>
                <w:i/>
              </w:rPr>
              <w:t>Vocational Education and Training Amendment Regulations 1997</w:t>
            </w:r>
            <w:r>
              <w:rPr>
                <w:iCs/>
                <w:vertAlign w:val="superscript"/>
              </w:rPr>
              <w:t> 5</w:t>
            </w:r>
          </w:p>
        </w:tc>
        <w:tc>
          <w:tcPr>
            <w:tcW w:w="1276" w:type="dxa"/>
          </w:tcPr>
          <w:p>
            <w:pPr>
              <w:pStyle w:val="nTable"/>
              <w:spacing w:after="40"/>
            </w:pPr>
            <w:r>
              <w:t>7 Nov 1997 p. 6149</w:t>
            </w:r>
            <w:r>
              <w:noBreakHyphen/>
              <w:t>51</w:t>
            </w:r>
          </w:p>
        </w:tc>
        <w:tc>
          <w:tcPr>
            <w:tcW w:w="2693" w:type="dxa"/>
          </w:tcPr>
          <w:p>
            <w:pPr>
              <w:pStyle w:val="nTable"/>
              <w:spacing w:after="40"/>
            </w:pPr>
            <w:r>
              <w:t>7 Nov 1997</w:t>
            </w:r>
          </w:p>
        </w:tc>
      </w:tr>
      <w:tr>
        <w:trPr>
          <w:cantSplit/>
        </w:trPr>
        <w:tc>
          <w:tcPr>
            <w:tcW w:w="3119" w:type="dxa"/>
          </w:tcPr>
          <w:p>
            <w:pPr>
              <w:pStyle w:val="nTable"/>
              <w:spacing w:after="40"/>
              <w:ind w:right="113"/>
            </w:pPr>
            <w:r>
              <w:rPr>
                <w:i/>
              </w:rPr>
              <w:t>Vocational Education and Training Amendment Regulations (No. 2) 1997</w:t>
            </w:r>
          </w:p>
        </w:tc>
        <w:tc>
          <w:tcPr>
            <w:tcW w:w="1276" w:type="dxa"/>
          </w:tcPr>
          <w:p>
            <w:pPr>
              <w:pStyle w:val="nTable"/>
              <w:spacing w:after="40"/>
            </w:pPr>
            <w:r>
              <w:t>7 Nov 1997 p. 6152</w:t>
            </w:r>
          </w:p>
        </w:tc>
        <w:tc>
          <w:tcPr>
            <w:tcW w:w="2693" w:type="dxa"/>
          </w:tcPr>
          <w:p>
            <w:pPr>
              <w:pStyle w:val="nTable"/>
              <w:spacing w:after="40"/>
            </w:pPr>
            <w:r>
              <w:t>1 Jan 1997 (see r. 2 and </w:t>
            </w:r>
            <w:r>
              <w:rPr>
                <w:i/>
              </w:rPr>
              <w:t>Gazette</w:t>
            </w:r>
            <w:r>
              <w:t xml:space="preserve"> 12 Nov 1996 p. 6301)</w:t>
            </w:r>
          </w:p>
        </w:tc>
      </w:tr>
      <w:tr>
        <w:trPr>
          <w:cantSplit/>
        </w:trPr>
        <w:tc>
          <w:tcPr>
            <w:tcW w:w="3119" w:type="dxa"/>
          </w:tcPr>
          <w:p>
            <w:pPr>
              <w:pStyle w:val="nTable"/>
              <w:spacing w:after="40"/>
              <w:ind w:right="113"/>
            </w:pPr>
            <w:r>
              <w:rPr>
                <w:i/>
              </w:rPr>
              <w:t>Vocational Education and Training Amendment Regulations 1998</w:t>
            </w:r>
          </w:p>
        </w:tc>
        <w:tc>
          <w:tcPr>
            <w:tcW w:w="1276" w:type="dxa"/>
          </w:tcPr>
          <w:p>
            <w:pPr>
              <w:pStyle w:val="nTable"/>
              <w:spacing w:after="40"/>
            </w:pPr>
            <w:r>
              <w:t>14 Aug 1998 p. 4433</w:t>
            </w:r>
            <w:r>
              <w:noBreakHyphen/>
              <w:t>6</w:t>
            </w:r>
          </w:p>
        </w:tc>
        <w:tc>
          <w:tcPr>
            <w:tcW w:w="2693" w:type="dxa"/>
          </w:tcPr>
          <w:p>
            <w:pPr>
              <w:pStyle w:val="nTable"/>
              <w:spacing w:after="40"/>
            </w:pPr>
            <w:r>
              <w:t>14 Aug 1998</w:t>
            </w:r>
          </w:p>
        </w:tc>
      </w:tr>
      <w:tr>
        <w:trPr>
          <w:cantSplit/>
        </w:trPr>
        <w:tc>
          <w:tcPr>
            <w:tcW w:w="3119" w:type="dxa"/>
          </w:tcPr>
          <w:p>
            <w:pPr>
              <w:pStyle w:val="nTable"/>
              <w:spacing w:after="40"/>
              <w:ind w:right="113"/>
              <w:rPr>
                <w:i/>
              </w:rPr>
            </w:pPr>
            <w:r>
              <w:rPr>
                <w:i/>
              </w:rPr>
              <w:t>Vocational Education and Training Amendment Regulations (No. 2) 1998</w:t>
            </w:r>
          </w:p>
        </w:tc>
        <w:tc>
          <w:tcPr>
            <w:tcW w:w="1276" w:type="dxa"/>
          </w:tcPr>
          <w:p>
            <w:pPr>
              <w:pStyle w:val="nTable"/>
              <w:spacing w:after="40"/>
            </w:pPr>
            <w:r>
              <w:t>4 Dec 1998 p. 6534</w:t>
            </w:r>
            <w:r>
              <w:noBreakHyphen/>
              <w:t>5</w:t>
            </w:r>
          </w:p>
        </w:tc>
        <w:tc>
          <w:tcPr>
            <w:tcW w:w="2693" w:type="dxa"/>
          </w:tcPr>
          <w:p>
            <w:pPr>
              <w:pStyle w:val="nTable"/>
              <w:spacing w:after="40"/>
            </w:pPr>
            <w:r>
              <w:t>4 Dec 1998</w:t>
            </w:r>
          </w:p>
        </w:tc>
      </w:tr>
      <w:tr>
        <w:trPr>
          <w:cantSplit/>
        </w:trPr>
        <w:tc>
          <w:tcPr>
            <w:tcW w:w="3119" w:type="dxa"/>
          </w:tcPr>
          <w:p>
            <w:pPr>
              <w:pStyle w:val="nTable"/>
              <w:spacing w:after="40"/>
              <w:ind w:right="113"/>
              <w:rPr>
                <w:i/>
              </w:rPr>
            </w:pPr>
            <w:r>
              <w:rPr>
                <w:i/>
              </w:rPr>
              <w:t>Vocational Education and Training Amendment Regulations 1999</w:t>
            </w:r>
          </w:p>
        </w:tc>
        <w:tc>
          <w:tcPr>
            <w:tcW w:w="1276" w:type="dxa"/>
          </w:tcPr>
          <w:p>
            <w:pPr>
              <w:pStyle w:val="nTable"/>
              <w:spacing w:after="40"/>
            </w:pPr>
            <w:r>
              <w:t>13 Apr 1999 p. 1546</w:t>
            </w:r>
            <w:r>
              <w:noBreakHyphen/>
              <w:t>8</w:t>
            </w:r>
          </w:p>
        </w:tc>
        <w:tc>
          <w:tcPr>
            <w:tcW w:w="2693" w:type="dxa"/>
          </w:tcPr>
          <w:p>
            <w:pPr>
              <w:pStyle w:val="nTable"/>
              <w:spacing w:after="40"/>
            </w:pPr>
            <w:r>
              <w:t>13 Apr 1999</w:t>
            </w:r>
          </w:p>
        </w:tc>
      </w:tr>
      <w:tr>
        <w:trPr>
          <w:cantSplit/>
        </w:trPr>
        <w:tc>
          <w:tcPr>
            <w:tcW w:w="3119" w:type="dxa"/>
          </w:tcPr>
          <w:p>
            <w:pPr>
              <w:pStyle w:val="nTable"/>
              <w:spacing w:after="40"/>
              <w:ind w:right="113"/>
            </w:pPr>
            <w:r>
              <w:rPr>
                <w:i/>
              </w:rPr>
              <w:t>Vocational Education and Training Amendment Regulations (No. 2) 1999</w:t>
            </w:r>
            <w:r>
              <w:t xml:space="preserve"> r. 5 and 6</w:t>
            </w:r>
          </w:p>
        </w:tc>
        <w:tc>
          <w:tcPr>
            <w:tcW w:w="1276" w:type="dxa"/>
          </w:tcPr>
          <w:p>
            <w:pPr>
              <w:pStyle w:val="nTable"/>
              <w:spacing w:after="40"/>
            </w:pPr>
            <w:r>
              <w:t>5 Nov 1999 p. 5634</w:t>
            </w:r>
            <w:r>
              <w:noBreakHyphen/>
              <w:t>5</w:t>
            </w:r>
          </w:p>
        </w:tc>
        <w:tc>
          <w:tcPr>
            <w:tcW w:w="2693" w:type="dxa"/>
          </w:tcPr>
          <w:p>
            <w:pPr>
              <w:pStyle w:val="nTable"/>
              <w:spacing w:after="40"/>
            </w:pPr>
            <w:r>
              <w:t>5 Nov 1999 (see r. 2(1))</w:t>
            </w:r>
          </w:p>
        </w:tc>
      </w:tr>
      <w:tr>
        <w:trPr>
          <w:cantSplit/>
        </w:trPr>
        <w:tc>
          <w:tcPr>
            <w:tcW w:w="7088" w:type="dxa"/>
            <w:gridSpan w:val="3"/>
          </w:tcPr>
          <w:p>
            <w:pPr>
              <w:pStyle w:val="nTable"/>
              <w:spacing w:after="40"/>
              <w:rPr>
                <w:iCs/>
              </w:rPr>
            </w:pPr>
            <w:r>
              <w:rPr>
                <w:b/>
                <w:bCs/>
              </w:rPr>
              <w:t xml:space="preserve">Reprint of the </w:t>
            </w:r>
            <w:r>
              <w:rPr>
                <w:b/>
                <w:bCs/>
                <w:i/>
              </w:rPr>
              <w:t>Vocational Education and Training Regulations 1996</w:t>
            </w:r>
            <w:r>
              <w:rPr>
                <w:b/>
                <w:bCs/>
                <w:iCs/>
              </w:rPr>
              <w:t xml:space="preserve"> as at 26 May 2000</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Amendment Regulations 2001</w:t>
            </w:r>
          </w:p>
        </w:tc>
        <w:tc>
          <w:tcPr>
            <w:tcW w:w="1276" w:type="dxa"/>
          </w:tcPr>
          <w:p>
            <w:pPr>
              <w:pStyle w:val="nTable"/>
              <w:spacing w:after="40"/>
            </w:pPr>
            <w:r>
              <w:t>2 Nov 2001 p. 5795</w:t>
            </w:r>
            <w:r>
              <w:noBreakHyphen/>
              <w:t>6</w:t>
            </w:r>
          </w:p>
        </w:tc>
        <w:tc>
          <w:tcPr>
            <w:tcW w:w="2693" w:type="dxa"/>
          </w:tcPr>
          <w:p>
            <w:pPr>
              <w:pStyle w:val="nTable"/>
              <w:spacing w:after="40"/>
            </w:pPr>
            <w:r>
              <w:t>2 Nov 2001</w:t>
            </w:r>
          </w:p>
        </w:tc>
      </w:tr>
      <w:tr>
        <w:trPr>
          <w:cantSplit/>
        </w:trPr>
        <w:tc>
          <w:tcPr>
            <w:tcW w:w="3119" w:type="dxa"/>
          </w:tcPr>
          <w:p>
            <w:pPr>
              <w:pStyle w:val="nTable"/>
              <w:spacing w:after="40"/>
              <w:ind w:right="113"/>
              <w:rPr>
                <w:i/>
              </w:rPr>
            </w:pPr>
            <w:r>
              <w:rPr>
                <w:i/>
              </w:rPr>
              <w:t>Vocational Education and Training Amendment Regulations (No. 3) 2001</w:t>
            </w:r>
          </w:p>
        </w:tc>
        <w:tc>
          <w:tcPr>
            <w:tcW w:w="1276" w:type="dxa"/>
          </w:tcPr>
          <w:p>
            <w:pPr>
              <w:pStyle w:val="nTable"/>
              <w:spacing w:after="40"/>
            </w:pPr>
            <w:r>
              <w:t>14 Dec 2001 p. 6408</w:t>
            </w:r>
            <w:r>
              <w:noBreakHyphen/>
              <w:t>9</w:t>
            </w:r>
          </w:p>
        </w:tc>
        <w:tc>
          <w:tcPr>
            <w:tcW w:w="2693" w:type="dxa"/>
          </w:tcPr>
          <w:p>
            <w:pPr>
              <w:pStyle w:val="nTable"/>
              <w:spacing w:after="40"/>
            </w:pPr>
            <w:r>
              <w:t>14 Dec 2001</w:t>
            </w:r>
          </w:p>
        </w:tc>
      </w:tr>
      <w:tr>
        <w:trPr>
          <w:cantSplit/>
        </w:trPr>
        <w:tc>
          <w:tcPr>
            <w:tcW w:w="3119" w:type="dxa"/>
          </w:tcPr>
          <w:p>
            <w:pPr>
              <w:pStyle w:val="nTable"/>
              <w:spacing w:after="40"/>
              <w:ind w:right="113"/>
              <w:rPr>
                <w:i/>
              </w:rPr>
            </w:pPr>
            <w:r>
              <w:rPr>
                <w:i/>
              </w:rPr>
              <w:t>Vocational Education and Training Amendment Regulations 2002</w:t>
            </w:r>
          </w:p>
        </w:tc>
        <w:tc>
          <w:tcPr>
            <w:tcW w:w="1276" w:type="dxa"/>
          </w:tcPr>
          <w:p>
            <w:pPr>
              <w:pStyle w:val="nTable"/>
              <w:spacing w:after="40"/>
            </w:pPr>
            <w:r>
              <w:t>16 Aug 2002 p. 4209</w:t>
            </w:r>
            <w:r>
              <w:noBreakHyphen/>
              <w:t>10</w:t>
            </w:r>
          </w:p>
        </w:tc>
        <w:tc>
          <w:tcPr>
            <w:tcW w:w="2693" w:type="dxa"/>
          </w:tcPr>
          <w:p>
            <w:pPr>
              <w:pStyle w:val="nTable"/>
              <w:spacing w:after="40"/>
            </w:pPr>
            <w:r>
              <w:t>16 Aug 2002</w:t>
            </w:r>
          </w:p>
        </w:tc>
      </w:tr>
      <w:tr>
        <w:trPr>
          <w:cantSplit/>
        </w:trPr>
        <w:tc>
          <w:tcPr>
            <w:tcW w:w="3119" w:type="dxa"/>
          </w:tcPr>
          <w:p>
            <w:pPr>
              <w:pStyle w:val="nTable"/>
              <w:spacing w:after="40"/>
              <w:ind w:right="113"/>
              <w:rPr>
                <w:i/>
              </w:rPr>
            </w:pPr>
            <w:r>
              <w:rPr>
                <w:i/>
              </w:rPr>
              <w:t>Vocational Education and Training Amendment Regulations (No. 2) 2002</w:t>
            </w:r>
          </w:p>
        </w:tc>
        <w:tc>
          <w:tcPr>
            <w:tcW w:w="1276" w:type="dxa"/>
          </w:tcPr>
          <w:p>
            <w:pPr>
              <w:pStyle w:val="nTable"/>
              <w:spacing w:after="40"/>
            </w:pPr>
            <w:r>
              <w:t>8 Oct 2002 p. 5096</w:t>
            </w:r>
            <w:r>
              <w:noBreakHyphen/>
              <w:t>7</w:t>
            </w:r>
          </w:p>
        </w:tc>
        <w:tc>
          <w:tcPr>
            <w:tcW w:w="2693" w:type="dxa"/>
          </w:tcPr>
          <w:p>
            <w:pPr>
              <w:pStyle w:val="nTable"/>
              <w:spacing w:after="40"/>
            </w:pPr>
            <w:r>
              <w:t>8 Oct 2002</w:t>
            </w:r>
          </w:p>
        </w:tc>
      </w:tr>
      <w:tr>
        <w:trPr>
          <w:cantSplit/>
        </w:trPr>
        <w:tc>
          <w:tcPr>
            <w:tcW w:w="3119" w:type="dxa"/>
          </w:tcPr>
          <w:p>
            <w:pPr>
              <w:pStyle w:val="nTable"/>
              <w:spacing w:after="40"/>
              <w:ind w:right="113"/>
              <w:rPr>
                <w:i/>
              </w:rPr>
            </w:pPr>
            <w:r>
              <w:rPr>
                <w:i/>
              </w:rPr>
              <w:t>Vocational Education and Training Amendment Regulations (No. 3) 2002</w:t>
            </w:r>
          </w:p>
        </w:tc>
        <w:tc>
          <w:tcPr>
            <w:tcW w:w="1276" w:type="dxa"/>
          </w:tcPr>
          <w:p>
            <w:pPr>
              <w:pStyle w:val="nTable"/>
              <w:spacing w:after="40"/>
            </w:pPr>
            <w:r>
              <w:t>29 Nov 2002 p. 5667</w:t>
            </w:r>
            <w:r>
              <w:noBreakHyphen/>
              <w:t>8</w:t>
            </w:r>
          </w:p>
        </w:tc>
        <w:tc>
          <w:tcPr>
            <w:tcW w:w="2693" w:type="dxa"/>
          </w:tcPr>
          <w:p>
            <w:pPr>
              <w:pStyle w:val="nTable"/>
              <w:spacing w:after="40"/>
            </w:pPr>
            <w:r>
              <w:t>29 Nov 2002</w:t>
            </w:r>
          </w:p>
        </w:tc>
      </w:tr>
      <w:tr>
        <w:trPr>
          <w:cantSplit/>
        </w:trPr>
        <w:tc>
          <w:tcPr>
            <w:tcW w:w="3119" w:type="dxa"/>
          </w:tcPr>
          <w:p>
            <w:pPr>
              <w:pStyle w:val="nTable"/>
              <w:spacing w:after="40"/>
              <w:ind w:right="113"/>
              <w:rPr>
                <w:i/>
              </w:rPr>
            </w:pPr>
            <w:r>
              <w:rPr>
                <w:i/>
              </w:rPr>
              <w:t>Vocational Education and Training Amendment Regulations 2003</w:t>
            </w:r>
          </w:p>
        </w:tc>
        <w:tc>
          <w:tcPr>
            <w:tcW w:w="1276" w:type="dxa"/>
          </w:tcPr>
          <w:p>
            <w:pPr>
              <w:pStyle w:val="nTable"/>
              <w:spacing w:after="40"/>
            </w:pPr>
            <w:r>
              <w:t>28 Nov 2003 p. 4773</w:t>
            </w:r>
            <w:r>
              <w:noBreakHyphen/>
              <w:t>4</w:t>
            </w:r>
          </w:p>
        </w:tc>
        <w:tc>
          <w:tcPr>
            <w:tcW w:w="2693" w:type="dxa"/>
          </w:tcPr>
          <w:p>
            <w:pPr>
              <w:pStyle w:val="nTable"/>
              <w:spacing w:after="40"/>
            </w:pPr>
            <w:r>
              <w:t>28 Nov 2003</w:t>
            </w:r>
          </w:p>
        </w:tc>
      </w:tr>
      <w:tr>
        <w:trPr>
          <w:cantSplit/>
        </w:trPr>
        <w:tc>
          <w:tcPr>
            <w:tcW w:w="3119" w:type="dxa"/>
          </w:tcPr>
          <w:p>
            <w:pPr>
              <w:pStyle w:val="nTable"/>
              <w:spacing w:after="40"/>
              <w:ind w:right="113"/>
              <w:rPr>
                <w:i/>
              </w:rPr>
            </w:pPr>
            <w:r>
              <w:rPr>
                <w:i/>
              </w:rPr>
              <w:t>Vocational Education and Training Amendment Regulations 2004</w:t>
            </w:r>
          </w:p>
        </w:tc>
        <w:tc>
          <w:tcPr>
            <w:tcW w:w="1276" w:type="dxa"/>
          </w:tcPr>
          <w:p>
            <w:pPr>
              <w:pStyle w:val="nTable"/>
              <w:spacing w:after="40"/>
            </w:pPr>
            <w:r>
              <w:t>26 Nov 2004 p. 5310</w:t>
            </w:r>
          </w:p>
        </w:tc>
        <w:tc>
          <w:tcPr>
            <w:tcW w:w="2693" w:type="dxa"/>
          </w:tcPr>
          <w:p>
            <w:pPr>
              <w:pStyle w:val="nTable"/>
              <w:spacing w:after="40"/>
            </w:pPr>
            <w:r>
              <w:t>26 Nov 2004</w:t>
            </w:r>
          </w:p>
        </w:tc>
      </w:tr>
      <w:tr>
        <w:trPr>
          <w:cantSplit/>
        </w:trPr>
        <w:tc>
          <w:tcPr>
            <w:tcW w:w="7088" w:type="dxa"/>
            <w:gridSpan w:val="3"/>
          </w:tcPr>
          <w:p>
            <w:pPr>
              <w:pStyle w:val="nTable"/>
              <w:spacing w:after="40"/>
            </w:pPr>
            <w:r>
              <w:rPr>
                <w:b/>
                <w:bCs/>
              </w:rPr>
              <w:t xml:space="preserve">Reprint 2: The </w:t>
            </w:r>
            <w:r>
              <w:rPr>
                <w:b/>
                <w:bCs/>
                <w:i/>
              </w:rPr>
              <w:t>Vocational Education and Training Regulations 1996</w:t>
            </w:r>
            <w:r>
              <w:rPr>
                <w:b/>
                <w:bCs/>
                <w:iCs/>
              </w:rPr>
              <w:t xml:space="preserve"> as at 17 Dec 2004</w:t>
            </w:r>
            <w:r>
              <w:rPr>
                <w:iCs/>
              </w:rPr>
              <w:t xml:space="preserve"> (includes amendments listed above)</w:t>
            </w:r>
          </w:p>
        </w:tc>
      </w:tr>
      <w:tr>
        <w:trPr>
          <w:cantSplit/>
        </w:trPr>
        <w:tc>
          <w:tcPr>
            <w:tcW w:w="3119" w:type="dxa"/>
          </w:tcPr>
          <w:p>
            <w:pPr>
              <w:pStyle w:val="nTable"/>
              <w:spacing w:after="40"/>
              <w:ind w:right="113"/>
              <w:rPr>
                <w:iCs/>
                <w:vertAlign w:val="superscript"/>
              </w:rPr>
            </w:pPr>
            <w:r>
              <w:rPr>
                <w:i/>
              </w:rPr>
              <w:t>Vocational Education and Training Amendment Regulations 2005 </w:t>
            </w:r>
            <w:r>
              <w:rPr>
                <w:iCs/>
                <w:vertAlign w:val="superscript"/>
              </w:rPr>
              <w:t>6</w:t>
            </w:r>
          </w:p>
        </w:tc>
        <w:tc>
          <w:tcPr>
            <w:tcW w:w="1276" w:type="dxa"/>
          </w:tcPr>
          <w:p>
            <w:pPr>
              <w:pStyle w:val="nTable"/>
              <w:spacing w:after="40"/>
            </w:pPr>
            <w:r>
              <w:t>23 Dec 2005 p. 6246-50</w:t>
            </w:r>
          </w:p>
        </w:tc>
        <w:tc>
          <w:tcPr>
            <w:tcW w:w="2693" w:type="dxa"/>
          </w:tcPr>
          <w:p>
            <w:pPr>
              <w:pStyle w:val="nTable"/>
              <w:spacing w:after="40"/>
            </w:pPr>
            <w:r>
              <w:t>23 Dec 2005</w:t>
            </w:r>
          </w:p>
        </w:tc>
      </w:tr>
      <w:tr>
        <w:trPr>
          <w:cantSplit/>
        </w:trPr>
        <w:tc>
          <w:tcPr>
            <w:tcW w:w="3119" w:type="dxa"/>
          </w:tcPr>
          <w:p>
            <w:pPr>
              <w:pStyle w:val="nTable"/>
              <w:spacing w:after="40"/>
              <w:ind w:right="113"/>
              <w:rPr>
                <w:i/>
              </w:rPr>
            </w:pPr>
            <w:r>
              <w:rPr>
                <w:i/>
              </w:rPr>
              <w:t>Vocational Education and Training Amendment Regulations 2006</w:t>
            </w:r>
          </w:p>
        </w:tc>
        <w:tc>
          <w:tcPr>
            <w:tcW w:w="1276" w:type="dxa"/>
          </w:tcPr>
          <w:p>
            <w:pPr>
              <w:pStyle w:val="nTable"/>
              <w:spacing w:after="40"/>
            </w:pPr>
            <w:r>
              <w:t>20 Oct 2006 p. 4467-9</w:t>
            </w:r>
          </w:p>
        </w:tc>
        <w:tc>
          <w:tcPr>
            <w:tcW w:w="2693" w:type="dxa"/>
          </w:tcPr>
          <w:p>
            <w:pPr>
              <w:pStyle w:val="nTable"/>
              <w:spacing w:after="40"/>
            </w:pPr>
            <w:r>
              <w:t>20 Oct 2006</w:t>
            </w:r>
          </w:p>
        </w:tc>
      </w:tr>
      <w:tr>
        <w:trPr>
          <w:cantSplit/>
        </w:trPr>
        <w:tc>
          <w:tcPr>
            <w:tcW w:w="3119" w:type="dxa"/>
          </w:tcPr>
          <w:p>
            <w:pPr>
              <w:pStyle w:val="nTable"/>
              <w:spacing w:after="40"/>
              <w:ind w:right="113"/>
              <w:rPr>
                <w:i/>
              </w:rPr>
            </w:pPr>
            <w:r>
              <w:rPr>
                <w:i/>
              </w:rPr>
              <w:t>Vocational Education and Training Amendment Regulations (No. 2) 2006</w:t>
            </w:r>
          </w:p>
        </w:tc>
        <w:tc>
          <w:tcPr>
            <w:tcW w:w="1276" w:type="dxa"/>
          </w:tcPr>
          <w:p>
            <w:pPr>
              <w:pStyle w:val="nTable"/>
              <w:spacing w:after="40"/>
            </w:pPr>
            <w:r>
              <w:t>24 Nov 2006 p. 4813-14</w:t>
            </w:r>
          </w:p>
        </w:tc>
        <w:tc>
          <w:tcPr>
            <w:tcW w:w="2693" w:type="dxa"/>
          </w:tcPr>
          <w:p>
            <w:pPr>
              <w:pStyle w:val="nTable"/>
              <w:spacing w:after="40"/>
            </w:pPr>
            <w:r>
              <w:t>24 Nov 2006</w:t>
            </w:r>
          </w:p>
        </w:tc>
      </w:tr>
      <w:tr>
        <w:trPr>
          <w:cantSplit/>
        </w:trPr>
        <w:tc>
          <w:tcPr>
            <w:tcW w:w="3119" w:type="dxa"/>
          </w:tcPr>
          <w:p>
            <w:pPr>
              <w:pStyle w:val="nTable"/>
              <w:spacing w:after="40"/>
              <w:ind w:right="113"/>
              <w:rPr>
                <w:i/>
              </w:rPr>
            </w:pPr>
            <w:r>
              <w:rPr>
                <w:i/>
              </w:rPr>
              <w:t>Vocational Education and Training Amendment Regulations 2007</w:t>
            </w:r>
          </w:p>
        </w:tc>
        <w:tc>
          <w:tcPr>
            <w:tcW w:w="1276" w:type="dxa"/>
          </w:tcPr>
          <w:p>
            <w:pPr>
              <w:pStyle w:val="nTable"/>
              <w:spacing w:after="40"/>
            </w:pPr>
            <w:r>
              <w:t>9 Nov 2007 p. 5605-9</w:t>
            </w:r>
          </w:p>
        </w:tc>
        <w:tc>
          <w:tcPr>
            <w:tcW w:w="2693" w:type="dxa"/>
          </w:tcPr>
          <w:p>
            <w:pPr>
              <w:pStyle w:val="nTable"/>
              <w:spacing w:after="40"/>
            </w:pPr>
            <w:r>
              <w:t>r. 1 and 2: 9 Nov 2007 (see r. 2(a));</w:t>
            </w:r>
            <w:r>
              <w:br/>
              <w:t>Regulations other than r. 1 and 2: 10 Nov 2007 (see r. 2(b))</w:t>
            </w:r>
          </w:p>
        </w:tc>
      </w:tr>
      <w:tr>
        <w:trPr>
          <w:cantSplit/>
        </w:trPr>
        <w:tc>
          <w:tcPr>
            <w:tcW w:w="7088" w:type="dxa"/>
            <w:gridSpan w:val="3"/>
          </w:tcPr>
          <w:p>
            <w:pPr>
              <w:pStyle w:val="nTable"/>
              <w:spacing w:after="40"/>
            </w:pPr>
            <w:r>
              <w:rPr>
                <w:b/>
                <w:bCs/>
              </w:rPr>
              <w:t xml:space="preserve">Reprint 3: The </w:t>
            </w:r>
            <w:r>
              <w:rPr>
                <w:b/>
                <w:bCs/>
                <w:i/>
              </w:rPr>
              <w:t>Vocational Education and Training Regulations 1996</w:t>
            </w:r>
            <w:r>
              <w:rPr>
                <w:b/>
                <w:bCs/>
                <w:iCs/>
              </w:rPr>
              <w:t xml:space="preserve"> as at 4 Jan 2008</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Amendment Regulations 2008</w:t>
            </w:r>
          </w:p>
        </w:tc>
        <w:tc>
          <w:tcPr>
            <w:tcW w:w="1276" w:type="dxa"/>
          </w:tcPr>
          <w:p>
            <w:pPr>
              <w:pStyle w:val="nTable"/>
              <w:spacing w:after="40"/>
            </w:pPr>
            <w:r>
              <w:t>30 May 2008 p. 2068-9</w:t>
            </w:r>
          </w:p>
        </w:tc>
        <w:tc>
          <w:tcPr>
            <w:tcW w:w="2693" w:type="dxa"/>
          </w:tcPr>
          <w:p>
            <w:pPr>
              <w:pStyle w:val="nTable"/>
              <w:spacing w:after="40"/>
            </w:pPr>
            <w:r>
              <w:rPr>
                <w:snapToGrid w:val="0"/>
              </w:rPr>
              <w:t>r. 1 and 2: 30 May 2008 (see r. 2(a));</w:t>
            </w:r>
            <w:r>
              <w:rPr>
                <w:snapToGrid w:val="0"/>
              </w:rPr>
              <w:br/>
              <w:t>Regulations other than r. 1 and 2: 31 May 2008 (see r. 2(b))</w:t>
            </w:r>
          </w:p>
        </w:tc>
      </w:tr>
      <w:tr>
        <w:trPr>
          <w:cantSplit/>
        </w:trPr>
        <w:tc>
          <w:tcPr>
            <w:tcW w:w="3119" w:type="dxa"/>
          </w:tcPr>
          <w:p>
            <w:pPr>
              <w:pStyle w:val="nTable"/>
              <w:spacing w:after="40"/>
              <w:ind w:right="113"/>
              <w:rPr>
                <w:i/>
              </w:rPr>
            </w:pPr>
            <w:r>
              <w:rPr>
                <w:i/>
              </w:rPr>
              <w:t>Vocational Education and Training Amendment Regulations (No. 2) 2008</w:t>
            </w:r>
          </w:p>
        </w:tc>
        <w:tc>
          <w:tcPr>
            <w:tcW w:w="1276" w:type="dxa"/>
          </w:tcPr>
          <w:p>
            <w:pPr>
              <w:pStyle w:val="nTable"/>
              <w:spacing w:after="40"/>
            </w:pPr>
            <w:r>
              <w:t>21 Nov 2008 p. 4920-1</w:t>
            </w:r>
          </w:p>
        </w:tc>
        <w:tc>
          <w:tcPr>
            <w:tcW w:w="2693" w:type="dxa"/>
          </w:tcPr>
          <w:p>
            <w:pPr>
              <w:pStyle w:val="nTable"/>
              <w:spacing w:after="40"/>
              <w:rPr>
                <w:snapToGrid w:val="0"/>
              </w:rPr>
            </w:pPr>
            <w:r>
              <w:rPr>
                <w:snapToGrid w:val="0"/>
              </w:rPr>
              <w:t>r. 1 and 2: 21 Nov 2008 (see r. 2(a));</w:t>
            </w:r>
            <w:r>
              <w:rPr>
                <w:snapToGrid w:val="0"/>
              </w:rPr>
              <w:br/>
              <w:t>Regulations other than r. 1 and 2: 22 Nov 2008 (see r. 2(b))</w:t>
            </w:r>
          </w:p>
        </w:tc>
      </w:tr>
      <w:tr>
        <w:trPr>
          <w:cantSplit/>
        </w:trPr>
        <w:tc>
          <w:tcPr>
            <w:tcW w:w="3119" w:type="dxa"/>
          </w:tcPr>
          <w:p>
            <w:pPr>
              <w:pStyle w:val="nTable"/>
              <w:spacing w:after="40"/>
              <w:ind w:right="113"/>
              <w:rPr>
                <w:i/>
              </w:rPr>
            </w:pPr>
            <w:r>
              <w:rPr>
                <w:i/>
              </w:rPr>
              <w:t>Vocational Education and Training Amendment Regulations 2009</w:t>
            </w:r>
          </w:p>
        </w:tc>
        <w:tc>
          <w:tcPr>
            <w:tcW w:w="1276" w:type="dxa"/>
          </w:tcPr>
          <w:p>
            <w:pPr>
              <w:pStyle w:val="nTable"/>
              <w:spacing w:after="40"/>
            </w:pPr>
            <w:r>
              <w:t>31 Dec 2008 p. 5681-2</w:t>
            </w:r>
          </w:p>
        </w:tc>
        <w:tc>
          <w:tcPr>
            <w:tcW w:w="2693" w:type="dxa"/>
          </w:tcPr>
          <w:p>
            <w:pPr>
              <w:pStyle w:val="nTable"/>
              <w:spacing w:after="40"/>
              <w:rPr>
                <w:snapToGrid w:val="0"/>
              </w:rPr>
            </w:pPr>
            <w:r>
              <w:rPr>
                <w:snapToGrid w:val="0"/>
              </w:rPr>
              <w:t>r. 1 and 2: 31 Dec 2008 (see r. 2(a));</w:t>
            </w:r>
            <w:r>
              <w:rPr>
                <w:snapToGrid w:val="0"/>
              </w:rPr>
              <w:br/>
              <w:t>Regulations other than r. 1 and 2: 1 Jan 2009 (see r. 2(b))</w:t>
            </w:r>
          </w:p>
        </w:tc>
      </w:tr>
      <w:tr>
        <w:trPr>
          <w:cantSplit/>
        </w:trPr>
        <w:tc>
          <w:tcPr>
            <w:tcW w:w="3119" w:type="dxa"/>
          </w:tcPr>
          <w:p>
            <w:pPr>
              <w:pStyle w:val="nTable"/>
              <w:spacing w:after="40"/>
              <w:ind w:right="113"/>
              <w:rPr>
                <w:i/>
              </w:rPr>
            </w:pPr>
            <w:r>
              <w:rPr>
                <w:i/>
              </w:rPr>
              <w:t>Vocational Education and Training Amendment Regulations (No. 2) 2009</w:t>
            </w:r>
          </w:p>
        </w:tc>
        <w:tc>
          <w:tcPr>
            <w:tcW w:w="1276" w:type="dxa"/>
          </w:tcPr>
          <w:p>
            <w:pPr>
              <w:pStyle w:val="nTable"/>
              <w:spacing w:after="40"/>
            </w:pPr>
            <w:r>
              <w:t>22 May 2009 p. 1693-4</w:t>
            </w:r>
          </w:p>
        </w:tc>
        <w:tc>
          <w:tcPr>
            <w:tcW w:w="2693" w:type="dxa"/>
          </w:tcPr>
          <w:p>
            <w:pPr>
              <w:pStyle w:val="nTable"/>
              <w:spacing w:after="40"/>
              <w:rPr>
                <w:snapToGrid w:val="0"/>
              </w:rPr>
            </w:pPr>
            <w:r>
              <w:rPr>
                <w:snapToGrid w:val="0"/>
              </w:rPr>
              <w:t>r. 1 and 2: 22 May 2009 (see r. 2(a));</w:t>
            </w:r>
            <w:r>
              <w:rPr>
                <w:snapToGrid w:val="0"/>
              </w:rPr>
              <w:br/>
              <w:t>Regulations other than r. 1 and 2: 23 May 2009 (see r. 2(b))</w:t>
            </w:r>
          </w:p>
        </w:tc>
      </w:tr>
      <w:tr>
        <w:trPr>
          <w:cantSplit/>
        </w:trPr>
        <w:tc>
          <w:tcPr>
            <w:tcW w:w="3119" w:type="dxa"/>
          </w:tcPr>
          <w:p>
            <w:pPr>
              <w:pStyle w:val="nTable"/>
              <w:spacing w:after="40"/>
              <w:ind w:right="113"/>
              <w:rPr>
                <w:rFonts w:ascii="Times" w:hAnsi="Times"/>
                <w:i/>
              </w:rPr>
            </w:pPr>
            <w:r>
              <w:rPr>
                <w:rFonts w:ascii="Times" w:hAnsi="Times"/>
                <w:i/>
              </w:rPr>
              <w:t>Vocational Education and Training (Colleges) Amendment Regulations 2009</w:t>
            </w:r>
          </w:p>
        </w:tc>
        <w:tc>
          <w:tcPr>
            <w:tcW w:w="1276" w:type="dxa"/>
          </w:tcPr>
          <w:p>
            <w:pPr>
              <w:pStyle w:val="nTable"/>
              <w:spacing w:after="40"/>
              <w:rPr>
                <w:rFonts w:ascii="Times" w:hAnsi="Times"/>
              </w:rPr>
            </w:pPr>
            <w:r>
              <w:rPr>
                <w:rFonts w:ascii="Times" w:hAnsi="Times"/>
              </w:rPr>
              <w:t>26 Jun 2009 p. 2565</w:t>
            </w:r>
            <w:r>
              <w:rPr>
                <w:rFonts w:ascii="Times" w:hAnsi="Times"/>
              </w:rPr>
              <w:noBreakHyphen/>
              <w:t>8</w:t>
            </w:r>
          </w:p>
        </w:tc>
        <w:tc>
          <w:tcPr>
            <w:tcW w:w="2693" w:type="dxa"/>
          </w:tcPr>
          <w:p>
            <w:pPr>
              <w:pStyle w:val="nTable"/>
              <w:spacing w:after="40"/>
              <w:rPr>
                <w:rFonts w:ascii="Times" w:hAnsi="Times"/>
                <w:snapToGrid w:val="0"/>
              </w:rPr>
            </w:pPr>
            <w:r>
              <w:rPr>
                <w:rFonts w:ascii="Times" w:hAnsi="Times"/>
                <w:snapToGrid w:val="0"/>
              </w:rPr>
              <w:t>r. 1 and 2: 26 Jun 2009 (see r. 2(a));</w:t>
            </w:r>
            <w:r>
              <w:rPr>
                <w:rFonts w:ascii="Times" w:hAnsi="Times"/>
                <w:snapToGrid w:val="0"/>
              </w:rPr>
              <w:br/>
              <w:t>Regulations other than r. 1 and 2: 1 Jul 2009 (see r. 2(b))</w:t>
            </w:r>
          </w:p>
        </w:tc>
      </w:tr>
      <w:tr>
        <w:trPr>
          <w:cantSplit/>
        </w:trPr>
        <w:tc>
          <w:tcPr>
            <w:tcW w:w="7088" w:type="dxa"/>
            <w:gridSpan w:val="3"/>
          </w:tcPr>
          <w:p>
            <w:pPr>
              <w:pStyle w:val="nTable"/>
              <w:spacing w:after="40"/>
              <w:rPr>
                <w:rFonts w:ascii="Times" w:hAnsi="Times"/>
                <w:snapToGrid w:val="0"/>
              </w:rPr>
            </w:pPr>
            <w:r>
              <w:rPr>
                <w:rFonts w:ascii="Times" w:hAnsi="Times"/>
                <w:b/>
                <w:bCs/>
              </w:rPr>
              <w:t xml:space="preserve">Reprint 4: The </w:t>
            </w:r>
            <w:r>
              <w:rPr>
                <w:rFonts w:ascii="Times" w:hAnsi="Times"/>
                <w:b/>
                <w:bCs/>
                <w:i/>
              </w:rPr>
              <w:t>Vocational Education and Training (Colleges) Regulations 1996</w:t>
            </w:r>
            <w:r>
              <w:rPr>
                <w:rFonts w:ascii="Times" w:hAnsi="Times"/>
                <w:b/>
                <w:bCs/>
                <w:iCs/>
              </w:rPr>
              <w:t xml:space="preserve"> as at 7 Aug 2009</w:t>
            </w:r>
            <w:r>
              <w:rPr>
                <w:rFonts w:ascii="Times" w:hAnsi="Times"/>
                <w:iCs/>
              </w:rPr>
              <w:t xml:space="preserve"> (includes amendments listed above)</w:t>
            </w:r>
          </w:p>
        </w:tc>
      </w:tr>
      <w:tr>
        <w:trPr>
          <w:cantSplit/>
        </w:trPr>
        <w:tc>
          <w:tcPr>
            <w:tcW w:w="3119" w:type="dxa"/>
          </w:tcPr>
          <w:p>
            <w:pPr>
              <w:pStyle w:val="nTable"/>
              <w:spacing w:after="40"/>
              <w:ind w:right="113"/>
              <w:rPr>
                <w:rFonts w:ascii="Times" w:hAnsi="Times"/>
                <w:i/>
              </w:rPr>
            </w:pPr>
            <w:r>
              <w:rPr>
                <w:rFonts w:ascii="Times" w:hAnsi="Times"/>
                <w:i/>
              </w:rPr>
              <w:t>Vocational Education and Training (Colleges) Amendment Regulations (No. 2) 2009</w:t>
            </w:r>
          </w:p>
        </w:tc>
        <w:tc>
          <w:tcPr>
            <w:tcW w:w="1276" w:type="dxa"/>
          </w:tcPr>
          <w:p>
            <w:pPr>
              <w:pStyle w:val="nTable"/>
              <w:spacing w:after="40"/>
              <w:rPr>
                <w:rFonts w:ascii="Times" w:hAnsi="Times"/>
              </w:rPr>
            </w:pPr>
            <w:r>
              <w:rPr>
                <w:rFonts w:ascii="Times" w:hAnsi="Times"/>
              </w:rPr>
              <w:t>18 Dec 2009 p. 5172-5</w:t>
            </w:r>
          </w:p>
        </w:tc>
        <w:tc>
          <w:tcPr>
            <w:tcW w:w="2693" w:type="dxa"/>
          </w:tcPr>
          <w:p>
            <w:pPr>
              <w:pStyle w:val="nTable"/>
              <w:spacing w:after="40"/>
              <w:rPr>
                <w:rFonts w:ascii="Times" w:hAnsi="Times"/>
                <w:snapToGrid w:val="0"/>
              </w:rPr>
            </w:pPr>
            <w:r>
              <w:rPr>
                <w:rFonts w:ascii="Times" w:hAnsi="Times"/>
                <w:snapToGrid w:val="0"/>
              </w:rPr>
              <w:t>r. 1 and 2: 18 Dec 2009 (see r. 2(a));</w:t>
            </w:r>
            <w:r>
              <w:rPr>
                <w:rFonts w:ascii="Times" w:hAnsi="Times"/>
                <w:snapToGrid w:val="0"/>
              </w:rPr>
              <w:br/>
              <w:t>Regulations other than r. 1 and 2: 19 Dec 2009 (see r. 2(b))</w:t>
            </w:r>
          </w:p>
        </w:tc>
      </w:tr>
      <w:tr>
        <w:trPr>
          <w:cantSplit/>
        </w:trPr>
        <w:tc>
          <w:tcPr>
            <w:tcW w:w="3119" w:type="dxa"/>
          </w:tcPr>
          <w:p>
            <w:pPr>
              <w:pStyle w:val="nTable"/>
              <w:spacing w:after="40"/>
              <w:ind w:right="113"/>
              <w:rPr>
                <w:i/>
              </w:rPr>
            </w:pPr>
            <w:r>
              <w:rPr>
                <w:i/>
              </w:rPr>
              <w:t>Vocational Education and Training (Colleges) Amendment Regulations 2010</w:t>
            </w:r>
          </w:p>
        </w:tc>
        <w:tc>
          <w:tcPr>
            <w:tcW w:w="1276" w:type="dxa"/>
          </w:tcPr>
          <w:p>
            <w:pPr>
              <w:pStyle w:val="nTable"/>
              <w:spacing w:after="40"/>
            </w:pPr>
            <w:r>
              <w:t>19 Jan 2010 p. 141-7</w:t>
            </w:r>
          </w:p>
        </w:tc>
        <w:tc>
          <w:tcPr>
            <w:tcW w:w="2693" w:type="dxa"/>
          </w:tcPr>
          <w:p>
            <w:pPr>
              <w:pStyle w:val="nTable"/>
              <w:spacing w:after="40"/>
              <w:rPr>
                <w:snapToGrid w:val="0"/>
              </w:rPr>
            </w:pPr>
            <w:r>
              <w:rPr>
                <w:snapToGrid w:val="0"/>
              </w:rPr>
              <w:t>r. 1 and 2: 19 Jan 2010 (see r. 2(a));</w:t>
            </w:r>
            <w:r>
              <w:rPr>
                <w:snapToGrid w:val="0"/>
              </w:rPr>
              <w:br/>
              <w:t>Regulations other than r. 1 and 2: 20 Jan 2010 (see r. 2(b))</w:t>
            </w:r>
          </w:p>
        </w:tc>
      </w:tr>
      <w:tr>
        <w:trPr>
          <w:cantSplit/>
        </w:trPr>
        <w:tc>
          <w:tcPr>
            <w:tcW w:w="3119" w:type="dxa"/>
          </w:tcPr>
          <w:p>
            <w:pPr>
              <w:pStyle w:val="nTable"/>
              <w:spacing w:after="40"/>
              <w:ind w:right="113"/>
              <w:rPr>
                <w:i/>
              </w:rPr>
            </w:pPr>
            <w:r>
              <w:rPr>
                <w:i/>
              </w:rPr>
              <w:t>Vocational Education and Training (Colleges) Amendment Regulations (No. 2) 2010</w:t>
            </w:r>
          </w:p>
        </w:tc>
        <w:tc>
          <w:tcPr>
            <w:tcW w:w="1276" w:type="dxa"/>
          </w:tcPr>
          <w:p>
            <w:pPr>
              <w:pStyle w:val="nTable"/>
              <w:spacing w:after="40"/>
            </w:pPr>
            <w:r>
              <w:t>26 Nov 2010 p. 5956-8</w:t>
            </w:r>
          </w:p>
        </w:tc>
        <w:tc>
          <w:tcPr>
            <w:tcW w:w="2693" w:type="dxa"/>
          </w:tcPr>
          <w:p>
            <w:pPr>
              <w:pStyle w:val="nTable"/>
              <w:spacing w:after="40"/>
              <w:rPr>
                <w:snapToGrid w:val="0"/>
              </w:rPr>
            </w:pPr>
            <w:r>
              <w:rPr>
                <w:snapToGrid w:val="0"/>
              </w:rPr>
              <w:t>r. 1 and 2: 26 Nov 2010 (see r. 2(a));</w:t>
            </w:r>
            <w:r>
              <w:rPr>
                <w:snapToGrid w:val="0"/>
              </w:rPr>
              <w:br/>
              <w:t>Regulations other than r. 1 and 2: 27 Nov 2010 (see r. 2(b))</w:t>
            </w:r>
          </w:p>
        </w:tc>
      </w:tr>
      <w:tr>
        <w:trPr>
          <w:cantSplit/>
        </w:trPr>
        <w:tc>
          <w:tcPr>
            <w:tcW w:w="3119" w:type="dxa"/>
          </w:tcPr>
          <w:p>
            <w:pPr>
              <w:pStyle w:val="nTable"/>
              <w:spacing w:after="40"/>
              <w:ind w:right="113"/>
              <w:rPr>
                <w:i/>
              </w:rPr>
            </w:pPr>
            <w:r>
              <w:rPr>
                <w:i/>
              </w:rPr>
              <w:t>Vocational Education and Training (Colleges) Amendment Regulations 2011</w:t>
            </w:r>
          </w:p>
        </w:tc>
        <w:tc>
          <w:tcPr>
            <w:tcW w:w="1276" w:type="dxa"/>
          </w:tcPr>
          <w:p>
            <w:pPr>
              <w:pStyle w:val="nTable"/>
              <w:spacing w:after="40"/>
            </w:pPr>
            <w:r>
              <w:t>27 Oct 2011 p. 4557</w:t>
            </w:r>
            <w:r>
              <w:noBreakHyphen/>
              <w:t>9</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rPr>
          <w:cantSplit/>
        </w:trPr>
        <w:tc>
          <w:tcPr>
            <w:tcW w:w="7088" w:type="dxa"/>
            <w:gridSpan w:val="3"/>
            <w:shd w:val="clear" w:color="auto" w:fill="auto"/>
          </w:tcPr>
          <w:p>
            <w:pPr>
              <w:pStyle w:val="nTable"/>
              <w:spacing w:after="40"/>
              <w:rPr>
                <w:snapToGrid w:val="0"/>
              </w:rPr>
            </w:pPr>
            <w:r>
              <w:rPr>
                <w:b/>
                <w:bCs/>
              </w:rPr>
              <w:t xml:space="preserve">Reprint 5: The </w:t>
            </w:r>
            <w:r>
              <w:rPr>
                <w:b/>
                <w:bCs/>
                <w:i/>
              </w:rPr>
              <w:t>Vocational Education and Training (Colleges) Regulations 1996</w:t>
            </w:r>
            <w:r>
              <w:rPr>
                <w:b/>
                <w:bCs/>
                <w:iCs/>
              </w:rPr>
              <w:t xml:space="preserve"> as at 9 Mar 2012</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(Colleges) Amendment Regulations (No. 2) 2012</w:t>
            </w:r>
          </w:p>
        </w:tc>
        <w:tc>
          <w:tcPr>
            <w:tcW w:w="1276" w:type="dxa"/>
          </w:tcPr>
          <w:p>
            <w:pPr>
              <w:pStyle w:val="nTable"/>
              <w:spacing w:after="40"/>
            </w:pPr>
            <w:r>
              <w:t>12 Oct 2012 p. 4852</w:t>
            </w:r>
            <w:r>
              <w:noBreakHyphen/>
              <w:t>4</w:t>
            </w:r>
          </w:p>
        </w:tc>
        <w:tc>
          <w:tcPr>
            <w:tcW w:w="2693" w:type="dxa"/>
          </w:tcPr>
          <w:p>
            <w:pPr>
              <w:pStyle w:val="nTable"/>
              <w:spacing w:after="40"/>
              <w:rPr>
                <w:snapToGrid w:val="0"/>
              </w:rPr>
            </w:pPr>
            <w:r>
              <w:rPr>
                <w:snapToGrid w:val="0"/>
              </w:rPr>
              <w:t>r. 1 and 2: 12 Oct 2012 (see r. 2(a));</w:t>
            </w:r>
            <w:r>
              <w:rPr>
                <w:snapToGrid w:val="0"/>
              </w:rPr>
              <w:br/>
              <w:t>Regulations other than r. 1 and 2: 13 Oct 2012 (see r. 2(b))</w:t>
            </w:r>
          </w:p>
        </w:tc>
      </w:tr>
      <w:tr>
        <w:trPr>
          <w:cantSplit/>
        </w:trPr>
        <w:tc>
          <w:tcPr>
            <w:tcW w:w="3119" w:type="dxa"/>
          </w:tcPr>
          <w:p>
            <w:pPr>
              <w:pStyle w:val="nTable"/>
              <w:spacing w:after="40"/>
              <w:ind w:right="113"/>
              <w:rPr>
                <w:i/>
              </w:rPr>
            </w:pPr>
            <w:r>
              <w:rPr>
                <w:i/>
              </w:rPr>
              <w:t>Vocational Education and Training (Colleges) Amendment Regulations 2013</w:t>
            </w:r>
          </w:p>
        </w:tc>
        <w:tc>
          <w:tcPr>
            <w:tcW w:w="1276" w:type="dxa"/>
          </w:tcPr>
          <w:p>
            <w:pPr>
              <w:pStyle w:val="nTable"/>
              <w:spacing w:after="40"/>
            </w:pPr>
            <w:r>
              <w:t>17 Dec 2013 p. 6255</w:t>
            </w:r>
            <w:r>
              <w:noBreakHyphen/>
              <w:t>71</w:t>
            </w:r>
          </w:p>
        </w:tc>
        <w:tc>
          <w:tcPr>
            <w:tcW w:w="2693" w:type="dxa"/>
          </w:tcPr>
          <w:p>
            <w:pPr>
              <w:pStyle w:val="nTable"/>
              <w:spacing w:after="40"/>
              <w:rPr>
                <w:snapToGrid w:val="0"/>
              </w:rPr>
            </w:pPr>
            <w:r>
              <w:rPr>
                <w:snapToGrid w:val="0"/>
              </w:rPr>
              <w:t>r. 1 and 2: 17 Dec 2013 (see r. 2(a));</w:t>
            </w:r>
            <w:r>
              <w:rPr>
                <w:snapToGrid w:val="0"/>
              </w:rPr>
              <w:br/>
              <w:t>Regulations other than r. 1 and 2: 1 Jan 2014 (see r. 2(b))</w:t>
            </w:r>
          </w:p>
        </w:tc>
      </w:tr>
      <w:tr>
        <w:trPr>
          <w:cantSplit/>
        </w:trPr>
        <w:tc>
          <w:tcPr>
            <w:tcW w:w="7088" w:type="dxa"/>
            <w:gridSpan w:val="3"/>
            <w:shd w:val="clear" w:color="auto" w:fill="auto"/>
          </w:tcPr>
          <w:p>
            <w:pPr>
              <w:pStyle w:val="nTable"/>
              <w:spacing w:after="40"/>
              <w:rPr>
                <w:rFonts w:ascii="Arial" w:hAnsi="Arial"/>
                <w:b/>
                <w:snapToGrid w:val="0"/>
              </w:rPr>
            </w:pPr>
            <w:r>
              <w:rPr>
                <w:b/>
                <w:bCs/>
              </w:rPr>
              <w:t xml:space="preserve">Reprint 6: The </w:t>
            </w:r>
            <w:r>
              <w:rPr>
                <w:b/>
                <w:bCs/>
                <w:i/>
              </w:rPr>
              <w:t>Vocational Education and Training (Colleges) Regulations 1996</w:t>
            </w:r>
            <w:r>
              <w:rPr>
                <w:b/>
                <w:bCs/>
                <w:iCs/>
              </w:rPr>
              <w:t xml:space="preserve"> as at 7 Mar 2014</w:t>
            </w:r>
            <w:r>
              <w:rPr>
                <w:iCs/>
              </w:rPr>
              <w:t xml:space="preserve"> (includes amendments listed above)</w:t>
            </w:r>
          </w:p>
        </w:tc>
      </w:tr>
      <w:tr>
        <w:trPr>
          <w:cantSplit/>
        </w:trPr>
        <w:tc>
          <w:tcPr>
            <w:tcW w:w="3119" w:type="dxa"/>
            <w:tcBorders>
              <w:bottom w:val="single" w:sz="4" w:space="0" w:color="auto"/>
            </w:tcBorders>
          </w:tcPr>
          <w:p>
            <w:pPr>
              <w:pStyle w:val="nTable"/>
              <w:spacing w:after="40"/>
              <w:ind w:right="113"/>
              <w:rPr>
                <w:i/>
              </w:rPr>
            </w:pPr>
            <w:r>
              <w:rPr>
                <w:i/>
              </w:rPr>
              <w:t>Vocational Education and Training (Colleges) Amendment Regulations 2014</w:t>
            </w:r>
          </w:p>
        </w:tc>
        <w:tc>
          <w:tcPr>
            <w:tcW w:w="1276" w:type="dxa"/>
            <w:tcBorders>
              <w:bottom w:val="single" w:sz="4" w:space="0" w:color="auto"/>
            </w:tcBorders>
          </w:tcPr>
          <w:p>
            <w:pPr>
              <w:pStyle w:val="nTable"/>
              <w:spacing w:after="40"/>
            </w:pPr>
            <w:r>
              <w:t>12 Dec 2014 p. 4739</w:t>
            </w:r>
            <w:r>
              <w:noBreakHyphen/>
              <w:t>42</w:t>
            </w:r>
          </w:p>
        </w:tc>
        <w:tc>
          <w:tcPr>
            <w:tcW w:w="2693" w:type="dxa"/>
            <w:tcBorders>
              <w:bottom w:val="single" w:sz="4" w:space="0" w:color="auto"/>
            </w:tcBorders>
          </w:tcPr>
          <w:p>
            <w:pPr>
              <w:pStyle w:val="nTable"/>
              <w:spacing w:after="40"/>
              <w:rPr>
                <w:snapToGrid w:val="0"/>
              </w:rPr>
            </w:pPr>
            <w:r>
              <w:rPr>
                <w:snapToGrid w:val="0"/>
              </w:rPr>
              <w:t>r. 1 and 2: 12 Dec 2014 (see r. 2(a));</w:t>
            </w:r>
            <w:r>
              <w:rPr>
                <w:snapToGrid w:val="0"/>
              </w:rPr>
              <w:br/>
              <w:t>Regulations other than r. 1 and 2: 13 Dec 2014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 w:name="_Toc524930923"/>
      <w:r>
        <w:t>Provisions that have not come into operation</w:t>
      </w:r>
      <w:bookmarkEnd w:id="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Vocational Education and Training (Colleges) Amendment Regulations 2015</w:t>
            </w:r>
            <w:r>
              <w:t xml:space="preserve"> r. 3</w:t>
            </w:r>
            <w:r>
              <w:noBreakHyphen/>
              <w:t>13</w:t>
            </w:r>
            <w:r>
              <w:rPr>
                <w:i/>
              </w:rPr>
              <w:t> </w:t>
            </w:r>
            <w:r>
              <w:rPr>
                <w:i/>
                <w:vertAlign w:val="superscript"/>
              </w:rPr>
              <w:t>7</w:t>
            </w:r>
          </w:p>
        </w:tc>
        <w:tc>
          <w:tcPr>
            <w:tcW w:w="1276" w:type="dxa"/>
          </w:tcPr>
          <w:p>
            <w:pPr>
              <w:pStyle w:val="nTable"/>
              <w:spacing w:after="40"/>
            </w:pPr>
            <w:r>
              <w:t>11 Dec 2015 p. 4957-60</w:t>
            </w:r>
          </w:p>
        </w:tc>
        <w:tc>
          <w:tcPr>
            <w:tcW w:w="2693" w:type="dxa"/>
          </w:tcPr>
          <w:p>
            <w:pPr>
              <w:pStyle w:val="nTable"/>
              <w:spacing w:after="40"/>
            </w:pPr>
            <w:r>
              <w:t>1 Jan 2016 (see r. 2(b))</w:t>
            </w:r>
          </w:p>
        </w:tc>
      </w:tr>
    </w:tbl>
    <w:p>
      <w:pPr>
        <w:pStyle w:val="nSubsection"/>
        <w:spacing w:before="160"/>
      </w:pPr>
      <w:r>
        <w:rPr>
          <w:vertAlign w:val="superscript"/>
        </w:rPr>
        <w:t>2</w:t>
      </w:r>
      <w:r>
        <w:tab/>
        <w:t xml:space="preserve">Repealed by the </w:t>
      </w:r>
      <w:r>
        <w:rPr>
          <w:i/>
        </w:rPr>
        <w:t>Australian Citizenship (Transitionals and Consequentials) Act 2007</w:t>
      </w:r>
      <w:r>
        <w:t xml:space="preserve"> of the Commonwealth.</w:t>
      </w:r>
    </w:p>
    <w:p>
      <w:pPr>
        <w:pStyle w:val="nSubsection"/>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iCs/>
        </w:rPr>
      </w:pPr>
      <w:r>
        <w:rPr>
          <w:vertAlign w:val="superscript"/>
        </w:rPr>
        <w:t>4</w:t>
      </w:r>
      <w:r>
        <w:tab/>
        <w:t xml:space="preserve">Now known as the </w:t>
      </w:r>
      <w:r>
        <w:rPr>
          <w:i/>
        </w:rPr>
        <w:t>Vocational Education and Training (Colleges) Regulations 1996</w:t>
      </w:r>
      <w:r>
        <w:rPr>
          <w:iCs/>
        </w:rPr>
        <w:t>; citation changed (see note under r. 1).</w:t>
      </w:r>
    </w:p>
    <w:p>
      <w:pPr>
        <w:pStyle w:val="nSubsection"/>
      </w:pPr>
      <w:r>
        <w:rPr>
          <w:vertAlign w:val="superscript"/>
        </w:rPr>
        <w:t>5</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keepNext/>
      </w:pPr>
      <w:r>
        <w:rPr>
          <w:vertAlign w:val="superscript"/>
        </w:rPr>
        <w:t>6</w:t>
      </w:r>
      <w:r>
        <w:tab/>
        <w:t xml:space="preserve">The </w:t>
      </w:r>
      <w:r>
        <w:rPr>
          <w:i/>
          <w:iCs/>
        </w:rPr>
        <w:t xml:space="preserve">Vocational Education and Training Amendment Regulations 2005 </w:t>
      </w:r>
      <w:r>
        <w:t>r. 6(3)</w:t>
      </w:r>
      <w:r>
        <w:rPr>
          <w:i/>
          <w:iCs/>
        </w:rPr>
        <w:t xml:space="preserve"> </w:t>
      </w:r>
      <w:r>
        <w:t>reads as follows:</w:t>
      </w:r>
    </w:p>
    <w:p>
      <w:pPr>
        <w:pStyle w:val="BlankOpen"/>
      </w:pPr>
    </w:p>
    <w:p>
      <w:pPr>
        <w:pStyle w:val="nzHeading5"/>
        <w:spacing w:before="0"/>
      </w:pPr>
      <w:r>
        <w:rPr>
          <w:rStyle w:val="CharSectno"/>
        </w:rPr>
        <w:t>6</w:t>
      </w:r>
      <w:r>
        <w:t>.</w:t>
      </w:r>
      <w:r>
        <w:tab/>
        <w:t>Regulation 15A amended and savings</w:t>
      </w:r>
    </w:p>
    <w:p>
      <w:pPr>
        <w:pStyle w:val="nzSubsection"/>
        <w:spacing w:before="40"/>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Pr>
        <w:pStyle w:val="nSubsection"/>
        <w:spacing w:before="200"/>
        <w:rPr>
          <w:snapToGrid w:val="0"/>
        </w:rPr>
      </w:pPr>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Vocational Education and Training (Colleges) Amendment Regulations 2015 </w:t>
      </w:r>
      <w:r>
        <w:rPr>
          <w:snapToGrid w:val="0"/>
        </w:rPr>
        <w:t>r. 3-13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Vocational Education and Training (Colleges) Regulations 1996</w:t>
      </w:r>
      <w:r>
        <w:t>.</w:t>
      </w:r>
    </w:p>
    <w:p>
      <w:pPr>
        <w:pStyle w:val="nzHeading5"/>
      </w:pPr>
      <w:r>
        <w:rPr>
          <w:rStyle w:val="CharSectno"/>
        </w:rPr>
        <w:t>4</w:t>
      </w:r>
      <w:r>
        <w:t>.</w:t>
      </w:r>
      <w:r>
        <w:tab/>
        <w:t>Regulations 11 and 12 inserted</w:t>
      </w:r>
    </w:p>
    <w:p>
      <w:pPr>
        <w:pStyle w:val="nzSubsection"/>
      </w:pPr>
      <w:r>
        <w:tab/>
      </w:r>
      <w:r>
        <w:tab/>
        <w:t>At the beginning of Part 3 Division 2 insert:</w:t>
      </w:r>
    </w:p>
    <w:p>
      <w:pPr>
        <w:pStyle w:val="BlankOpen"/>
      </w:pPr>
    </w:p>
    <w:p>
      <w:pPr>
        <w:pStyle w:val="nzHeading5"/>
      </w:pPr>
      <w:r>
        <w:t>11.</w:t>
      </w:r>
      <w:r>
        <w:tab/>
        <w:t>Course fees for 2016 — Schedule 1</w:t>
      </w:r>
    </w:p>
    <w:p>
      <w:pPr>
        <w:pStyle w:val="nzSubsection"/>
      </w:pPr>
      <w:r>
        <w:tab/>
        <w:t>(1)</w:t>
      </w:r>
      <w:r>
        <w:tab/>
        <w:t xml:space="preserve">The course fee for a course to be commenced by a student in 2016 is as follows — </w:t>
      </w:r>
    </w:p>
    <w:p>
      <w:pPr>
        <w:pStyle w:val="nzIndenta"/>
      </w:pPr>
      <w:r>
        <w:tab/>
        <w:t>(a)</w:t>
      </w:r>
      <w:r>
        <w:tab/>
        <w:t xml:space="preserve">where only one unit is commenced — the relevant fee determined in accordance with Schedule 1 item 2, 3, 4 or 5 (the </w:t>
      </w:r>
      <w:r>
        <w:rPr>
          <w:rStyle w:val="CharDefText"/>
        </w:rPr>
        <w:t>unit fee</w:t>
      </w:r>
      <w:r>
        <w:t>);</w:t>
      </w:r>
    </w:p>
    <w:p>
      <w:pPr>
        <w:pStyle w:val="nzIndenta"/>
      </w:pPr>
      <w:r>
        <w:tab/>
        <w:t>(b)</w:t>
      </w:r>
      <w:r>
        <w:tab/>
        <w:t>if more than one unit is to be commenced — the sum of the unit fees for each unit to be commenced.</w:t>
      </w:r>
    </w:p>
    <w:p>
      <w:pPr>
        <w:pStyle w:val="nzSubsection"/>
      </w:pPr>
      <w:r>
        <w:tab/>
        <w:t>(2)</w:t>
      </w:r>
      <w:r>
        <w:tab/>
        <w:t>Subregulation (1) does not apply to a course or unit for which there is a determination in force under regulation 15A or 16A.</w:t>
      </w:r>
    </w:p>
    <w:p>
      <w:pPr>
        <w:pStyle w:val="nzHeading5"/>
      </w:pPr>
      <w:r>
        <w:t>12.</w:t>
      </w:r>
      <w:r>
        <w:tab/>
        <w:t>Annual course fee caps</w:t>
      </w:r>
    </w:p>
    <w:p>
      <w:pPr>
        <w:pStyle w:val="nzSubsection"/>
      </w:pPr>
      <w:r>
        <w:tab/>
        <w:t>(1)</w:t>
      </w:r>
      <w:r>
        <w:tab/>
        <w:t>The fee caps set out in this regulation are applicable to persons, despite the operation of regulation 11(1).</w:t>
      </w:r>
    </w:p>
    <w:p>
      <w:pPr>
        <w:pStyle w:val="nzSubsection"/>
      </w:pPr>
      <w:r>
        <w:tab/>
        <w:t>(2)</w:t>
      </w:r>
      <w:r>
        <w:tab/>
        <w:t xml:space="preserve">The maximum amount of course fee payable for 2016 by a student who is not a secondary school aged person is $7 780. </w:t>
      </w:r>
    </w:p>
    <w:p>
      <w:pPr>
        <w:pStyle w:val="nzSubsection"/>
      </w:pPr>
      <w:r>
        <w:tab/>
        <w:t>(3)</w:t>
      </w:r>
      <w:r>
        <w:tab/>
        <w:t>The cap in subregulation (2) applies for each course in which the student is enrolled (by enrolling in one or more than one unit of that course) that, if successfully completed, would result in the conferral of a prescribed VET qualification of a Diploma or Advanced Diploma.</w:t>
      </w:r>
    </w:p>
    <w:p>
      <w:pPr>
        <w:pStyle w:val="nzSubsection"/>
      </w:pPr>
      <w:r>
        <w:tab/>
        <w:t>(4)</w:t>
      </w:r>
      <w:r>
        <w:tab/>
        <w:t>The maximum amount of course fee payable for 2016 by a student who is a secondary school aged person, but not enrolled at school, is $415.</w:t>
      </w:r>
    </w:p>
    <w:p>
      <w:pPr>
        <w:pStyle w:val="BlankClose"/>
      </w:pPr>
    </w:p>
    <w:p>
      <w:pPr>
        <w:pStyle w:val="nzHeading5"/>
      </w:pPr>
      <w:r>
        <w:rPr>
          <w:rStyle w:val="CharSectno"/>
        </w:rPr>
        <w:t>5</w:t>
      </w:r>
      <w:r>
        <w:t>.</w:t>
      </w:r>
      <w:r>
        <w:tab/>
        <w:t>Regulation 13B deleted</w:t>
      </w:r>
    </w:p>
    <w:p>
      <w:pPr>
        <w:pStyle w:val="nzSubsection"/>
      </w:pPr>
      <w:r>
        <w:tab/>
      </w:r>
      <w:r>
        <w:tab/>
        <w:t>Delete regulation 13B.</w:t>
      </w:r>
    </w:p>
    <w:p>
      <w:pPr>
        <w:pStyle w:val="nzHeading5"/>
      </w:pPr>
      <w:r>
        <w:rPr>
          <w:rStyle w:val="CharSectno"/>
        </w:rPr>
        <w:t>6</w:t>
      </w:r>
      <w:r>
        <w:t>.</w:t>
      </w:r>
      <w:r>
        <w:tab/>
        <w:t>Regulation 13 amended</w:t>
      </w:r>
    </w:p>
    <w:p>
      <w:pPr>
        <w:pStyle w:val="nzSubsection"/>
      </w:pPr>
      <w:r>
        <w:tab/>
      </w:r>
      <w:r>
        <w:tab/>
        <w:t>Delete regulation 13(3) and insert:</w:t>
      </w:r>
    </w:p>
    <w:p>
      <w:pPr>
        <w:pStyle w:val="BlankOpen"/>
      </w:pPr>
    </w:p>
    <w:p>
      <w:pPr>
        <w:pStyle w:val="nzSubsection"/>
      </w:pPr>
      <w:r>
        <w:tab/>
        <w:t>(3)</w:t>
      </w:r>
      <w:r>
        <w:tab/>
        <w:t xml:space="preserve">No course fee is payable for a course undertaken by a person enrolled at a school, as defined in the </w:t>
      </w:r>
      <w:r>
        <w:rPr>
          <w:i/>
        </w:rPr>
        <w:t>School Education Act 1999</w:t>
      </w:r>
      <w:r>
        <w:t xml:space="preserve"> section 4.</w:t>
      </w:r>
    </w:p>
    <w:p>
      <w:pPr>
        <w:pStyle w:val="BlankClose"/>
      </w:pPr>
    </w:p>
    <w:p>
      <w:pPr>
        <w:pStyle w:val="nzHeading5"/>
      </w:pPr>
      <w:r>
        <w:rPr>
          <w:rStyle w:val="CharSectno"/>
        </w:rPr>
        <w:t>7</w:t>
      </w:r>
      <w:r>
        <w:t>.</w:t>
      </w:r>
      <w:r>
        <w:tab/>
        <w:t>Regulation 15A amended</w:t>
      </w:r>
    </w:p>
    <w:p>
      <w:pPr>
        <w:pStyle w:val="nzSubsection"/>
      </w:pPr>
      <w:r>
        <w:tab/>
        <w:t>(1)</w:t>
      </w:r>
      <w:r>
        <w:tab/>
        <w:t>In regulation 15A(1)(b) delete “13B.” and insert:</w:t>
      </w:r>
    </w:p>
    <w:p>
      <w:pPr>
        <w:pStyle w:val="BlankOpen"/>
      </w:pPr>
    </w:p>
    <w:p>
      <w:pPr>
        <w:pStyle w:val="nzSubsection"/>
      </w:pPr>
      <w:r>
        <w:tab/>
      </w:r>
      <w:r>
        <w:tab/>
        <w:t>11.</w:t>
      </w:r>
    </w:p>
    <w:p>
      <w:pPr>
        <w:pStyle w:val="BlankClose"/>
      </w:pPr>
    </w:p>
    <w:p>
      <w:pPr>
        <w:pStyle w:val="nzSubsection"/>
      </w:pPr>
      <w:r>
        <w:tab/>
        <w:t>(2)</w:t>
      </w:r>
      <w:r>
        <w:tab/>
        <w:t xml:space="preserve">In regulation 15A(4) in the definition of </w:t>
      </w:r>
      <w:r>
        <w:rPr>
          <w:b/>
          <w:i/>
        </w:rPr>
        <w:t>Australian resident</w:t>
      </w:r>
      <w:r>
        <w:t>:</w:t>
      </w:r>
    </w:p>
    <w:p>
      <w:pPr>
        <w:pStyle w:val="nzIndenta"/>
      </w:pPr>
      <w:r>
        <w:tab/>
        <w:t>(a)</w:t>
      </w:r>
      <w:r>
        <w:tab/>
        <w:t xml:space="preserve"> in paragraph (a) delete “</w:t>
      </w:r>
      <w:r>
        <w:rPr>
          <w:i/>
        </w:rPr>
        <w:t>1948</w:t>
      </w:r>
      <w:r>
        <w:t>” and insert:</w:t>
      </w:r>
    </w:p>
    <w:p>
      <w:pPr>
        <w:pStyle w:val="BlankOpen"/>
      </w:pPr>
    </w:p>
    <w:p>
      <w:pPr>
        <w:pStyle w:val="nzIndenta"/>
      </w:pPr>
      <w:r>
        <w:tab/>
      </w:r>
      <w:r>
        <w:tab/>
      </w:r>
      <w:r>
        <w:rPr>
          <w:i/>
        </w:rPr>
        <w:t>2007</w:t>
      </w:r>
    </w:p>
    <w:p>
      <w:pPr>
        <w:pStyle w:val="BlankClose"/>
      </w:pPr>
    </w:p>
    <w:p>
      <w:pPr>
        <w:pStyle w:val="nzIndenta"/>
      </w:pPr>
      <w:r>
        <w:tab/>
        <w:t>(b)</w:t>
      </w:r>
      <w:r>
        <w:tab/>
        <w:t xml:space="preserve"> in paragraph (b)(ii) delete “820, 826 or 851” and insert:</w:t>
      </w:r>
    </w:p>
    <w:p>
      <w:pPr>
        <w:pStyle w:val="BlankOpen"/>
      </w:pPr>
    </w:p>
    <w:p>
      <w:pPr>
        <w:pStyle w:val="nzIndenta"/>
      </w:pPr>
      <w:r>
        <w:tab/>
      </w:r>
      <w:r>
        <w:tab/>
        <w:t>820 or 826</w:t>
      </w:r>
    </w:p>
    <w:p>
      <w:pPr>
        <w:pStyle w:val="BlankClose"/>
      </w:pPr>
    </w:p>
    <w:p>
      <w:pPr>
        <w:pStyle w:val="nzHeading5"/>
      </w:pPr>
      <w:r>
        <w:rPr>
          <w:rStyle w:val="CharSectno"/>
        </w:rPr>
        <w:t>8</w:t>
      </w:r>
      <w:r>
        <w:t>.</w:t>
      </w:r>
      <w:r>
        <w:tab/>
        <w:t>Regulation 16 amended</w:t>
      </w:r>
    </w:p>
    <w:p>
      <w:pPr>
        <w:pStyle w:val="nzSubsection"/>
      </w:pPr>
      <w:r>
        <w:tab/>
      </w:r>
      <w:r>
        <w:tab/>
        <w:t>Before regulation 16(1) insert:</w:t>
      </w:r>
    </w:p>
    <w:p>
      <w:pPr>
        <w:pStyle w:val="BlankOpen"/>
      </w:pPr>
    </w:p>
    <w:p>
      <w:pPr>
        <w:pStyle w:val="nzSubsection"/>
      </w:pPr>
      <w:r>
        <w:tab/>
        <w:t>(1A)</w:t>
      </w:r>
      <w:r>
        <w:tab/>
        <w:t>This regulation does not apply to vocational education or training or related services supplied by a college on a fee for service basis under section 37(1)(bb) of the Act.</w:t>
      </w:r>
    </w:p>
    <w:p>
      <w:pPr>
        <w:pStyle w:val="BlankClose"/>
      </w:pPr>
    </w:p>
    <w:p>
      <w:pPr>
        <w:pStyle w:val="nzHeading5"/>
      </w:pPr>
      <w:r>
        <w:rPr>
          <w:rStyle w:val="CharSectno"/>
        </w:rPr>
        <w:t>9</w:t>
      </w:r>
      <w:r>
        <w:t>.</w:t>
      </w:r>
      <w:r>
        <w:tab/>
        <w:t>Regulation 16A inserted</w:t>
      </w:r>
    </w:p>
    <w:p>
      <w:pPr>
        <w:pStyle w:val="nzSubsection"/>
      </w:pPr>
      <w:r>
        <w:tab/>
      </w:r>
      <w:r>
        <w:tab/>
        <w:t>At the end of Part 3 Division 3 insert:</w:t>
      </w:r>
    </w:p>
    <w:p>
      <w:pPr>
        <w:pStyle w:val="BlankOpen"/>
      </w:pPr>
    </w:p>
    <w:p>
      <w:pPr>
        <w:pStyle w:val="nzHeading5"/>
      </w:pPr>
      <w:r>
        <w:t>16A.</w:t>
      </w:r>
      <w:r>
        <w:tab/>
        <w:t>Fee for service</w:t>
      </w:r>
    </w:p>
    <w:p>
      <w:pPr>
        <w:pStyle w:val="nzSubsection"/>
      </w:pPr>
      <w:r>
        <w:tab/>
        <w:t>(1)</w:t>
      </w:r>
      <w:r>
        <w:tab/>
        <w:t>A college may from time to time determine the fee or charge that is payable to the college for the supply of a particular vocational education or training or related service, where that supply is to be provided on a fee for service basis under section 37(1)(bb) of the Act.</w:t>
      </w:r>
    </w:p>
    <w:p>
      <w:pPr>
        <w:pStyle w:val="nzSubsection"/>
      </w:pPr>
      <w:r>
        <w:tab/>
        <w:t>(2)</w:t>
      </w:r>
      <w:r>
        <w:tab/>
        <w:t xml:space="preserve">Subregulation (1) does not apply to students who are already subject to a determination under regulation 15A. </w:t>
      </w:r>
    </w:p>
    <w:p>
      <w:pPr>
        <w:pStyle w:val="BlankClose"/>
      </w:pPr>
    </w:p>
    <w:p>
      <w:pPr>
        <w:pStyle w:val="nzHeading5"/>
      </w:pPr>
      <w:r>
        <w:rPr>
          <w:rStyle w:val="CharSectno"/>
        </w:rPr>
        <w:t>10</w:t>
      </w:r>
      <w:r>
        <w:t>.</w:t>
      </w:r>
      <w:r>
        <w:tab/>
        <w:t>Regulation 18 amended</w:t>
      </w:r>
    </w:p>
    <w:p>
      <w:pPr>
        <w:pStyle w:val="nzSubsection"/>
      </w:pPr>
      <w:r>
        <w:tab/>
      </w:r>
      <w:r>
        <w:tab/>
        <w:t>In regulation 18(2):</w:t>
      </w:r>
    </w:p>
    <w:p>
      <w:pPr>
        <w:pStyle w:val="nzIndenta"/>
      </w:pPr>
      <w:r>
        <w:tab/>
        <w:t>(a)</w:t>
      </w:r>
      <w:r>
        <w:tab/>
        <w:t>in paragraph (b) delete “college.” and insert:</w:t>
      </w:r>
    </w:p>
    <w:p>
      <w:pPr>
        <w:pStyle w:val="BlankOpen"/>
      </w:pPr>
    </w:p>
    <w:p>
      <w:pPr>
        <w:pStyle w:val="nzIndenta"/>
      </w:pPr>
      <w:r>
        <w:tab/>
      </w:r>
      <w:r>
        <w:tab/>
        <w:t>college; or</w:t>
      </w:r>
    </w:p>
    <w:p>
      <w:pPr>
        <w:pStyle w:val="BlankClose"/>
      </w:pPr>
    </w:p>
    <w:p>
      <w:pPr>
        <w:pStyle w:val="nzIndenta"/>
      </w:pPr>
      <w:r>
        <w:tab/>
        <w:t>(b)</w:t>
      </w:r>
      <w:r>
        <w:tab/>
        <w:t>after paragraph (b) insert:</w:t>
      </w:r>
    </w:p>
    <w:p>
      <w:pPr>
        <w:pStyle w:val="BlankOpen"/>
      </w:pPr>
    </w:p>
    <w:p>
      <w:pPr>
        <w:pStyle w:val="nzIndenta"/>
      </w:pPr>
      <w:r>
        <w:tab/>
        <w:t>(c)</w:t>
      </w:r>
      <w:r>
        <w:tab/>
        <w:t>has enrolled as a student at a college by satisfying regulation 17(2)(b) by undertaking to arrange for payment of fees by way of Commonwealth assistance (</w:t>
      </w:r>
      <w:r>
        <w:rPr>
          <w:rStyle w:val="CharDefText"/>
        </w:rPr>
        <w:t>VET FEE</w:t>
      </w:r>
      <w:r>
        <w:rPr>
          <w:rStyle w:val="CharDefText"/>
        </w:rPr>
        <w:noBreakHyphen/>
        <w:t>HELP</w:t>
      </w:r>
      <w:r>
        <w:t>), but has not had an eligible application for VET FEE</w:t>
      </w:r>
      <w:r>
        <w:noBreakHyphen/>
        <w:t>HELP to the college confirmed within the required period for that unit.</w:t>
      </w:r>
    </w:p>
    <w:p>
      <w:pPr>
        <w:pStyle w:val="BlankClose"/>
      </w:pPr>
    </w:p>
    <w:p>
      <w:pPr>
        <w:pStyle w:val="nzHeading5"/>
      </w:pPr>
      <w:r>
        <w:rPr>
          <w:rStyle w:val="CharSectno"/>
        </w:rPr>
        <w:t>11</w:t>
      </w:r>
      <w:r>
        <w:t>.</w:t>
      </w:r>
      <w:r>
        <w:tab/>
        <w:t>Regulation 20A inserted</w:t>
      </w:r>
    </w:p>
    <w:p>
      <w:pPr>
        <w:pStyle w:val="nzSubsection"/>
      </w:pPr>
      <w:r>
        <w:tab/>
      </w:r>
      <w:r>
        <w:tab/>
        <w:t>After regulation 20 insert:</w:t>
      </w:r>
    </w:p>
    <w:p>
      <w:pPr>
        <w:pStyle w:val="BlankOpen"/>
      </w:pPr>
    </w:p>
    <w:p>
      <w:pPr>
        <w:pStyle w:val="nzHeading5"/>
      </w:pPr>
      <w:r>
        <w:t>20A.</w:t>
      </w:r>
      <w:r>
        <w:tab/>
        <w:t>Concessions for existing worker</w:t>
      </w:r>
    </w:p>
    <w:p>
      <w:pPr>
        <w:pStyle w:val="nzSubsection"/>
      </w:pPr>
      <w:r>
        <w:tab/>
        <w:t>(1)</w:t>
      </w:r>
      <w:r>
        <w:tab/>
        <w:t xml:space="preserve">This regulation applies to a person, other than an apprentice — </w:t>
      </w:r>
    </w:p>
    <w:p>
      <w:pPr>
        <w:pStyle w:val="nzIndenta"/>
      </w:pPr>
      <w:r>
        <w:tab/>
        <w:t>(a)</w:t>
      </w:r>
      <w:r>
        <w:tab/>
        <w:t xml:space="preserve">regarded as an existing worker under a </w:t>
      </w:r>
      <w:r>
        <w:rPr>
          <w:i/>
        </w:rPr>
        <w:t>Vocational Education and Training (General) Regulations 2009</w:t>
      </w:r>
      <w:r>
        <w:t xml:space="preserve"> Schedule 1 training contract; and</w:t>
      </w:r>
    </w:p>
    <w:p>
      <w:pPr>
        <w:pStyle w:val="nzIndenta"/>
      </w:pPr>
      <w:r>
        <w:tab/>
        <w:t>(b)</w:t>
      </w:r>
      <w:r>
        <w:tab/>
        <w:t>who is undertaking training in a Certificate IV level qualification or below.</w:t>
      </w:r>
    </w:p>
    <w:p>
      <w:pPr>
        <w:pStyle w:val="nzSubsection"/>
      </w:pPr>
      <w:r>
        <w:tab/>
        <w:t>(2)</w:t>
      </w:r>
      <w:r>
        <w:tab/>
        <w:t>If the training contract referred to in subregulation (1)(a) was received by the Apprenticeship Office of the Department of Training and Workforce Development on or before 30 September 2015, the fees payable by that person for 2016 are the fees applicable to Category 2 courses.</w:t>
      </w:r>
    </w:p>
    <w:p>
      <w:pPr>
        <w:pStyle w:val="nzSubsection"/>
      </w:pPr>
      <w:r>
        <w:tab/>
        <w:t>(3)</w:t>
      </w:r>
      <w:r>
        <w:tab/>
        <w:t xml:space="preserve">If the training contract referred to in subregulation (1)(a) was received by the Apprenticeship Office of the Department of Training and Workforce Development after 30 September 2015, the fees payable by that person for 2016 are the fees applicable to Category 1 courses. </w:t>
      </w:r>
    </w:p>
    <w:p>
      <w:pPr>
        <w:pStyle w:val="BlankClose"/>
      </w:pPr>
    </w:p>
    <w:p>
      <w:pPr>
        <w:pStyle w:val="nzHeading5"/>
      </w:pPr>
      <w:r>
        <w:rPr>
          <w:rStyle w:val="CharSectno"/>
        </w:rPr>
        <w:t>12</w:t>
      </w:r>
      <w:r>
        <w:t>.</w:t>
      </w:r>
      <w:r>
        <w:tab/>
        <w:t>Regulation 25 amended</w:t>
      </w:r>
    </w:p>
    <w:p>
      <w:pPr>
        <w:pStyle w:val="nzSubsection"/>
      </w:pPr>
      <w:r>
        <w:tab/>
        <w:t>(1)</w:t>
      </w:r>
      <w:r>
        <w:tab/>
        <w:t>Delete regulation 25(1).</w:t>
      </w:r>
    </w:p>
    <w:p>
      <w:pPr>
        <w:pStyle w:val="nzSubsection"/>
      </w:pPr>
      <w:r>
        <w:tab/>
        <w:t>(2)</w:t>
      </w:r>
      <w:r>
        <w:tab/>
        <w:t>Delete regulation 25(3) and insert:</w:t>
      </w:r>
    </w:p>
    <w:p>
      <w:pPr>
        <w:pStyle w:val="BlankOpen"/>
      </w:pPr>
    </w:p>
    <w:p>
      <w:pPr>
        <w:pStyle w:val="nzSubsection"/>
      </w:pPr>
      <w:r>
        <w:tab/>
        <w:t>(3)</w:t>
      </w:r>
      <w:r>
        <w:tab/>
        <w:t>For the purpose of subregulation (2), the allowed period for a unit is the period set by the college for that unit, ending no less than 20% of the way through the period during which that unit is undertaken.</w:t>
      </w:r>
    </w:p>
    <w:p>
      <w:pPr>
        <w:pStyle w:val="BlankClose"/>
      </w:pPr>
    </w:p>
    <w:p>
      <w:pPr>
        <w:pStyle w:val="nzHeading5"/>
      </w:pPr>
      <w:r>
        <w:rPr>
          <w:rStyle w:val="CharSectno"/>
        </w:rPr>
        <w:t>13</w:t>
      </w:r>
      <w:r>
        <w:t>.</w:t>
      </w:r>
      <w:r>
        <w:tab/>
        <w:t>Schedule 1 amended</w:t>
      </w:r>
    </w:p>
    <w:p>
      <w:pPr>
        <w:pStyle w:val="nzSubsection"/>
      </w:pPr>
      <w:r>
        <w:tab/>
      </w:r>
      <w:r>
        <w:tab/>
        <w:t>In Schedule 1 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411"/>
        <w:gridCol w:w="2268"/>
        <w:gridCol w:w="2125"/>
      </w:tblGrid>
      <w:tr>
        <w:trPr>
          <w:cantSplit/>
          <w:tblHeader/>
          <w:jc w:val="center"/>
        </w:trPr>
        <w:tc>
          <w:tcPr>
            <w:tcW w:w="2411" w:type="dxa"/>
          </w:tcPr>
          <w:p>
            <w:pPr>
              <w:pStyle w:val="TableAm"/>
              <w:keepNext/>
              <w:jc w:val="center"/>
              <w:rPr>
                <w:b/>
                <w:bCs/>
              </w:rPr>
            </w:pPr>
            <w:r>
              <w:rPr>
                <w:b/>
                <w:bCs/>
              </w:rPr>
              <w:t>Provision</w:t>
            </w:r>
          </w:p>
        </w:tc>
        <w:tc>
          <w:tcPr>
            <w:tcW w:w="2268" w:type="dxa"/>
          </w:tcPr>
          <w:p>
            <w:pPr>
              <w:pStyle w:val="TableAm"/>
              <w:keepNext/>
              <w:jc w:val="center"/>
              <w:rPr>
                <w:b/>
                <w:bCs/>
              </w:rPr>
            </w:pPr>
            <w:r>
              <w:rPr>
                <w:b/>
                <w:bCs/>
              </w:rPr>
              <w:t>Delete</w:t>
            </w:r>
          </w:p>
        </w:tc>
        <w:tc>
          <w:tcPr>
            <w:tcW w:w="2125" w:type="dxa"/>
          </w:tcPr>
          <w:p>
            <w:pPr>
              <w:pStyle w:val="TableAm"/>
              <w:keepNext/>
              <w:jc w:val="center"/>
              <w:rPr>
                <w:b/>
                <w:bCs/>
              </w:rPr>
            </w:pPr>
            <w:r>
              <w:rPr>
                <w:b/>
                <w:bCs/>
              </w:rPr>
              <w:t>Insert</w:t>
            </w:r>
          </w:p>
        </w:tc>
      </w:tr>
      <w:tr>
        <w:trPr>
          <w:cantSplit/>
          <w:jc w:val="center"/>
        </w:trPr>
        <w:tc>
          <w:tcPr>
            <w:tcW w:w="2411" w:type="dxa"/>
          </w:tcPr>
          <w:p>
            <w:pPr>
              <w:pStyle w:val="TableAm"/>
            </w:pPr>
            <w:r>
              <w:t>Sch. 1 it. 2 </w:t>
            </w:r>
          </w:p>
        </w:tc>
        <w:tc>
          <w:tcPr>
            <w:tcW w:w="2268" w:type="dxa"/>
          </w:tcPr>
          <w:p>
            <w:pPr>
              <w:pStyle w:val="TableAm"/>
              <w:jc w:val="center"/>
              <w:rPr>
                <w:sz w:val="22"/>
                <w:szCs w:val="22"/>
              </w:rPr>
            </w:pPr>
            <w:r>
              <w:rPr>
                <w:sz w:val="22"/>
                <w:szCs w:val="22"/>
              </w:rPr>
              <w:t>5.67</w:t>
            </w:r>
          </w:p>
        </w:tc>
        <w:tc>
          <w:tcPr>
            <w:tcW w:w="2125" w:type="dxa"/>
          </w:tcPr>
          <w:p>
            <w:pPr>
              <w:pStyle w:val="TableAm"/>
              <w:jc w:val="center"/>
              <w:rPr>
                <w:sz w:val="22"/>
                <w:szCs w:val="22"/>
              </w:rPr>
            </w:pPr>
            <w:r>
              <w:rPr>
                <w:sz w:val="22"/>
                <w:szCs w:val="22"/>
              </w:rPr>
              <w:t>5.73</w:t>
            </w:r>
          </w:p>
        </w:tc>
      </w:tr>
      <w:tr>
        <w:trPr>
          <w:cantSplit/>
          <w:jc w:val="center"/>
        </w:trPr>
        <w:tc>
          <w:tcPr>
            <w:tcW w:w="2411" w:type="dxa"/>
          </w:tcPr>
          <w:p>
            <w:pPr>
              <w:pStyle w:val="TableAm"/>
            </w:pPr>
            <w:r>
              <w:t>Sch. 1 it. 3(a) </w:t>
            </w:r>
          </w:p>
        </w:tc>
        <w:tc>
          <w:tcPr>
            <w:tcW w:w="2268" w:type="dxa"/>
          </w:tcPr>
          <w:p>
            <w:pPr>
              <w:pStyle w:val="TableAm"/>
              <w:jc w:val="center"/>
              <w:rPr>
                <w:sz w:val="22"/>
                <w:szCs w:val="22"/>
              </w:rPr>
            </w:pPr>
            <w:r>
              <w:rPr>
                <w:sz w:val="22"/>
                <w:szCs w:val="22"/>
              </w:rPr>
              <w:t>3.09</w:t>
            </w:r>
          </w:p>
        </w:tc>
        <w:tc>
          <w:tcPr>
            <w:tcW w:w="2125" w:type="dxa"/>
          </w:tcPr>
          <w:p>
            <w:pPr>
              <w:pStyle w:val="TableAm"/>
              <w:jc w:val="center"/>
              <w:rPr>
                <w:sz w:val="22"/>
                <w:szCs w:val="22"/>
              </w:rPr>
            </w:pPr>
            <w:r>
              <w:rPr>
                <w:sz w:val="22"/>
                <w:szCs w:val="22"/>
              </w:rPr>
              <w:t>3.21</w:t>
            </w:r>
          </w:p>
        </w:tc>
      </w:tr>
      <w:tr>
        <w:trPr>
          <w:cantSplit/>
          <w:jc w:val="center"/>
        </w:trPr>
        <w:tc>
          <w:tcPr>
            <w:tcW w:w="2411" w:type="dxa"/>
          </w:tcPr>
          <w:p>
            <w:pPr>
              <w:pStyle w:val="TableAm"/>
            </w:pPr>
            <w:r>
              <w:t>Sch. 1 it. 3(b) </w:t>
            </w:r>
          </w:p>
        </w:tc>
        <w:tc>
          <w:tcPr>
            <w:tcW w:w="2268" w:type="dxa"/>
          </w:tcPr>
          <w:p>
            <w:pPr>
              <w:pStyle w:val="TableAm"/>
              <w:jc w:val="center"/>
              <w:rPr>
                <w:sz w:val="22"/>
                <w:szCs w:val="22"/>
              </w:rPr>
            </w:pPr>
            <w:r>
              <w:rPr>
                <w:sz w:val="22"/>
                <w:szCs w:val="22"/>
              </w:rPr>
              <w:t>1.55</w:t>
            </w:r>
          </w:p>
        </w:tc>
        <w:tc>
          <w:tcPr>
            <w:tcW w:w="2125" w:type="dxa"/>
          </w:tcPr>
          <w:p>
            <w:pPr>
              <w:pStyle w:val="TableAm"/>
              <w:jc w:val="center"/>
              <w:rPr>
                <w:sz w:val="22"/>
                <w:szCs w:val="22"/>
              </w:rPr>
            </w:pPr>
            <w:r>
              <w:rPr>
                <w:sz w:val="22"/>
                <w:szCs w:val="22"/>
              </w:rPr>
              <w:t>1.61</w:t>
            </w:r>
          </w:p>
        </w:tc>
      </w:tr>
      <w:tr>
        <w:trPr>
          <w:cantSplit/>
          <w:jc w:val="center"/>
        </w:trPr>
        <w:tc>
          <w:tcPr>
            <w:tcW w:w="2411" w:type="dxa"/>
          </w:tcPr>
          <w:p>
            <w:pPr>
              <w:pStyle w:val="TableAm"/>
              <w:keepNext/>
            </w:pPr>
            <w:r>
              <w:t>Sch. 1 it. 4(a) </w:t>
            </w:r>
          </w:p>
        </w:tc>
        <w:tc>
          <w:tcPr>
            <w:tcW w:w="2268" w:type="dxa"/>
          </w:tcPr>
          <w:p>
            <w:pPr>
              <w:pStyle w:val="TableAm"/>
              <w:jc w:val="center"/>
              <w:rPr>
                <w:sz w:val="22"/>
                <w:szCs w:val="22"/>
              </w:rPr>
            </w:pPr>
            <w:r>
              <w:rPr>
                <w:sz w:val="22"/>
                <w:szCs w:val="22"/>
              </w:rPr>
              <w:t>4.65</w:t>
            </w:r>
          </w:p>
        </w:tc>
        <w:tc>
          <w:tcPr>
            <w:tcW w:w="2125" w:type="dxa"/>
          </w:tcPr>
          <w:p>
            <w:pPr>
              <w:pStyle w:val="TableAm"/>
              <w:jc w:val="center"/>
              <w:rPr>
                <w:sz w:val="22"/>
                <w:szCs w:val="22"/>
              </w:rPr>
            </w:pPr>
            <w:r>
              <w:rPr>
                <w:sz w:val="22"/>
                <w:szCs w:val="22"/>
              </w:rPr>
              <w:t>4.84</w:t>
            </w:r>
          </w:p>
        </w:tc>
      </w:tr>
      <w:tr>
        <w:trPr>
          <w:cantSplit/>
          <w:jc w:val="center"/>
        </w:trPr>
        <w:tc>
          <w:tcPr>
            <w:tcW w:w="2411" w:type="dxa"/>
          </w:tcPr>
          <w:p>
            <w:pPr>
              <w:pStyle w:val="TableAm"/>
            </w:pPr>
            <w:r>
              <w:t>Sch. 1 it. 4(b) </w:t>
            </w:r>
          </w:p>
        </w:tc>
        <w:tc>
          <w:tcPr>
            <w:tcW w:w="2268" w:type="dxa"/>
          </w:tcPr>
          <w:p>
            <w:pPr>
              <w:pStyle w:val="TableAm"/>
              <w:jc w:val="center"/>
              <w:rPr>
                <w:sz w:val="22"/>
                <w:szCs w:val="22"/>
              </w:rPr>
            </w:pPr>
            <w:r>
              <w:rPr>
                <w:sz w:val="22"/>
                <w:szCs w:val="22"/>
              </w:rPr>
              <w:t>2.32</w:t>
            </w:r>
          </w:p>
        </w:tc>
        <w:tc>
          <w:tcPr>
            <w:tcW w:w="2125" w:type="dxa"/>
          </w:tcPr>
          <w:p>
            <w:pPr>
              <w:pStyle w:val="TableAm"/>
              <w:jc w:val="center"/>
              <w:rPr>
                <w:sz w:val="22"/>
                <w:szCs w:val="22"/>
              </w:rPr>
            </w:pPr>
            <w:r>
              <w:rPr>
                <w:sz w:val="22"/>
                <w:szCs w:val="22"/>
              </w:rPr>
              <w:t>2.42</w:t>
            </w:r>
          </w:p>
        </w:tc>
      </w:tr>
    </w:tbl>
    <w:p>
      <w:pPr>
        <w:pStyle w:val="BlankClose"/>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54" w:name="_Toc524930924"/>
      <w:r>
        <w:rPr>
          <w:sz w:val="28"/>
        </w:rPr>
        <w:t>Defined terms</w:t>
      </w:r>
      <w:bookmarkEnd w:id="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Admissions Manager</w:t>
      </w:r>
      <w:r>
        <w:tab/>
        <w:t>5</w:t>
      </w:r>
    </w:p>
    <w:p>
      <w:pPr>
        <w:pStyle w:val="DefinedTerms"/>
      </w:pPr>
      <w:r>
        <w:t>Australian resident</w:t>
      </w:r>
      <w:r>
        <w:tab/>
        <w:t>15A(4)</w:t>
      </w:r>
    </w:p>
    <w:p>
      <w:pPr>
        <w:pStyle w:val="DefinedTerms"/>
      </w:pPr>
      <w:r>
        <w:t>category</w:t>
      </w:r>
      <w:r>
        <w:tab/>
        <w:t>3(1)</w:t>
      </w:r>
    </w:p>
    <w:p>
      <w:pPr>
        <w:pStyle w:val="DefinedTerms"/>
      </w:pPr>
      <w:r>
        <w:t>Centrelink</w:t>
      </w:r>
      <w:r>
        <w:tab/>
        <w:t>20(1)</w:t>
      </w:r>
    </w:p>
    <w:p>
      <w:pPr>
        <w:pStyle w:val="DefinedTerms"/>
      </w:pPr>
      <w:r>
        <w:t>concessional student</w:t>
      </w:r>
      <w:r>
        <w:tab/>
        <w:t>3(1)</w:t>
      </w:r>
    </w:p>
    <w:p>
      <w:pPr>
        <w:pStyle w:val="DefinedTerms"/>
      </w:pPr>
      <w:r>
        <w:t>course</w:t>
      </w:r>
      <w:r>
        <w:tab/>
        <w:t>3(1), 5</w:t>
      </w:r>
    </w:p>
    <w:p>
      <w:pPr>
        <w:pStyle w:val="DefinedTerms"/>
      </w:pPr>
      <w:r>
        <w:t>course fee</w:t>
      </w:r>
      <w:r>
        <w:tab/>
        <w:t>3(1)</w:t>
      </w:r>
    </w:p>
    <w:p>
      <w:pPr>
        <w:pStyle w:val="DefinedTerms"/>
      </w:pPr>
      <w:r>
        <w:t>hours</w:t>
      </w:r>
      <w:r>
        <w:tab/>
        <w:t>3(1)</w:t>
      </w:r>
    </w:p>
    <w:p>
      <w:pPr>
        <w:pStyle w:val="DefinedTerms"/>
      </w:pPr>
      <w:r>
        <w:t>nominal hours</w:t>
      </w:r>
      <w:r>
        <w:tab/>
        <w:t>3AA(1)</w:t>
      </w:r>
    </w:p>
    <w:p>
      <w:pPr>
        <w:pStyle w:val="DefinedTerms"/>
      </w:pPr>
      <w:r>
        <w:t>payment period</w:t>
      </w:r>
      <w:r>
        <w:tab/>
        <w:t>24A</w:t>
      </w:r>
    </w:p>
    <w:p>
      <w:pPr>
        <w:pStyle w:val="DefinedTerms"/>
      </w:pPr>
      <w:r>
        <w:t>pro rata refund</w:t>
      </w:r>
      <w:r>
        <w:tab/>
        <w:t>24A</w:t>
      </w:r>
    </w:p>
    <w:p>
      <w:pPr>
        <w:pStyle w:val="DefinedTerms"/>
      </w:pPr>
      <w:r>
        <w:t>seal book</w:t>
      </w:r>
      <w:r>
        <w:tab/>
        <w:t>31(1)</w:t>
      </w:r>
    </w:p>
    <w:p>
      <w:pPr>
        <w:pStyle w:val="DefinedTerms"/>
      </w:pPr>
      <w:r>
        <w:t>secondary school aged person</w:t>
      </w:r>
      <w:r>
        <w:tab/>
        <w:t>3(1)</w:t>
      </w:r>
    </w:p>
    <w:p>
      <w:pPr>
        <w:pStyle w:val="DefinedTerms"/>
      </w:pPr>
      <w:r>
        <w:t>unforeseen circumstances</w:t>
      </w:r>
      <w:r>
        <w:tab/>
        <w:t>24A</w:t>
      </w:r>
    </w:p>
    <w:p>
      <w:pPr>
        <w:pStyle w:val="DefinedTerms"/>
      </w:pPr>
      <w:r>
        <w:t>unit</w:t>
      </w:r>
      <w:r>
        <w:tab/>
        <w:t>3(1)</w:t>
      </w:r>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Dec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49" w:name="Schedule"/>
    <w:bookmarkEnd w:id="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548"/>
      <w:gridCol w:w="5764"/>
    </w:tblGrid>
    <w:tr>
      <w:tc>
        <w:tcPr>
          <w:tcW w:w="7312"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 w:name="DefinedTerms"/>
    <w:bookmarkEnd w:id="5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 w:name="Coversheet"/>
    <w:bookmarkEnd w:id="5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42F0467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315"/>
    <w:docVar w:name="WAFER_20131218143335" w:val="RemoveTocBookmarks,RemoveUnusedBookmarks,RemoveLanguageTags,UsedStyles,ResetPageSize"/>
    <w:docVar w:name="WAFER_20131218143335_GUID" w:val="80aaf241-e9c6-45ee-997f-1debb04bb8e1"/>
    <w:docVar w:name="WAFER_20131218155516" w:val="UpdateArrangement"/>
    <w:docVar w:name="WAFER_20131218155516_GUID" w:val="538a1e87-2d8f-4c35-bd40-1455f6df40b9"/>
    <w:docVar w:name="WAFER_20140113162622" w:val="RemoveTocBookmarks,RemoveUnusedBookmarks,RemoveLanguageTags,UsedStyles,ResetPageSize"/>
    <w:docVar w:name="WAFER_20140113162622_GUID" w:val="9457364a-2bff-4a74-b10b-06b05563c5f0"/>
    <w:docVar w:name="WAFER_20140113165137" w:val="RemoveTocBookmarks,RunningHeaders"/>
    <w:docVar w:name="WAFER_20140113165137_GUID" w:val="dae2550e-3e2d-42ad-94c6-f2132389bfa8"/>
    <w:docVar w:name="WAFER_20140117143428" w:val="RemoveTocBookmarks,RemoveUnusedBookmarks,RemoveLanguageTags,UsedStyles,ResetPageSize,UpdateArrangement"/>
    <w:docVar w:name="WAFER_20140117143428_GUID" w:val="b51f952c-226c-45e6-9a61-39fd3d867437"/>
    <w:docVar w:name="WAFER_20140214114530" w:val="RemoveTocBookmarks,RemoveLanguageTags,RemoveTrackChanges,RunningHeaders"/>
    <w:docVar w:name="WAFER_20140214114530_GUID" w:val="fae843bc-44bf-475d-b3a6-1bad7f4934b6"/>
    <w:docVar w:name="WAFER_20140214114622" w:val="RemoveTocBookmarks,RemoveLanguageTags,RemoveTrackChanges,RunningHeaders"/>
    <w:docVar w:name="WAFER_20140214114622_GUID" w:val="c9c66ebb-078e-41db-b193-abb919eb139b"/>
    <w:docVar w:name="WAFER_20140319134751" w:val="RemoveTocBookmarks,RemoveLanguageTags,RemoveTrackChanges,RunningHeaders"/>
    <w:docVar w:name="WAFER_20140319134751_GUID" w:val="b8e9fd88-0107-4eb6-8714-2fc4612585ef"/>
    <w:docVar w:name="WAFER_20140327153128" w:val="RemoveTocBookmarks,RemoveUnusedBookmarks,RemoveLanguageTags,UsedStyles,ResetPageSize,UpdateArrangement"/>
    <w:docVar w:name="WAFER_20140327153128_GUID" w:val="13917d3f-7434-455c-b941-f70d34c45d15"/>
    <w:docVar w:name="WAFER_20140327153142" w:val="RemoveTocBookmarks,RunningHeaders"/>
    <w:docVar w:name="WAFER_20140327153142_GUID" w:val="a9f618e6-514f-4e00-9a3f-802811ac45a2"/>
    <w:docVar w:name="WAFER_20141211175740" w:val="RemoveTocBookmarks,RemoveUnusedBookmarks,RemoveLanguageTags,UsedStyles,ResetPageSize,UpdateArrangement"/>
    <w:docVar w:name="WAFER_20141211175740_GUID" w:val="72abdc04-8ab1-4890-865b-9557b433149f"/>
    <w:docVar w:name="WAFER_20141211175752" w:val="RemoveTocBookmarks,RunningHeaders"/>
    <w:docVar w:name="WAFER_20141211175752_GUID" w:val="88ba1cc5-68b5-4d59-b73e-c72a4fe47d89"/>
    <w:docVar w:name="WAFER_20150721115223" w:val="ResetPageSize,UpdateArrangement,UpdateNTable"/>
    <w:docVar w:name="WAFER_20150721115223_GUID" w:val="5d592abd-aedf-4b1b-b7a5-4057b1ca944c"/>
    <w:docVar w:name="WAFER_20151112112117" w:val="UpdateStyles,UsedStyles"/>
    <w:docVar w:name="WAFER_20151112112117_GUID" w:val="c6b6581f-eb73-40a8-9a23-ce8a1f9ebaca"/>
    <w:docVar w:name="WAFER_20151210125315" w:val="RemoveTocBookmarks,RemoveUnusedBookmarks,RemoveLanguageTags,UsedStyles,ResetPageSize"/>
    <w:docVar w:name="WAFER_20151210125315_GUID" w:val="5ddf47c8-3664-48a0-a685-a2cf962e26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8938D-0A42-40E1-8239-2274AC965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7250</Words>
  <Characters>34079</Characters>
  <Application>Microsoft Office Word</Application>
  <DocSecurity>0</DocSecurity>
  <Lines>1135</Lines>
  <Paragraphs>688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1996 - 06-c0-02</dc:title>
  <dc:subject/>
  <dc:creator/>
  <cp:keywords/>
  <dc:description/>
  <cp:lastModifiedBy>svcMRProcess</cp:lastModifiedBy>
  <cp:revision>4</cp:revision>
  <cp:lastPrinted>2014-03-12T01:06:00Z</cp:lastPrinted>
  <dcterms:created xsi:type="dcterms:W3CDTF">2018-09-16T22:59:00Z</dcterms:created>
  <dcterms:modified xsi:type="dcterms:W3CDTF">2018-09-16T22:59:00Z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DocumentType">
    <vt:lpwstr>Reg</vt:lpwstr>
  </property>
  <property fmtid="{D5CDD505-2E9C-101B-9397-08002B2CF9AE}" pid="4" name="OwlsUID">
    <vt:i4>4836</vt:i4>
  </property>
  <property fmtid="{D5CDD505-2E9C-101B-9397-08002B2CF9AE}" pid="5" name="ReprintNo">
    <vt:lpwstr>6</vt:lpwstr>
  </property>
  <property fmtid="{D5CDD505-2E9C-101B-9397-08002B2CF9AE}" pid="6" name="ReprintedAsAt">
    <vt:filetime>2014-03-06T16:00:00Z</vt:filetime>
  </property>
  <property fmtid="{D5CDD505-2E9C-101B-9397-08002B2CF9AE}" pid="7" name="AsAtDate">
    <vt:lpwstr>11 Dec 2015</vt:lpwstr>
  </property>
  <property fmtid="{D5CDD505-2E9C-101B-9397-08002B2CF9AE}" pid="8" name="Suffix">
    <vt:lpwstr>06-c0-02</vt:lpwstr>
  </property>
  <property fmtid="{D5CDD505-2E9C-101B-9397-08002B2CF9AE}" pid="9" name="CommencementDate">
    <vt:lpwstr>20151211</vt:lpwstr>
  </property>
</Properties>
</file>