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Act 2004</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(Fees) Regulations 2005</w:t>
      </w:r>
      <w:r>
        <w:rPr>
          <w:sz w:val="48"/>
        </w:rPr>
        <w:fldChar w:fldCharType="end"/>
      </w:r>
    </w:p>
    <w:p>
      <w:pPr>
        <w:pStyle w:val="ReprintNo"/>
      </w:pPr>
      <w:r>
        <w:t>Reprint 3:  The regulations as at 3 December 2015</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2E7965" w:rsidRDefault="002E7965">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2E7965" w:rsidRDefault="002E7965">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2E7965" w:rsidRDefault="002E7965">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2E7965" w:rsidRDefault="002E7965">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December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_Toc433189132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_Toc433189133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_Toc433189134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 (Act s. 42)</w:t>
      </w:r>
      <w:r>
        <w:tab/>
      </w:r>
      <w:r>
        <w:fldChar w:fldCharType="begin"/>
      </w:r>
      <w:r>
        <w:instrText xml:space="preserve"> PAGEREF _Toc433189135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i/>
          <w:snapToGrid w:val="0"/>
        </w:rPr>
        <w:t xml:space="preserve">Restraining Orders Act 1997 </w:t>
      </w:r>
      <w:r>
        <w:rPr>
          <w:snapToGrid w:val="0"/>
        </w:rPr>
        <w:t>and</w:t>
      </w:r>
      <w:r>
        <w:rPr>
          <w:i/>
          <w:snapToGrid w:val="0"/>
        </w:rPr>
        <w:t xml:space="preserve"> Prohibited Behaviour Orders Act 2010</w:t>
      </w:r>
      <w:r>
        <w:rPr>
          <w:snapToGrid w:val="0"/>
        </w:rPr>
        <w:t>, certain applications under exempt from fees</w:t>
      </w:r>
      <w:r>
        <w:tab/>
      </w:r>
      <w:r>
        <w:fldChar w:fldCharType="begin"/>
      </w:r>
      <w:r>
        <w:instrText xml:space="preserve"> PAGEREF _Toc433189136 \h </w:instrText>
      </w:r>
      <w:r>
        <w:fldChar w:fldCharType="separate"/>
      </w:r>
      <w:r>
        <w:t>5</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_Toc433189137 \h </w:instrText>
      </w:r>
      <w:r>
        <w:fldChar w:fldCharType="separate"/>
      </w:r>
      <w:r>
        <w:t>6</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w:t>
      </w:r>
      <w:r>
        <w:tab/>
      </w:r>
      <w:r>
        <w:fldChar w:fldCharType="begin"/>
      </w:r>
      <w:r>
        <w:instrText xml:space="preserve"> PAGEREF _Toc433189138 \h </w:instrText>
      </w:r>
      <w:r>
        <w:fldChar w:fldCharType="separate"/>
      </w:r>
      <w:r>
        <w:t>7</w:t>
      </w:r>
      <w:r>
        <w:fldChar w:fldCharType="end"/>
      </w:r>
    </w:p>
    <w:p>
      <w:pPr>
        <w:pStyle w:val="TOC8"/>
        <w:rPr>
          <w:rFonts w:asciiTheme="minorHAnsi" w:eastAsiaTheme="minorEastAsia" w:hAnsiTheme="minorHAnsi" w:cstheme="minorBidi"/>
          <w:szCs w:val="22"/>
        </w:rPr>
      </w:pPr>
      <w:r>
        <w:t>8.</w:t>
      </w:r>
      <w:r>
        <w:tab/>
        <w:t>Financial hardship etc., waiving etc. fees in cases of</w:t>
      </w:r>
      <w:r>
        <w:tab/>
      </w:r>
      <w:r>
        <w:fldChar w:fldCharType="begin"/>
      </w:r>
      <w:r>
        <w:instrText xml:space="preserve"> PAGEREF _Toc433189139 \h </w:instrText>
      </w:r>
      <w:r>
        <w:fldChar w:fldCharType="separate"/>
      </w:r>
      <w:r>
        <w:t>7</w:t>
      </w:r>
      <w:r>
        <w:fldChar w:fldCharType="end"/>
      </w:r>
    </w:p>
    <w:p>
      <w:pPr>
        <w:pStyle w:val="TOC8"/>
        <w:rPr>
          <w:rFonts w:asciiTheme="minorHAnsi" w:eastAsiaTheme="minorEastAsia" w:hAnsiTheme="minorHAnsi" w:cstheme="minorBidi"/>
          <w:szCs w:val="22"/>
        </w:rPr>
      </w:pPr>
      <w:r>
        <w:t>9.</w:t>
      </w:r>
      <w:r>
        <w:tab/>
      </w:r>
      <w:r>
        <w:rPr>
          <w:snapToGrid w:val="0"/>
        </w:rPr>
        <w:t>Conventions</w:t>
      </w:r>
      <w:r>
        <w:tab/>
      </w:r>
      <w:r>
        <w:fldChar w:fldCharType="begin"/>
      </w:r>
      <w:r>
        <w:instrText xml:space="preserve"> PAGEREF _Toc433189140 \h </w:instrText>
      </w:r>
      <w:r>
        <w:fldChar w:fldCharType="separate"/>
      </w:r>
      <w:r>
        <w:t>9</w:t>
      </w:r>
      <w:r>
        <w:fldChar w:fldCharType="end"/>
      </w:r>
    </w:p>
    <w:p>
      <w:pPr>
        <w:pStyle w:val="TOC8"/>
        <w:rPr>
          <w:rFonts w:asciiTheme="minorHAnsi" w:eastAsiaTheme="minorEastAsia" w:hAnsiTheme="minorHAnsi" w:cstheme="minorBidi"/>
          <w:szCs w:val="22"/>
        </w:rPr>
      </w:pPr>
      <w:r>
        <w:t>10.</w:t>
      </w:r>
      <w:r>
        <w:tab/>
        <w:t>Fee for allocation of hearing dates etc. (Sch. 1 Div. 2 it. 5), when to be paid</w:t>
      </w:r>
      <w:r>
        <w:tab/>
      </w:r>
      <w:r>
        <w:fldChar w:fldCharType="begin"/>
      </w:r>
      <w:r>
        <w:instrText xml:space="preserve"> PAGEREF _Toc433189141 \h </w:instrText>
      </w:r>
      <w:r>
        <w:fldChar w:fldCharType="separate"/>
      </w:r>
      <w:r>
        <w:t>10</w:t>
      </w:r>
      <w:r>
        <w:fldChar w:fldCharType="end"/>
      </w:r>
    </w:p>
    <w:p>
      <w:pPr>
        <w:pStyle w:val="TOC8"/>
        <w:rPr>
          <w:rFonts w:asciiTheme="minorHAnsi" w:eastAsiaTheme="minorEastAsia" w:hAnsiTheme="minorHAnsi" w:cstheme="minorBidi"/>
          <w:szCs w:val="22"/>
        </w:rPr>
      </w:pPr>
      <w:r>
        <w:t>11.</w:t>
      </w:r>
      <w:r>
        <w:tab/>
        <w:t>Half daily hearing fee (Sch. 1 Div. 2 it. 6)</w:t>
      </w:r>
      <w:r>
        <w:tab/>
      </w:r>
      <w:r>
        <w:fldChar w:fldCharType="begin"/>
      </w:r>
      <w:r>
        <w:instrText xml:space="preserve"> PAGEREF _Toc433189142 \h </w:instrText>
      </w:r>
      <w:r>
        <w:fldChar w:fldCharType="separate"/>
      </w:r>
      <w:r>
        <w:t>10</w:t>
      </w:r>
      <w:r>
        <w:fldChar w:fldCharType="end"/>
      </w:r>
    </w:p>
    <w:p>
      <w:pPr>
        <w:pStyle w:val="TOC8"/>
        <w:rPr>
          <w:rFonts w:asciiTheme="minorHAnsi" w:eastAsiaTheme="minorEastAsia" w:hAnsiTheme="minorHAnsi" w:cstheme="minorBidi"/>
          <w:szCs w:val="22"/>
        </w:rPr>
      </w:pPr>
      <w:r>
        <w:t>12.</w:t>
      </w:r>
      <w:r>
        <w:tab/>
        <w:t>Court information, fees for</w:t>
      </w:r>
      <w:r>
        <w:tab/>
      </w:r>
      <w:r>
        <w:fldChar w:fldCharType="begin"/>
      </w:r>
      <w:r>
        <w:instrText xml:space="preserve"> PAGEREF _Toc433189143 \h </w:instrText>
      </w:r>
      <w:r>
        <w:fldChar w:fldCharType="separate"/>
      </w:r>
      <w:r>
        <w:t>10</w:t>
      </w:r>
      <w:r>
        <w:fldChar w:fldCharType="end"/>
      </w:r>
    </w:p>
    <w:p>
      <w:pPr>
        <w:pStyle w:val="TOC8"/>
        <w:rPr>
          <w:rFonts w:asciiTheme="minorHAnsi" w:eastAsiaTheme="minorEastAsia" w:hAnsiTheme="minorHAnsi" w:cstheme="minorBidi"/>
          <w:szCs w:val="22"/>
        </w:rPr>
      </w:pPr>
      <w:r>
        <w:t>13.</w:t>
      </w:r>
      <w:r>
        <w:tab/>
        <w:t>Disputes as to fees, determination of</w:t>
      </w:r>
      <w:r>
        <w:tab/>
      </w:r>
      <w:r>
        <w:fldChar w:fldCharType="begin"/>
      </w:r>
      <w:r>
        <w:instrText xml:space="preserve"> PAGEREF _Toc433189144 \h </w:instrText>
      </w:r>
      <w:r>
        <w:fldChar w:fldCharType="separate"/>
      </w:r>
      <w:r>
        <w:t>10</w:t>
      </w:r>
      <w:r>
        <w:fldChar w:fldCharType="end"/>
      </w:r>
    </w:p>
    <w:p>
      <w:pPr>
        <w:pStyle w:val="TOC8"/>
        <w:rPr>
          <w:rFonts w:asciiTheme="minorHAnsi" w:eastAsiaTheme="minorEastAsia" w:hAnsiTheme="minorHAnsi" w:cstheme="minorBidi"/>
          <w:szCs w:val="22"/>
        </w:rPr>
      </w:pPr>
      <w:r>
        <w:t>14.</w:t>
      </w:r>
      <w:r>
        <w:tab/>
        <w:t>Unpaid fees, recovery of</w:t>
      </w:r>
      <w:r>
        <w:tab/>
      </w:r>
      <w:r>
        <w:fldChar w:fldCharType="begin"/>
      </w:r>
      <w:r>
        <w:instrText xml:space="preserve"> PAGEREF _Toc433189145 \h </w:instrText>
      </w:r>
      <w:r>
        <w:fldChar w:fldCharType="separate"/>
      </w:r>
      <w:r>
        <w:t>11</w:t>
      </w:r>
      <w:r>
        <w:fldChar w:fldCharType="end"/>
      </w:r>
    </w:p>
    <w:p>
      <w:pPr>
        <w:pStyle w:val="TOC8"/>
        <w:rPr>
          <w:rFonts w:asciiTheme="minorHAnsi" w:eastAsiaTheme="minorEastAsia" w:hAnsiTheme="minorHAnsi" w:cstheme="minorBidi"/>
          <w:szCs w:val="22"/>
        </w:rPr>
      </w:pPr>
      <w:r>
        <w:t>15.</w:t>
      </w:r>
      <w:r>
        <w:tab/>
        <w:t>Transitional provisions</w:t>
      </w:r>
      <w:r>
        <w:tab/>
      </w:r>
      <w:r>
        <w:fldChar w:fldCharType="begin"/>
      </w:r>
      <w:r>
        <w:instrText xml:space="preserve"> PAGEREF _Toc433189146 \h </w:instrText>
      </w:r>
      <w:r>
        <w:fldChar w:fldCharType="separate"/>
      </w:r>
      <w:r>
        <w:t>11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4"/>
        <w:keepNext w:val="0"/>
        <w:tabs>
          <w:tab w:val="right" w:leader="dot" w:pos="7077"/>
        </w:tabs>
        <w:rPr>
          <w:rFonts w:asciiTheme="minorHAnsi" w:eastAsiaTheme="minorEastAsia" w:hAnsiTheme="minorHAnsi" w:cstheme="minorBidi"/>
          <w:b w:val="0"/>
          <w:szCs w:val="22"/>
        </w:rPr>
      </w:pPr>
      <w:r>
        <w:t>Division 1 — General</w:t>
      </w:r>
    </w:p>
    <w:p>
      <w:pPr>
        <w:pStyle w:val="TOC4"/>
        <w:keepNext w:val="0"/>
        <w:tabs>
          <w:tab w:val="right" w:leader="dot" w:pos="7077"/>
        </w:tabs>
        <w:rPr>
          <w:rFonts w:asciiTheme="minorHAnsi" w:eastAsiaTheme="minorEastAsia" w:hAnsiTheme="minorHAnsi" w:cstheme="minorBidi"/>
          <w:b w:val="0"/>
          <w:szCs w:val="22"/>
        </w:rPr>
      </w:pPr>
      <w:r>
        <w:t>Division 2</w:t>
      </w:r>
      <w:r>
        <w:rPr>
          <w:b w:val="0"/>
        </w:rPr>
        <w:t> — </w:t>
      </w:r>
      <w:r>
        <w:t>Civil jurisdiction</w:t>
      </w:r>
    </w:p>
    <w:p>
      <w:pPr>
        <w:pStyle w:val="TOC4"/>
        <w:keepNext w:val="0"/>
        <w:tabs>
          <w:tab w:val="right" w:leader="dot" w:pos="7077"/>
        </w:tabs>
        <w:rPr>
          <w:rFonts w:asciiTheme="minorHAnsi" w:eastAsiaTheme="minorEastAsia" w:hAnsiTheme="minorHAnsi" w:cstheme="minorBidi"/>
          <w:b w:val="0"/>
          <w:szCs w:val="22"/>
        </w:rPr>
      </w:pPr>
      <w:r>
        <w:t>Division 3</w:t>
      </w:r>
      <w:r>
        <w:rPr>
          <w:b w:val="0"/>
        </w:rPr>
        <w:t> — </w:t>
      </w:r>
      <w:r>
        <w:t>Criminal jurisdiction</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Declaration that a person is a small business or a non</w:t>
      </w:r>
      <w:r>
        <w:noBreakHyphen/>
        <w:t>profit association</w:t>
      </w:r>
      <w:r>
        <w:tab/>
      </w:r>
      <w:r>
        <w:fldChar w:fldCharType="begin"/>
      </w:r>
      <w:r>
        <w:instrText xml:space="preserve"> PAGEREF _Toc433189152 \h </w:instrText>
      </w:r>
      <w:r>
        <w:fldChar w:fldCharType="separate"/>
      </w:r>
      <w:r>
        <w:t>21</w:t>
      </w:r>
      <w:r>
        <w:fldChar w:fldCharType="end"/>
      </w:r>
    </w:p>
    <w:p>
      <w:pPr>
        <w:pStyle w:val="TOC8"/>
        <w:rPr>
          <w:rFonts w:asciiTheme="minorHAnsi" w:eastAsiaTheme="minorEastAsia" w:hAnsiTheme="minorHAnsi" w:cstheme="minorBidi"/>
          <w:szCs w:val="22"/>
        </w:rPr>
      </w:pPr>
      <w:r>
        <w:t>3.</w:t>
      </w:r>
      <w:r>
        <w:tab/>
        <w:t>Application for determination of dispute about fees</w:t>
      </w:r>
      <w:r>
        <w:tab/>
      </w:r>
      <w:r>
        <w:fldChar w:fldCharType="begin"/>
      </w:r>
      <w:r>
        <w:instrText xml:space="preserve"> PAGEREF _Toc433189153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_Toc433189155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December 2015</w:t>
            </w:r>
          </w:p>
        </w:tc>
      </w:tr>
    </w:tbl>
    <w:p>
      <w:pPr>
        <w:pStyle w:val="WA"/>
        <w:spacing w:before="12"/>
      </w:pPr>
      <w:r>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3" w:name="_Toc433189132"/>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4" w:name="_Toc433189133"/>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5" w:name="_Toc433189134"/>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rPr>
          <w:vertAlign w:val="superscript"/>
        </w:rPr>
        <w:t> 2</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6" w:name="_Toc433189135"/>
      <w:r>
        <w:rPr>
          <w:rStyle w:val="CharSectno"/>
        </w:rPr>
        <w:t>4</w:t>
      </w:r>
      <w:r>
        <w:t>.</w:t>
      </w:r>
      <w:r>
        <w:tab/>
      </w:r>
      <w:r>
        <w:rPr>
          <w:snapToGrid w:val="0"/>
        </w:rPr>
        <w:t>Fees to be charged (Act s. 42)</w:t>
      </w:r>
      <w:bookmarkEnd w:id="6"/>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Subsection"/>
        <w:spacing w:before="120"/>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spacing w:before="120"/>
      </w:pPr>
      <w:r>
        <w:tab/>
        <w:t>(7)</w:t>
      </w:r>
      <w:r>
        <w:tab/>
        <w:t>Subregulation (6) does not apply to fees payable by joint parties if at least one of the parties is not a small business or a non</w:t>
      </w:r>
      <w:r>
        <w:noBreakHyphen/>
        <w:t>profit association.</w:t>
      </w:r>
    </w:p>
    <w:p>
      <w:pPr>
        <w:pStyle w:val="Subsection"/>
        <w:spacing w:before="120"/>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spacing w:before="120"/>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spacing w:before="120"/>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keepNext/>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7" w:name="_Toc433189136"/>
      <w:r>
        <w:rPr>
          <w:rStyle w:val="CharSectno"/>
        </w:rPr>
        <w:t>5</w:t>
      </w:r>
      <w:r>
        <w:t>.</w:t>
      </w:r>
      <w:r>
        <w:tab/>
      </w:r>
      <w:r>
        <w:rPr>
          <w:i/>
          <w:snapToGrid w:val="0"/>
        </w:rPr>
        <w:t xml:space="preserve">Restraining Orders Act 1997 </w:t>
      </w:r>
      <w:r>
        <w:rPr>
          <w:snapToGrid w:val="0"/>
        </w:rPr>
        <w:t>and</w:t>
      </w:r>
      <w:r>
        <w:rPr>
          <w:i/>
          <w:snapToGrid w:val="0"/>
        </w:rPr>
        <w:t xml:space="preserve"> Prohibited Behaviour Orders Act 2010</w:t>
      </w:r>
      <w:r>
        <w:rPr>
          <w:snapToGrid w:val="0"/>
        </w:rPr>
        <w:t>, certain applications under exempt from fees</w:t>
      </w:r>
      <w:bookmarkEnd w:id="7"/>
    </w:p>
    <w:p>
      <w:pPr>
        <w:pStyle w:val="Subsection"/>
        <w:rPr>
          <w:snapToGrid w:val="0"/>
        </w:rPr>
      </w:pPr>
      <w:r>
        <w:rPr>
          <w:snapToGrid w:val="0"/>
        </w:rPr>
        <w:tab/>
      </w:r>
      <w:r>
        <w:rPr>
          <w:snapToGrid w:val="0"/>
        </w:rPr>
        <w:tab/>
        <w:t xml:space="preserve">A fee 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Footnotesection"/>
        <w:keepLines w:val="0"/>
      </w:pPr>
      <w:r>
        <w:tab/>
        <w:t>[Regulation 5 inserted in Gazette 27 Mar 2012 p. 1507.]</w:t>
      </w:r>
    </w:p>
    <w:p>
      <w:pPr>
        <w:pStyle w:val="Heading5"/>
        <w:pageBreakBefore/>
        <w:spacing w:before="0"/>
      </w:pPr>
      <w:bookmarkStart w:id="8" w:name="_Toc433189137"/>
      <w:r>
        <w:rPr>
          <w:rStyle w:val="CharSectno"/>
        </w:rPr>
        <w:t>6</w:t>
      </w:r>
      <w:r>
        <w:t>.</w:t>
      </w:r>
      <w:r>
        <w:tab/>
        <w:t>Some fees subject to conditions or must be waived</w:t>
      </w:r>
      <w:bookmarkEnd w:id="8"/>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pageBreakBefore/>
        <w:spacing w:before="0"/>
        <w:rPr>
          <w:snapToGrid w:val="0"/>
        </w:rPr>
      </w:pPr>
      <w:bookmarkStart w:id="9" w:name="_Toc433189138"/>
      <w:r>
        <w:rPr>
          <w:rStyle w:val="CharSectno"/>
        </w:rPr>
        <w:t>7</w:t>
      </w:r>
      <w:r>
        <w:t>.</w:t>
      </w:r>
      <w:r>
        <w:tab/>
      </w:r>
      <w:r>
        <w:rPr>
          <w:rStyle w:val="CharSectno"/>
        </w:rPr>
        <w:t>F</w:t>
      </w:r>
      <w:r>
        <w:rPr>
          <w:snapToGrid w:val="0"/>
        </w:rPr>
        <w:t>ees to be paid before documents etc. filed</w:t>
      </w:r>
      <w:bookmarkEnd w:id="9"/>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10" w:name="_Toc433189139"/>
      <w:r>
        <w:rPr>
          <w:rStyle w:val="CharSectno"/>
        </w:rPr>
        <w:t>8</w:t>
      </w:r>
      <w:r>
        <w:t>.</w:t>
      </w:r>
      <w:r>
        <w:tab/>
        <w:t>Financial hardship etc., waiving etc. fees in cases of</w:t>
      </w:r>
      <w:bookmarkEnd w:id="10"/>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a form approved by the Chief Magistrate.</w:t>
      </w:r>
    </w:p>
    <w:p>
      <w:pPr>
        <w:pStyle w:val="Ednotesubsection"/>
      </w:pPr>
      <w:r>
        <w:tab/>
        <w:t>[(7)</w:t>
      </w:r>
      <w:r>
        <w:tab/>
        <w:t>deleted]</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788; 4 Sep 2015 p. 3695.]</w:t>
      </w:r>
    </w:p>
    <w:p>
      <w:pPr>
        <w:pStyle w:val="Heading5"/>
        <w:rPr>
          <w:snapToGrid w:val="0"/>
        </w:rPr>
      </w:pPr>
      <w:bookmarkStart w:id="11" w:name="_Toc433189140"/>
      <w:r>
        <w:rPr>
          <w:rStyle w:val="CharSectno"/>
        </w:rPr>
        <w:t>9</w:t>
      </w:r>
      <w:r>
        <w:t>.</w:t>
      </w:r>
      <w:r>
        <w:tab/>
      </w:r>
      <w:r>
        <w:rPr>
          <w:snapToGrid w:val="0"/>
        </w:rPr>
        <w:t>Conventions</w:t>
      </w:r>
      <w:bookmarkEnd w:id="11"/>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12" w:name="_Toc433189141"/>
      <w:r>
        <w:rPr>
          <w:rStyle w:val="CharSectno"/>
        </w:rPr>
        <w:t>10</w:t>
      </w:r>
      <w:r>
        <w:t>.</w:t>
      </w:r>
      <w:r>
        <w:tab/>
        <w:t>Fee for allocation of hearing dates etc. (Sch. 1 Div. 2 it. 5), when to be paid</w:t>
      </w:r>
      <w:bookmarkEnd w:id="12"/>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13" w:name="_Toc433189142"/>
      <w:r>
        <w:rPr>
          <w:rStyle w:val="CharSectno"/>
        </w:rPr>
        <w:t>11</w:t>
      </w:r>
      <w:r>
        <w:t>.</w:t>
      </w:r>
      <w:r>
        <w:tab/>
        <w:t>Half daily hearing fee (Sch. 1 Div. 2 it. 6)</w:t>
      </w:r>
      <w:bookmarkEnd w:id="13"/>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14" w:name="_Toc433189143"/>
      <w:r>
        <w:rPr>
          <w:rStyle w:val="CharSectno"/>
        </w:rPr>
        <w:t>12</w:t>
      </w:r>
      <w:r>
        <w:t>.</w:t>
      </w:r>
      <w:r>
        <w:tab/>
        <w:t>Court information, fees for</w:t>
      </w:r>
      <w:bookmarkEnd w:id="14"/>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15" w:name="_Toc433189144"/>
      <w:r>
        <w:rPr>
          <w:rStyle w:val="CharSectno"/>
        </w:rPr>
        <w:t>13</w:t>
      </w:r>
      <w:r>
        <w:t>.</w:t>
      </w:r>
      <w:r>
        <w:tab/>
        <w:t>Disputes as to fees, determination of</w:t>
      </w:r>
      <w:bookmarkEnd w:id="15"/>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6" w:name="_Toc433189145"/>
      <w:r>
        <w:rPr>
          <w:rStyle w:val="CharSectno"/>
        </w:rPr>
        <w:t>14</w:t>
      </w:r>
      <w:r>
        <w:t>.</w:t>
      </w:r>
      <w:r>
        <w:tab/>
        <w:t>Unpaid fees, recovery of</w:t>
      </w:r>
      <w:bookmarkEnd w:id="16"/>
    </w:p>
    <w:p>
      <w:pPr>
        <w:pStyle w:val="Subsection"/>
      </w:pPr>
      <w:r>
        <w:tab/>
      </w:r>
      <w:r>
        <w:tab/>
        <w:t>Any unpaid fee is a debt due to the State and may be recovered by action in a court of competent jurisdiction.</w:t>
      </w:r>
    </w:p>
    <w:p>
      <w:pPr>
        <w:pStyle w:val="Heading5"/>
      </w:pPr>
      <w:bookmarkStart w:id="17" w:name="_Toc433189146"/>
      <w:r>
        <w:rPr>
          <w:rStyle w:val="CharSectno"/>
        </w:rPr>
        <w:t>15</w:t>
      </w:r>
      <w:r>
        <w:t>.</w:t>
      </w:r>
      <w:r>
        <w:tab/>
        <w:t>Transitional provisions</w:t>
      </w:r>
      <w:bookmarkEnd w:id="17"/>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 w:name="_Toc433189147"/>
      <w:r>
        <w:rPr>
          <w:rStyle w:val="CharSchNo"/>
        </w:rPr>
        <w:t>Schedule 1</w:t>
      </w:r>
      <w:r>
        <w:t> — </w:t>
      </w:r>
      <w:r>
        <w:rPr>
          <w:rStyle w:val="CharSchText"/>
        </w:rPr>
        <w:t>Fees</w:t>
      </w:r>
      <w:bookmarkEnd w:id="18"/>
    </w:p>
    <w:p>
      <w:pPr>
        <w:pStyle w:val="yShoulderClause"/>
      </w:pPr>
      <w:r>
        <w:t>[r. 4]</w:t>
      </w:r>
    </w:p>
    <w:p>
      <w:pPr>
        <w:pStyle w:val="yFootnoteheading"/>
      </w:pPr>
      <w:r>
        <w:tab/>
        <w:t>[Heading inserted in Gazette 4 Sep 2009 p. 3473.]</w:t>
      </w:r>
    </w:p>
    <w:p>
      <w:pPr>
        <w:pStyle w:val="yHeading3"/>
        <w:spacing w:before="200"/>
      </w:pPr>
      <w:bookmarkStart w:id="19" w:name="_Toc433189148"/>
      <w:r>
        <w:rPr>
          <w:rStyle w:val="CharSDivNo"/>
        </w:rPr>
        <w:t>Division 1</w:t>
      </w:r>
      <w:r>
        <w:t> — </w:t>
      </w:r>
      <w:r>
        <w:rPr>
          <w:rStyle w:val="CharSDivText"/>
        </w:rPr>
        <w:t>General</w:t>
      </w:r>
      <w:bookmarkEnd w:id="19"/>
    </w:p>
    <w:p>
      <w:pPr>
        <w:pStyle w:val="yFootnoteheading"/>
        <w:spacing w:after="120"/>
      </w:pPr>
      <w:r>
        <w:tab/>
        <w:t>[Heading inserted in Gazette 4 Sep 2009 p. 3473.]</w:t>
      </w:r>
    </w:p>
    <w:tbl>
      <w:tblPr>
        <w:tblW w:w="6946" w:type="dxa"/>
        <w:tblInd w:w="108" w:type="dxa"/>
        <w:tblLayout w:type="fixed"/>
        <w:tblLook w:val="0000" w:firstRow="0" w:lastRow="0" w:firstColumn="0" w:lastColumn="0" w:noHBand="0" w:noVBand="0"/>
      </w:tblPr>
      <w:tblGrid>
        <w:gridCol w:w="851"/>
        <w:gridCol w:w="4669"/>
        <w:gridCol w:w="1426"/>
      </w:tblGrid>
      <w:tr>
        <w:trPr>
          <w:cantSplit/>
          <w:tblHeader/>
        </w:trPr>
        <w:tc>
          <w:tcPr>
            <w:tcW w:w="851" w:type="dxa"/>
            <w:tcBorders>
              <w:top w:val="single" w:sz="4" w:space="0" w:color="auto"/>
              <w:bottom w:val="single" w:sz="4" w:space="0" w:color="auto"/>
            </w:tcBorders>
          </w:tcPr>
          <w:p>
            <w:pPr>
              <w:pStyle w:val="yTableNAm"/>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426" w:type="dxa"/>
            <w:tcBorders>
              <w:top w:val="single" w:sz="4" w:space="0" w:color="auto"/>
              <w:bottom w:val="single" w:sz="4" w:space="0" w:color="auto"/>
            </w:tcBorders>
          </w:tcPr>
          <w:p>
            <w:pPr>
              <w:pStyle w:val="yTableNAm"/>
              <w:ind w:right="175"/>
              <w:jc w:val="right"/>
              <w:rPr>
                <w:b/>
                <w:bCs/>
              </w:rPr>
            </w:pPr>
            <w:r>
              <w:rPr>
                <w:b/>
                <w:bCs/>
              </w:rPr>
              <w:t>$</w:t>
            </w:r>
          </w:p>
        </w:tc>
      </w:tr>
      <w:tr>
        <w:trPr>
          <w:cantSplit/>
        </w:trPr>
        <w:tc>
          <w:tcPr>
            <w:tcW w:w="851" w:type="dxa"/>
            <w:tcBorders>
              <w:top w:val="single" w:sz="4" w:space="0" w:color="auto"/>
            </w:tcBorders>
          </w:tcPr>
          <w:p>
            <w:pPr>
              <w:pStyle w:val="yTableNAm"/>
            </w:pPr>
            <w:r>
              <w:t>1.</w:t>
            </w:r>
          </w:p>
        </w:tc>
        <w:tc>
          <w:tcPr>
            <w:tcW w:w="4669" w:type="dxa"/>
            <w:tcBorders>
              <w:top w:val="single" w:sz="4" w:space="0" w:color="auto"/>
            </w:tcBorders>
          </w:tcPr>
          <w:p>
            <w:pPr>
              <w:pStyle w:val="yTableNAm"/>
              <w:tabs>
                <w:tab w:val="clear" w:pos="567"/>
                <w:tab w:val="left" w:pos="601"/>
              </w:tabs>
              <w:ind w:left="601" w:hanging="601"/>
            </w:pPr>
            <w:r>
              <w:t>(a)</w:t>
            </w:r>
            <w:r>
              <w:tab/>
              <w:t>for every order or conviction drawn up in the Court’s criminal jurisdiction;</w:t>
            </w:r>
          </w:p>
          <w:p>
            <w:pPr>
              <w:pStyle w:val="yTableNAm"/>
              <w:tabs>
                <w:tab w:val="clear" w:pos="567"/>
                <w:tab w:val="left" w:pos="601"/>
              </w:tabs>
              <w:ind w:left="601" w:hanging="601"/>
            </w:pPr>
            <w:r>
              <w:t>(b)</w:t>
            </w:r>
            <w:r>
              <w:tab/>
              <w:t>issue of a duplicate document or order</w:t>
            </w:r>
          </w:p>
        </w:tc>
        <w:tc>
          <w:tcPr>
            <w:tcW w:w="1426" w:type="dxa"/>
            <w:tcBorders>
              <w:top w:val="single" w:sz="4" w:space="0" w:color="auto"/>
            </w:tcBorders>
            <w:vAlign w:val="bottom"/>
          </w:tcPr>
          <w:p>
            <w:pPr>
              <w:pStyle w:val="yTableNAm"/>
              <w:tabs>
                <w:tab w:val="clear" w:pos="567"/>
                <w:tab w:val="center" w:pos="558"/>
              </w:tabs>
              <w:ind w:right="175"/>
              <w:jc w:val="right"/>
            </w:pPr>
            <w:r>
              <w:rPr>
                <w:szCs w:val="22"/>
              </w:rPr>
              <w:tab/>
              <w:t>14.50</w:t>
            </w:r>
          </w:p>
        </w:tc>
      </w:tr>
      <w:tr>
        <w:trPr>
          <w:cantSplit/>
        </w:trPr>
        <w:tc>
          <w:tcPr>
            <w:tcW w:w="851" w:type="dxa"/>
          </w:tcPr>
          <w:p>
            <w:pPr>
              <w:pStyle w:val="yTableNAm"/>
            </w:pPr>
            <w:r>
              <w:t>2.</w:t>
            </w:r>
          </w:p>
        </w:tc>
        <w:tc>
          <w:tcPr>
            <w:tcW w:w="4669" w:type="dxa"/>
          </w:tcPr>
          <w:p>
            <w:pPr>
              <w:pStyle w:val="yTableNAm"/>
            </w:pPr>
            <w:r>
              <w:t>For the service of any application, summons, originating process, notice or order of the Court or any other process requiring service</w:t>
            </w:r>
          </w:p>
        </w:tc>
        <w:tc>
          <w:tcPr>
            <w:tcW w:w="1426" w:type="dxa"/>
            <w:vAlign w:val="bottom"/>
          </w:tcPr>
          <w:p>
            <w:pPr>
              <w:pStyle w:val="yTableNAm"/>
              <w:tabs>
                <w:tab w:val="clear" w:pos="567"/>
                <w:tab w:val="center" w:pos="558"/>
              </w:tabs>
              <w:ind w:right="175"/>
              <w:jc w:val="right"/>
            </w:pPr>
            <w:r>
              <w:rPr>
                <w:szCs w:val="22"/>
              </w:rPr>
              <w:tab/>
              <w:t>63.50</w:t>
            </w:r>
          </w:p>
        </w:tc>
      </w:tr>
      <w:tr>
        <w:trPr>
          <w:cantSplit/>
        </w:trPr>
        <w:tc>
          <w:tcPr>
            <w:tcW w:w="6946" w:type="dxa"/>
            <w:gridSpan w:val="3"/>
          </w:tcPr>
          <w:p>
            <w:pPr>
              <w:pStyle w:val="yTableNAm"/>
              <w:ind w:right="175"/>
            </w:pPr>
            <w:r>
              <w:t>NOTE</w:t>
            </w:r>
            <w:r>
              <w:br/>
              <w:t>The fee is payable whether or not the service is successful and covers up to 3 attempts at service at the same address.</w:t>
            </w:r>
          </w:p>
        </w:tc>
      </w:tr>
      <w:tr>
        <w:trPr>
          <w:cantSplit/>
        </w:trPr>
        <w:tc>
          <w:tcPr>
            <w:tcW w:w="851" w:type="dxa"/>
          </w:tcPr>
          <w:p>
            <w:pPr>
              <w:pStyle w:val="yTableNAm"/>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r>
              <w:t>(a)</w:t>
            </w:r>
            <w:r>
              <w:tab/>
              <w:t>for each kilometre travelled (one way) in the metropolitan area;</w:t>
            </w:r>
          </w:p>
          <w:p>
            <w:pPr>
              <w:pStyle w:val="yTableNAm"/>
              <w:tabs>
                <w:tab w:val="clear" w:pos="567"/>
                <w:tab w:val="left" w:pos="601"/>
              </w:tabs>
              <w:ind w:left="601" w:hanging="601"/>
            </w:pPr>
            <w:r>
              <w:t>(b)</w:t>
            </w:r>
            <w:r>
              <w:tab/>
              <w:t>for each kilometre travelled (one way) outside the metropolitan area.</w:t>
            </w:r>
          </w:p>
        </w:tc>
        <w:tc>
          <w:tcPr>
            <w:tcW w:w="1426" w:type="dxa"/>
          </w:tcPr>
          <w:p>
            <w:pPr>
              <w:pStyle w:val="yTableNAm"/>
              <w:ind w:right="175"/>
              <w:jc w:val="right"/>
            </w:pPr>
            <w:r>
              <w:br/>
            </w:r>
            <w:r>
              <w:br/>
            </w:r>
            <w:r>
              <w:br/>
            </w:r>
            <w:r>
              <w:br/>
            </w:r>
            <w:r>
              <w:br/>
            </w:r>
          </w:p>
          <w:p>
            <w:pPr>
              <w:pStyle w:val="yTableNAm"/>
              <w:tabs>
                <w:tab w:val="clear" w:pos="567"/>
                <w:tab w:val="decimal" w:pos="585"/>
              </w:tabs>
              <w:ind w:right="175"/>
              <w:jc w:val="right"/>
            </w:pPr>
            <w:r>
              <w:br/>
            </w:r>
            <w:r>
              <w:rPr>
                <w:szCs w:val="22"/>
              </w:rPr>
              <w:t>1.60</w:t>
            </w:r>
          </w:p>
          <w:p>
            <w:pPr>
              <w:pStyle w:val="yTableNAm"/>
              <w:tabs>
                <w:tab w:val="clear" w:pos="567"/>
                <w:tab w:val="decimal" w:pos="585"/>
              </w:tabs>
              <w:ind w:right="175"/>
              <w:jc w:val="right"/>
            </w:pPr>
            <w:r>
              <w:rPr>
                <w:szCs w:val="22"/>
              </w:rPr>
              <w:br/>
              <w:t>1.80</w:t>
            </w:r>
          </w:p>
        </w:tc>
      </w:tr>
      <w:tr>
        <w:trPr>
          <w:cantSplit/>
        </w:trPr>
        <w:tc>
          <w:tcPr>
            <w:tcW w:w="6946" w:type="dxa"/>
            <w:gridSpan w:val="3"/>
          </w:tcPr>
          <w:p>
            <w:pPr>
              <w:pStyle w:val="yTableNAm"/>
              <w:ind w:right="175"/>
            </w:pPr>
            <w:r>
              <w:t>NOTE</w:t>
            </w:r>
            <w:r>
              <w:br/>
              <w:t>If more than one process or document is executed or served by an enforcement officer at the same time on the same person or on different persons at the same address, only one allowance for kilometres is chargeable.</w:t>
            </w:r>
          </w:p>
        </w:tc>
      </w:tr>
      <w:tr>
        <w:tc>
          <w:tcPr>
            <w:tcW w:w="851" w:type="dxa"/>
          </w:tcPr>
          <w:p>
            <w:pPr>
              <w:pStyle w:val="yTableNAm"/>
            </w:pPr>
            <w:r>
              <w:t>4.</w:t>
            </w:r>
          </w:p>
        </w:tc>
        <w:tc>
          <w:tcPr>
            <w:tcW w:w="4669" w:type="dxa"/>
          </w:tcPr>
          <w:p>
            <w:pPr>
              <w:pStyle w:val="yTableNAm"/>
              <w:tabs>
                <w:tab w:val="clear" w:pos="567"/>
                <w:tab w:val="left" w:pos="601"/>
              </w:tabs>
              <w:ind w:left="601" w:hanging="601"/>
            </w:pPr>
            <w:r>
              <w:t>(a)</w:t>
            </w:r>
            <w:r>
              <w:tab/>
              <w:t>for searching any record or proceeding other than a search by or on behalf of a party to the proceedings in the Court’s civil jurisdiction</w:t>
            </w:r>
          </w:p>
        </w:tc>
        <w:tc>
          <w:tcPr>
            <w:tcW w:w="1426" w:type="dxa"/>
          </w:tcPr>
          <w:p>
            <w:pPr>
              <w:pStyle w:val="yTableNAm"/>
              <w:tabs>
                <w:tab w:val="clear" w:pos="567"/>
                <w:tab w:val="decimal" w:pos="585"/>
              </w:tabs>
              <w:ind w:right="175"/>
              <w:jc w:val="right"/>
            </w:pPr>
            <w:r>
              <w:br/>
            </w:r>
            <w:r>
              <w:br/>
            </w:r>
            <w:r>
              <w:br/>
            </w:r>
            <w:r>
              <w:rPr>
                <w:szCs w:val="22"/>
              </w:rPr>
              <w:t>36.60</w:t>
            </w:r>
          </w:p>
        </w:tc>
      </w:tr>
      <w:tr>
        <w:trPr>
          <w:cantSplit/>
        </w:trPr>
        <w:tc>
          <w:tcPr>
            <w:tcW w:w="851" w:type="dxa"/>
          </w:tcPr>
          <w:p>
            <w:pPr>
              <w:pStyle w:val="yTableNAm"/>
              <w:jc w:val="center"/>
            </w:pPr>
          </w:p>
        </w:tc>
        <w:tc>
          <w:tcPr>
            <w:tcW w:w="4669" w:type="dxa"/>
          </w:tcPr>
          <w:p>
            <w:pPr>
              <w:pStyle w:val="yTableNAm"/>
              <w:tabs>
                <w:tab w:val="clear" w:pos="567"/>
                <w:tab w:val="left" w:pos="601"/>
              </w:tabs>
              <w:ind w:left="601" w:hanging="601"/>
            </w:pPr>
            <w:r>
              <w:t>(b)</w:t>
            </w:r>
            <w:r>
              <w:tab/>
              <w:t>listening to or viewing any electronic recording that requires supervision by an officer of the Court, a search fee of</w:t>
            </w:r>
          </w:p>
          <w:p>
            <w:pPr>
              <w:pStyle w:val="yTableNAm"/>
              <w:tabs>
                <w:tab w:val="clear" w:pos="567"/>
                <w:tab w:val="left" w:pos="601"/>
              </w:tabs>
            </w:pPr>
            <w:r>
              <w:t>And in addition to the search fee, for each hour of the officer’s time</w:t>
            </w:r>
          </w:p>
        </w:tc>
        <w:tc>
          <w:tcPr>
            <w:tcW w:w="1426" w:type="dxa"/>
          </w:tcPr>
          <w:p>
            <w:pPr>
              <w:pStyle w:val="yTableNAm"/>
              <w:tabs>
                <w:tab w:val="clear" w:pos="567"/>
                <w:tab w:val="decimal" w:pos="585"/>
              </w:tabs>
              <w:spacing w:before="180"/>
              <w:ind w:right="176"/>
              <w:jc w:val="right"/>
            </w:pPr>
            <w:r>
              <w:br/>
            </w:r>
            <w:r>
              <w:rPr>
                <w:szCs w:val="22"/>
              </w:rPr>
              <w:br/>
              <w:t>36.60</w:t>
            </w:r>
            <w:r>
              <w:rPr>
                <w:szCs w:val="22"/>
              </w:rPr>
              <w:br/>
            </w:r>
            <w:r>
              <w:br/>
            </w:r>
            <w:r>
              <w:rPr>
                <w:szCs w:val="22"/>
              </w:rPr>
              <w:t>91.00</w:t>
            </w:r>
          </w:p>
        </w:tc>
      </w:tr>
      <w:tr>
        <w:trPr>
          <w:cantSplit/>
        </w:trPr>
        <w:tc>
          <w:tcPr>
            <w:tcW w:w="6946" w:type="dxa"/>
            <w:gridSpan w:val="3"/>
          </w:tcPr>
          <w:p>
            <w:pPr>
              <w:pStyle w:val="yTableNAm"/>
              <w:ind w:right="175"/>
            </w:pPr>
            <w:r>
              <w:t>NOTE</w:t>
            </w:r>
            <w:r>
              <w:br/>
              <w:t xml:space="preserve">Item 4(a) does not apply in relation to information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w:t>
            </w:r>
          </w:p>
        </w:tc>
      </w:tr>
      <w:tr>
        <w:trPr>
          <w:cantSplit/>
        </w:trPr>
        <w:tc>
          <w:tcPr>
            <w:tcW w:w="851" w:type="dxa"/>
          </w:tcPr>
          <w:p>
            <w:pPr>
              <w:pStyle w:val="yTableNAm"/>
            </w:pPr>
            <w:r>
              <w:t>5.</w:t>
            </w:r>
          </w:p>
        </w:tc>
        <w:tc>
          <w:tcPr>
            <w:tcW w:w="4669" w:type="dxa"/>
          </w:tcPr>
          <w:p>
            <w:pPr>
              <w:pStyle w:val="yTableNAm"/>
            </w:pPr>
            <w:r>
              <w:t xml:space="preserve">For provision of information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 </w:t>
            </w:r>
          </w:p>
          <w:p>
            <w:pPr>
              <w:pStyle w:val="yTableNAm"/>
              <w:tabs>
                <w:tab w:val="clear" w:pos="567"/>
                <w:tab w:val="left" w:pos="601"/>
              </w:tabs>
              <w:ind w:left="601" w:hanging="601"/>
            </w:pPr>
            <w:r>
              <w:t>(a)</w:t>
            </w:r>
            <w:r>
              <w:tab/>
              <w:t>fee per case specified in the information</w:t>
            </w:r>
          </w:p>
          <w:p>
            <w:pPr>
              <w:pStyle w:val="yTableNAm"/>
              <w:tabs>
                <w:tab w:val="clear" w:pos="567"/>
                <w:tab w:val="left" w:pos="601"/>
              </w:tabs>
              <w:ind w:left="601" w:hanging="601"/>
            </w:pPr>
            <w:r>
              <w:t>(b)</w:t>
            </w:r>
            <w:r>
              <w:tab/>
              <w:t>annual fee for information provided by email to approved recipient</w:t>
            </w:r>
          </w:p>
        </w:tc>
        <w:tc>
          <w:tcPr>
            <w:tcW w:w="1426" w:type="dxa"/>
          </w:tcPr>
          <w:p>
            <w:pPr>
              <w:pStyle w:val="yTableNAm"/>
              <w:ind w:right="175"/>
              <w:jc w:val="right"/>
            </w:pPr>
            <w:r>
              <w:br/>
            </w:r>
            <w:r>
              <w:br/>
            </w:r>
          </w:p>
          <w:p>
            <w:pPr>
              <w:pStyle w:val="yTableNAm"/>
              <w:tabs>
                <w:tab w:val="clear" w:pos="567"/>
                <w:tab w:val="decimal" w:pos="585"/>
              </w:tabs>
              <w:ind w:right="175"/>
              <w:jc w:val="right"/>
              <w:rPr>
                <w:szCs w:val="22"/>
              </w:rPr>
            </w:pPr>
            <w:r>
              <w:rPr>
                <w:szCs w:val="22"/>
              </w:rPr>
              <w:t>1.60</w:t>
            </w:r>
          </w:p>
          <w:p>
            <w:pPr>
              <w:pStyle w:val="yTableNAm"/>
              <w:tabs>
                <w:tab w:val="clear" w:pos="567"/>
                <w:tab w:val="left" w:pos="252"/>
                <w:tab w:val="decimal" w:pos="585"/>
              </w:tabs>
              <w:ind w:left="-99" w:right="175"/>
              <w:jc w:val="right"/>
            </w:pPr>
            <w:r>
              <w:rPr>
                <w:szCs w:val="22"/>
              </w:rPr>
              <w:br/>
              <w:t>52 704.00</w:t>
            </w:r>
          </w:p>
        </w:tc>
      </w:tr>
      <w:tr>
        <w:trPr>
          <w:cantSplit/>
        </w:trPr>
        <w:tc>
          <w:tcPr>
            <w:tcW w:w="6946" w:type="dxa"/>
            <w:gridSpan w:val="3"/>
          </w:tcPr>
          <w:p>
            <w:pPr>
              <w:pStyle w:val="yTableNAm"/>
              <w:ind w:right="175"/>
            </w:pPr>
            <w:r>
              <w:t>NOTE</w:t>
            </w:r>
            <w:r>
              <w:br/>
              <w:t>The fee under item 5(b) is payable on the date on which the recipient is approved by the Attorney General and on each anniversary of that date.</w:t>
            </w:r>
          </w:p>
        </w:tc>
      </w:tr>
      <w:tr>
        <w:trPr>
          <w:cantSplit/>
        </w:trPr>
        <w:tc>
          <w:tcPr>
            <w:tcW w:w="851" w:type="dxa"/>
          </w:tcPr>
          <w:p>
            <w:pPr>
              <w:pStyle w:val="yTableNAm"/>
            </w:pPr>
            <w:r>
              <w:t>6.</w:t>
            </w:r>
          </w:p>
        </w:tc>
        <w:tc>
          <w:tcPr>
            <w:tcW w:w="4669" w:type="dxa"/>
          </w:tcPr>
          <w:p>
            <w:pPr>
              <w:pStyle w:val="yTableNAm"/>
              <w:tabs>
                <w:tab w:val="clear" w:pos="567"/>
                <w:tab w:val="left" w:pos="601"/>
              </w:tabs>
              <w:ind w:left="601" w:hanging="601"/>
            </w:pPr>
            <w:r>
              <w:t>(a)</w:t>
            </w:r>
            <w:r>
              <w:tab/>
              <w:t>on an application or summons for the production of records or documents that are required to be produced to any court, tribunal, arbitrator or umpire</w:t>
            </w:r>
          </w:p>
          <w:p>
            <w:pPr>
              <w:pStyle w:val="yTableNAm"/>
              <w:tabs>
                <w:tab w:val="clear" w:pos="567"/>
                <w:tab w:val="left" w:pos="601"/>
              </w:tabs>
              <w:ind w:left="601" w:hanging="601"/>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426" w:type="dxa"/>
          </w:tcPr>
          <w:p>
            <w:pPr>
              <w:pStyle w:val="yTableNAm"/>
              <w:tabs>
                <w:tab w:val="clear" w:pos="567"/>
                <w:tab w:val="decimal" w:pos="585"/>
              </w:tabs>
              <w:ind w:right="175"/>
              <w:jc w:val="right"/>
            </w:pPr>
            <w:r>
              <w:br/>
            </w:r>
            <w:r>
              <w:br/>
            </w:r>
            <w:r>
              <w:br/>
            </w:r>
            <w:r>
              <w:rPr>
                <w:szCs w:val="22"/>
              </w:rPr>
              <w:t>54.00</w:t>
            </w:r>
          </w:p>
          <w:p>
            <w:pPr>
              <w:pStyle w:val="yTableNAm"/>
              <w:tabs>
                <w:tab w:val="clear" w:pos="567"/>
                <w:tab w:val="decimal" w:pos="585"/>
              </w:tabs>
              <w:ind w:right="175"/>
              <w:jc w:val="right"/>
            </w:pPr>
            <w:r>
              <w:br/>
            </w:r>
            <w:r>
              <w:br/>
            </w:r>
            <w:r>
              <w:br/>
            </w:r>
            <w:r>
              <w:br/>
            </w:r>
            <w:r>
              <w:br/>
            </w:r>
            <w:r>
              <w:rPr>
                <w:szCs w:val="22"/>
              </w:rPr>
              <w:t>91.00</w:t>
            </w:r>
          </w:p>
        </w:tc>
      </w:tr>
      <w:tr>
        <w:trPr>
          <w:cantSplit/>
        </w:trPr>
        <w:tc>
          <w:tcPr>
            <w:tcW w:w="851" w:type="dxa"/>
          </w:tcPr>
          <w:p>
            <w:pPr>
              <w:pStyle w:val="yTableNAm"/>
            </w:pPr>
            <w:r>
              <w:t>7.</w:t>
            </w:r>
          </w:p>
        </w:tc>
        <w:tc>
          <w:tcPr>
            <w:tcW w:w="4669" w:type="dxa"/>
          </w:tcPr>
          <w:p>
            <w:pPr>
              <w:pStyle w:val="yTableNAm"/>
              <w:keepNext/>
              <w:tabs>
                <w:tab w:val="clear" w:pos="567"/>
                <w:tab w:val="left" w:pos="601"/>
              </w:tabs>
              <w:ind w:left="601" w:hanging="601"/>
            </w:pPr>
            <w:r>
              <w:t>(a)</w:t>
            </w:r>
            <w:r>
              <w:tab/>
              <w:t>copies of documents or exhibits for each page or part of a page</w:t>
            </w:r>
          </w:p>
        </w:tc>
        <w:tc>
          <w:tcPr>
            <w:tcW w:w="1426" w:type="dxa"/>
          </w:tcPr>
          <w:p>
            <w:pPr>
              <w:pStyle w:val="yTableNAm"/>
              <w:tabs>
                <w:tab w:val="clear" w:pos="567"/>
                <w:tab w:val="decimal" w:pos="585"/>
              </w:tabs>
              <w:ind w:right="175"/>
              <w:jc w:val="right"/>
              <w:rPr>
                <w:szCs w:val="22"/>
              </w:rPr>
            </w:pPr>
            <w:r>
              <w:br/>
            </w:r>
            <w:r>
              <w:rPr>
                <w:szCs w:val="22"/>
              </w:rPr>
              <w:t>1.50</w:t>
            </w:r>
          </w:p>
          <w:p>
            <w:pPr>
              <w:pStyle w:val="yTableNAm"/>
              <w:tabs>
                <w:tab w:val="clear" w:pos="567"/>
                <w:tab w:val="decimal" w:pos="585"/>
              </w:tabs>
              <w:ind w:right="175"/>
              <w:jc w:val="right"/>
            </w:pPr>
          </w:p>
        </w:tc>
      </w:tr>
      <w:tr>
        <w:tc>
          <w:tcPr>
            <w:tcW w:w="851" w:type="dxa"/>
          </w:tcPr>
          <w:p>
            <w:pPr>
              <w:pStyle w:val="yTableNAm"/>
              <w:keepNext/>
              <w:jc w:val="center"/>
            </w:pPr>
          </w:p>
        </w:tc>
        <w:tc>
          <w:tcPr>
            <w:tcW w:w="4669" w:type="dxa"/>
          </w:tcPr>
          <w:p>
            <w:pPr>
              <w:pStyle w:val="yTableNAm"/>
              <w:keepNext/>
              <w:tabs>
                <w:tab w:val="clear" w:pos="567"/>
                <w:tab w:val="left" w:pos="601"/>
              </w:tabs>
              <w:ind w:left="601" w:hanging="601"/>
            </w:pPr>
            <w:r>
              <w:t>(b)</w:t>
            </w:r>
            <w:r>
              <w:tab/>
              <w:t xml:space="preserve">for a copy of reasons for judgment — </w:t>
            </w:r>
          </w:p>
          <w:p>
            <w:pPr>
              <w:pStyle w:val="yTableNAm"/>
              <w:keepNext/>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p>
          <w:p>
            <w:pPr>
              <w:pStyle w:val="yTableNAm"/>
              <w:keepNext/>
              <w:tabs>
                <w:tab w:val="left" w:pos="1081"/>
              </w:tabs>
              <w:ind w:left="1081" w:hanging="1081"/>
            </w:pPr>
            <w:r>
              <w:rPr>
                <w:spacing w:val="-4"/>
              </w:rPr>
              <w:tab/>
              <w:t>(ii)</w:t>
            </w:r>
            <w:r>
              <w:rPr>
                <w:spacing w:val="-4"/>
              </w:rPr>
              <w:tab/>
              <w:t>for each copy consisting of 10 or more pages an additional fee per page of</w:t>
            </w:r>
          </w:p>
          <w:p>
            <w:pPr>
              <w:pStyle w:val="yTableNAm"/>
              <w:keepNext/>
              <w:tabs>
                <w:tab w:val="clear" w:pos="567"/>
                <w:tab w:val="left" w:pos="601"/>
              </w:tabs>
              <w:ind w:left="601" w:hanging="601"/>
            </w:pPr>
            <w:r>
              <w:t>(c)</w:t>
            </w:r>
            <w:r>
              <w:tab/>
              <w:t>for certifying that a document is a true copy, an additional fee of</w:t>
            </w:r>
          </w:p>
        </w:tc>
        <w:tc>
          <w:tcPr>
            <w:tcW w:w="1426" w:type="dxa"/>
          </w:tcPr>
          <w:p>
            <w:pPr>
              <w:pStyle w:val="yTableNAm"/>
              <w:tabs>
                <w:tab w:val="clear" w:pos="567"/>
                <w:tab w:val="decimal" w:pos="585"/>
              </w:tabs>
              <w:ind w:right="175"/>
              <w:jc w:val="right"/>
              <w:rPr>
                <w:szCs w:val="22"/>
              </w:rPr>
            </w:pPr>
            <w:r>
              <w:rPr>
                <w:szCs w:val="22"/>
              </w:rPr>
              <w:br/>
            </w:r>
          </w:p>
          <w:p>
            <w:pPr>
              <w:pStyle w:val="yTableNAm"/>
              <w:tabs>
                <w:tab w:val="clear" w:pos="567"/>
                <w:tab w:val="decimal" w:pos="585"/>
              </w:tabs>
              <w:ind w:right="175"/>
              <w:jc w:val="right"/>
              <w:rPr>
                <w:szCs w:val="22"/>
              </w:rPr>
            </w:pPr>
            <w:r>
              <w:rPr>
                <w:szCs w:val="22"/>
              </w:rPr>
              <w:br/>
            </w:r>
            <w:r>
              <w:rPr>
                <w:szCs w:val="22"/>
              </w:rPr>
              <w:br/>
            </w:r>
            <w:r>
              <w:rPr>
                <w:szCs w:val="22"/>
              </w:rPr>
              <w:br/>
              <w:t>12.75</w:t>
            </w:r>
            <w:r>
              <w:rPr>
                <w:szCs w:val="22"/>
              </w:rPr>
              <w:br/>
            </w:r>
          </w:p>
          <w:p>
            <w:pPr>
              <w:pStyle w:val="yTableNAm"/>
              <w:tabs>
                <w:tab w:val="clear" w:pos="567"/>
                <w:tab w:val="decimal" w:pos="585"/>
              </w:tabs>
              <w:ind w:right="175"/>
              <w:jc w:val="right"/>
              <w:rPr>
                <w:szCs w:val="22"/>
              </w:rPr>
            </w:pPr>
            <w:r>
              <w:rPr>
                <w:szCs w:val="22"/>
              </w:rPr>
              <w:t>1.60</w:t>
            </w:r>
          </w:p>
          <w:p>
            <w:pPr>
              <w:pStyle w:val="yTableNAm"/>
              <w:tabs>
                <w:tab w:val="clear" w:pos="567"/>
                <w:tab w:val="decimal" w:pos="585"/>
              </w:tabs>
              <w:ind w:right="175"/>
              <w:jc w:val="right"/>
            </w:pPr>
            <w:r>
              <w:rPr>
                <w:szCs w:val="22"/>
              </w:rPr>
              <w:br/>
              <w:t>17.65</w:t>
            </w:r>
          </w:p>
        </w:tc>
      </w:tr>
      <w:tr>
        <w:trPr>
          <w:cantSplit/>
        </w:trPr>
        <w:tc>
          <w:tcPr>
            <w:tcW w:w="6946" w:type="dxa"/>
            <w:gridSpan w:val="3"/>
          </w:tcPr>
          <w:p>
            <w:pPr>
              <w:pStyle w:val="yTableNAm"/>
              <w:ind w:right="175"/>
            </w:pPr>
            <w:r>
              <w:t>NOTE</w:t>
            </w:r>
            <w:r>
              <w:br/>
              <w:t>Fee under item 7(a) for a copy of an application is not payable where circumstances under regulation 6(4) exist.</w:t>
            </w:r>
          </w:p>
        </w:tc>
      </w:tr>
      <w:tr>
        <w:trPr>
          <w:cantSplit/>
        </w:trPr>
        <w:tc>
          <w:tcPr>
            <w:tcW w:w="851" w:type="dxa"/>
          </w:tcPr>
          <w:p>
            <w:pPr>
              <w:pStyle w:val="yTableNAm"/>
              <w:jc w:val="both"/>
            </w:pPr>
            <w:r>
              <w:t>8.</w:t>
            </w:r>
          </w:p>
        </w:tc>
        <w:tc>
          <w:tcPr>
            <w:tcW w:w="4669" w:type="dxa"/>
          </w:tcPr>
          <w:p>
            <w:pPr>
              <w:pStyle w:val="yTableNAm"/>
              <w:tabs>
                <w:tab w:val="clear" w:pos="567"/>
                <w:tab w:val="left" w:pos="601"/>
              </w:tabs>
              <w:ind w:left="601" w:hanging="601"/>
            </w:pPr>
            <w:r>
              <w:t>(a)</w:t>
            </w:r>
            <w:r>
              <w:tab/>
              <w:t>for a copy of a transcript or notes of evidence, for each page or part of a page</w:t>
            </w:r>
          </w:p>
          <w:p>
            <w:pPr>
              <w:pStyle w:val="yTableNAm"/>
              <w:tabs>
                <w:tab w:val="clear" w:pos="567"/>
                <w:tab w:val="left" w:pos="601"/>
              </w:tabs>
              <w:ind w:left="601" w:hanging="601"/>
            </w:pPr>
            <w:r>
              <w:t>(b)</w:t>
            </w:r>
            <w:r>
              <w:tab/>
            </w:r>
            <w:r>
              <w:rPr>
                <w:spacing w:val="-4"/>
              </w:rPr>
              <w:t>for each copy of a transcript or notes of evidence in electronic format if a fee has been paid under paragraph (a) by the applicant for a copy of the transcript, for each day of transcript</w:t>
            </w:r>
          </w:p>
          <w:p>
            <w:pPr>
              <w:pStyle w:val="yTableNAm"/>
              <w:tabs>
                <w:tab w:val="clear" w:pos="567"/>
                <w:tab w:val="left" w:pos="601"/>
              </w:tabs>
              <w:ind w:left="601" w:hanging="601"/>
            </w:pPr>
            <w:r>
              <w:t>(c)</w:t>
            </w:r>
            <w:r>
              <w:tab/>
              <w:t>for each copy of a transcript or notes of evidence not in electronic format if a fee has been paid under paragraph (a) by the applicant for a copy of the transcript or notes, for each page or part of a page</w:t>
            </w:r>
          </w:p>
        </w:tc>
        <w:tc>
          <w:tcPr>
            <w:tcW w:w="1426" w:type="dxa"/>
          </w:tcPr>
          <w:p>
            <w:pPr>
              <w:pStyle w:val="yTableNAm"/>
              <w:tabs>
                <w:tab w:val="clear" w:pos="567"/>
                <w:tab w:val="decimal" w:pos="585"/>
              </w:tabs>
              <w:ind w:right="175"/>
              <w:jc w:val="right"/>
              <w:rPr>
                <w:szCs w:val="22"/>
              </w:rPr>
            </w:pPr>
            <w:r>
              <w:br/>
            </w:r>
            <w:r>
              <w:rPr>
                <w:szCs w:val="22"/>
              </w:rPr>
              <w:t>7.10</w:t>
            </w:r>
          </w:p>
          <w:p>
            <w:pPr>
              <w:pStyle w:val="yTableNAm"/>
              <w:tabs>
                <w:tab w:val="clear" w:pos="567"/>
                <w:tab w:val="decimal" w:pos="585"/>
              </w:tabs>
              <w:ind w:right="175"/>
              <w:jc w:val="right"/>
              <w:rPr>
                <w:szCs w:val="22"/>
              </w:rPr>
            </w:pPr>
            <w:r>
              <w:rPr>
                <w:szCs w:val="22"/>
              </w:rPr>
              <w:br/>
            </w:r>
            <w:r>
              <w:rPr>
                <w:szCs w:val="22"/>
              </w:rPr>
              <w:br/>
            </w:r>
            <w:r>
              <w:rPr>
                <w:szCs w:val="22"/>
              </w:rPr>
              <w:br/>
            </w:r>
            <w:r>
              <w:rPr>
                <w:szCs w:val="22"/>
              </w:rPr>
              <w:br/>
              <w:t>17.65</w:t>
            </w:r>
          </w:p>
          <w:p>
            <w:pPr>
              <w:pStyle w:val="yTableNAm"/>
              <w:tabs>
                <w:tab w:val="clear" w:pos="567"/>
                <w:tab w:val="decimal" w:pos="585"/>
              </w:tabs>
              <w:ind w:right="175"/>
              <w:jc w:val="right"/>
            </w:pPr>
            <w:r>
              <w:rPr>
                <w:szCs w:val="22"/>
              </w:rPr>
              <w:br/>
            </w:r>
            <w:r>
              <w:rPr>
                <w:szCs w:val="22"/>
              </w:rPr>
              <w:br/>
            </w:r>
            <w:r>
              <w:rPr>
                <w:szCs w:val="22"/>
              </w:rPr>
              <w:br/>
            </w:r>
            <w:r>
              <w:rPr>
                <w:szCs w:val="22"/>
              </w:rPr>
              <w:br/>
              <w:t>1.50</w:t>
            </w:r>
          </w:p>
        </w:tc>
      </w:tr>
      <w:tr>
        <w:trPr>
          <w:cantSplit/>
        </w:trPr>
        <w:tc>
          <w:tcPr>
            <w:tcW w:w="6946" w:type="dxa"/>
            <w:gridSpan w:val="3"/>
          </w:tcPr>
          <w:p>
            <w:pPr>
              <w:pStyle w:val="yTableNAm"/>
              <w:ind w:right="175"/>
            </w:pPr>
            <w:r>
              <w:t>NOTE 1</w:t>
            </w:r>
            <w:r>
              <w:br/>
              <w:t xml:space="preserve">A minimum fee of </w:t>
            </w:r>
            <w:r>
              <w:rPr>
                <w:szCs w:val="22"/>
              </w:rPr>
              <w:t xml:space="preserve">$25.30 </w:t>
            </w:r>
            <w:r>
              <w:t>is payable under item 8(a).</w:t>
            </w:r>
          </w:p>
        </w:tc>
      </w:tr>
      <w:tr>
        <w:trPr>
          <w:cantSplit/>
        </w:trPr>
        <w:tc>
          <w:tcPr>
            <w:tcW w:w="6946" w:type="dxa"/>
            <w:gridSpan w:val="3"/>
          </w:tcPr>
          <w:p>
            <w:pPr>
              <w:pStyle w:val="yTableNAm"/>
              <w:keepNext/>
              <w:ind w:right="175"/>
            </w:pPr>
            <w:r>
              <w:t>NOTE 2</w:t>
            </w:r>
            <w:r>
              <w:br/>
              <w:t>Fees under this item are payable in the case of an indictable offence dealt with summarily.</w:t>
            </w:r>
          </w:p>
        </w:tc>
      </w:tr>
    </w:tbl>
    <w:p>
      <w:pPr>
        <w:pStyle w:val="yFootnotesection"/>
        <w:keepLines w:val="0"/>
      </w:pPr>
      <w:r>
        <w:tab/>
        <w:t>[Division 1 inserted in Gazette 4 Sep 2009 p. 3473-5; amended in Gazette 8 Mar 2011 p. 788; 20 Dec 2011 p. 5388; 30 Nov 2012 p. 5791</w:t>
      </w:r>
      <w:r>
        <w:noBreakHyphen/>
        <w:t>2; 15 Nov 2013 p. 5248-9; 27 Jun 2014 p. 2342-3; 19 Jun 2015 p. 2125.]</w:t>
      </w:r>
    </w:p>
    <w:p>
      <w:pPr>
        <w:pStyle w:val="yHeading3"/>
        <w:keepLines/>
      </w:pPr>
      <w:bookmarkStart w:id="20" w:name="_Toc433189149"/>
      <w:r>
        <w:rPr>
          <w:rStyle w:val="CharSDivNo"/>
        </w:rPr>
        <w:t>Division 2</w:t>
      </w:r>
      <w:r>
        <w:rPr>
          <w:b w:val="0"/>
        </w:rPr>
        <w:t> — </w:t>
      </w:r>
      <w:r>
        <w:rPr>
          <w:rStyle w:val="CharSDivText"/>
        </w:rPr>
        <w:t>Civil jurisdiction</w:t>
      </w:r>
      <w:bookmarkEnd w:id="20"/>
    </w:p>
    <w:p>
      <w:pPr>
        <w:pStyle w:val="yFootnoteheading"/>
        <w:keepNext/>
        <w:keepLines/>
        <w:spacing w:after="120"/>
      </w:pPr>
      <w:r>
        <w:tab/>
        <w:t>[Heading inserted in Gazette 4 Sep 2009 p. 3475.]</w:t>
      </w:r>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r>
              <w:rPr>
                <w:b/>
                <w:bCs/>
                <w:sz w:val="14"/>
              </w:rPr>
              <w:b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szCs w:val="18"/>
              </w:rPr>
            </w:pPr>
            <w:r>
              <w:rPr>
                <w:sz w:val="18"/>
                <w:szCs w:val="18"/>
              </w:rPr>
              <w:t>106.00</w:t>
            </w:r>
          </w:p>
        </w:tc>
        <w:tc>
          <w:tcPr>
            <w:tcW w:w="806" w:type="dxa"/>
            <w:tcBorders>
              <w:top w:val="single" w:sz="4" w:space="0" w:color="auto"/>
            </w:tcBorders>
            <w:vAlign w:val="bottom"/>
          </w:tcPr>
          <w:p>
            <w:pPr>
              <w:pStyle w:val="yTableNAm"/>
              <w:keepNext/>
              <w:keepLines/>
              <w:jc w:val="center"/>
              <w:rPr>
                <w:sz w:val="18"/>
                <w:szCs w:val="18"/>
              </w:rPr>
            </w:pPr>
            <w:r>
              <w:rPr>
                <w:sz w:val="18"/>
                <w:szCs w:val="18"/>
              </w:rPr>
              <w:t>206.00</w:t>
            </w:r>
          </w:p>
        </w:tc>
        <w:tc>
          <w:tcPr>
            <w:tcW w:w="850" w:type="dxa"/>
            <w:tcBorders>
              <w:top w:val="single" w:sz="4" w:space="0" w:color="auto"/>
            </w:tcBorders>
            <w:vAlign w:val="bottom"/>
          </w:tcPr>
          <w:p>
            <w:pPr>
              <w:pStyle w:val="yTableNAm"/>
              <w:keepNext/>
              <w:keepLines/>
              <w:jc w:val="center"/>
              <w:rPr>
                <w:sz w:val="18"/>
                <w:szCs w:val="18"/>
              </w:rPr>
            </w:pPr>
            <w:r>
              <w:rPr>
                <w:sz w:val="18"/>
                <w:szCs w:val="18"/>
              </w:rPr>
              <w:t>269.00</w:t>
            </w:r>
          </w:p>
        </w:tc>
        <w:tc>
          <w:tcPr>
            <w:tcW w:w="851" w:type="dxa"/>
            <w:tcBorders>
              <w:top w:val="single" w:sz="4" w:space="0" w:color="auto"/>
            </w:tcBorders>
            <w:vAlign w:val="bottom"/>
          </w:tcPr>
          <w:p>
            <w:pPr>
              <w:pStyle w:val="yTableNAm"/>
              <w:keepNext/>
              <w:keepLines/>
              <w:jc w:val="center"/>
              <w:rPr>
                <w:sz w:val="18"/>
                <w:szCs w:val="18"/>
              </w:rPr>
            </w:pPr>
            <w:r>
              <w:rPr>
                <w:sz w:val="18"/>
                <w:szCs w:val="18"/>
              </w:rPr>
              <w:t>526.00</w:t>
            </w:r>
          </w:p>
        </w:tc>
        <w:tc>
          <w:tcPr>
            <w:tcW w:w="850" w:type="dxa"/>
            <w:tcBorders>
              <w:top w:val="single" w:sz="4" w:space="0" w:color="auto"/>
            </w:tcBorders>
            <w:vAlign w:val="bottom"/>
          </w:tcPr>
          <w:p>
            <w:pPr>
              <w:pStyle w:val="yTableNAm"/>
              <w:keepNext/>
              <w:keepLines/>
              <w:jc w:val="center"/>
              <w:rPr>
                <w:sz w:val="18"/>
                <w:szCs w:val="18"/>
              </w:rPr>
            </w:pPr>
            <w:r>
              <w:rPr>
                <w:sz w:val="18"/>
                <w:szCs w:val="18"/>
              </w:rPr>
              <w:t>429.00</w:t>
            </w:r>
          </w:p>
        </w:tc>
        <w:tc>
          <w:tcPr>
            <w:tcW w:w="851" w:type="dxa"/>
            <w:tcBorders>
              <w:top w:val="single" w:sz="4" w:space="0" w:color="auto"/>
            </w:tcBorders>
            <w:vAlign w:val="bottom"/>
          </w:tcPr>
          <w:p>
            <w:pPr>
              <w:pStyle w:val="yTableNAm"/>
              <w:keepNext/>
              <w:keepLines/>
              <w:jc w:val="center"/>
              <w:rPr>
                <w:sz w:val="18"/>
                <w:szCs w:val="18"/>
              </w:rPr>
            </w:pPr>
            <w:r>
              <w:rPr>
                <w:sz w:val="18"/>
                <w:szCs w:val="18"/>
              </w:rPr>
              <w:t>834.00</w:t>
            </w:r>
          </w:p>
        </w:tc>
      </w:tr>
      <w:tr>
        <w:trPr>
          <w:cantSplit/>
        </w:trPr>
        <w:tc>
          <w:tcPr>
            <w:tcW w:w="7116" w:type="dxa"/>
            <w:gridSpan w:val="12"/>
          </w:tcPr>
          <w:p>
            <w:pPr>
              <w:pStyle w:val="yTableNAm"/>
              <w:rPr>
                <w:sz w:val="18"/>
              </w:rPr>
            </w:pPr>
            <w:r>
              <w:rPr>
                <w:sz w:val="18"/>
              </w:rPr>
              <w:t>NOTE</w:t>
            </w:r>
            <w:r>
              <w:rPr>
                <w:sz w:val="18"/>
              </w:rPr>
              <w:b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szCs w:val="18"/>
              </w:rPr>
            </w:pPr>
            <w:r>
              <w:rPr>
                <w:sz w:val="18"/>
                <w:szCs w:val="18"/>
              </w:rPr>
              <w:t>68.50</w:t>
            </w:r>
          </w:p>
        </w:tc>
        <w:tc>
          <w:tcPr>
            <w:tcW w:w="851" w:type="dxa"/>
            <w:gridSpan w:val="2"/>
            <w:vAlign w:val="bottom"/>
          </w:tcPr>
          <w:p>
            <w:pPr>
              <w:pStyle w:val="yTableNAm"/>
              <w:jc w:val="center"/>
              <w:rPr>
                <w:sz w:val="18"/>
                <w:szCs w:val="18"/>
              </w:rPr>
            </w:pPr>
            <w:r>
              <w:rPr>
                <w:sz w:val="18"/>
                <w:szCs w:val="18"/>
              </w:rPr>
              <w:t>134.00</w:t>
            </w:r>
          </w:p>
        </w:tc>
        <w:tc>
          <w:tcPr>
            <w:tcW w:w="850" w:type="dxa"/>
            <w:vAlign w:val="bottom"/>
          </w:tcPr>
          <w:p>
            <w:pPr>
              <w:pStyle w:val="yTableNAm"/>
              <w:jc w:val="center"/>
              <w:rPr>
                <w:sz w:val="18"/>
                <w:szCs w:val="18"/>
              </w:rPr>
            </w:pPr>
            <w:r>
              <w:rPr>
                <w:sz w:val="18"/>
                <w:szCs w:val="18"/>
              </w:rPr>
              <w:t>125.50</w:t>
            </w:r>
          </w:p>
        </w:tc>
        <w:tc>
          <w:tcPr>
            <w:tcW w:w="851" w:type="dxa"/>
            <w:vAlign w:val="bottom"/>
          </w:tcPr>
          <w:p>
            <w:pPr>
              <w:pStyle w:val="yTableNAm"/>
              <w:jc w:val="center"/>
              <w:rPr>
                <w:sz w:val="18"/>
                <w:szCs w:val="18"/>
              </w:rPr>
            </w:pPr>
            <w:r>
              <w:rPr>
                <w:sz w:val="18"/>
                <w:szCs w:val="18"/>
              </w:rPr>
              <w:t>208.00</w:t>
            </w:r>
          </w:p>
        </w:tc>
        <w:tc>
          <w:tcPr>
            <w:tcW w:w="850" w:type="dxa"/>
            <w:vAlign w:val="bottom"/>
          </w:tcPr>
          <w:p>
            <w:pPr>
              <w:pStyle w:val="yTableNAm"/>
              <w:jc w:val="center"/>
              <w:rPr>
                <w:sz w:val="18"/>
                <w:szCs w:val="18"/>
              </w:rPr>
            </w:pPr>
            <w:r>
              <w:rPr>
                <w:sz w:val="18"/>
                <w:szCs w:val="18"/>
              </w:rPr>
              <w:t>200.00</w:t>
            </w:r>
          </w:p>
        </w:tc>
        <w:tc>
          <w:tcPr>
            <w:tcW w:w="851" w:type="dxa"/>
            <w:vAlign w:val="bottom"/>
          </w:tcPr>
          <w:p>
            <w:pPr>
              <w:pStyle w:val="yTableNAm"/>
              <w:jc w:val="center"/>
              <w:rPr>
                <w:sz w:val="18"/>
                <w:szCs w:val="18"/>
              </w:rPr>
            </w:pPr>
            <w:r>
              <w:rPr>
                <w:sz w:val="18"/>
                <w:szCs w:val="18"/>
              </w:rPr>
              <w:t>334.00</w:t>
            </w:r>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r>
            <w:r>
              <w:rPr>
                <w:sz w:val="18"/>
                <w:szCs w:val="18"/>
              </w:rPr>
              <w:t>35.30</w:t>
            </w:r>
          </w:p>
        </w:tc>
        <w:tc>
          <w:tcPr>
            <w:tcW w:w="851" w:type="dxa"/>
            <w:gridSpan w:val="2"/>
          </w:tcPr>
          <w:p>
            <w:pPr>
              <w:pStyle w:val="yTableNAm"/>
              <w:jc w:val="center"/>
              <w:rPr>
                <w:sz w:val="18"/>
              </w:rPr>
            </w:pPr>
            <w:r>
              <w:rPr>
                <w:sz w:val="18"/>
              </w:rPr>
              <w:br/>
            </w:r>
            <w:r>
              <w:rPr>
                <w:sz w:val="18"/>
                <w:szCs w:val="18"/>
              </w:rPr>
              <w:t>90.70</w:t>
            </w:r>
          </w:p>
        </w:tc>
        <w:tc>
          <w:tcPr>
            <w:tcW w:w="850" w:type="dxa"/>
          </w:tcPr>
          <w:p>
            <w:pPr>
              <w:pStyle w:val="yTableNAm"/>
              <w:jc w:val="center"/>
              <w:rPr>
                <w:sz w:val="18"/>
              </w:rPr>
            </w:pPr>
            <w:r>
              <w:rPr>
                <w:sz w:val="18"/>
              </w:rPr>
              <w:br/>
            </w:r>
            <w:r>
              <w:rPr>
                <w:sz w:val="18"/>
                <w:szCs w:val="18"/>
              </w:rPr>
              <w:t>53.00</w:t>
            </w:r>
          </w:p>
        </w:tc>
        <w:tc>
          <w:tcPr>
            <w:tcW w:w="851" w:type="dxa"/>
          </w:tcPr>
          <w:p>
            <w:pPr>
              <w:pStyle w:val="yTableNAm"/>
              <w:jc w:val="center"/>
              <w:rPr>
                <w:sz w:val="18"/>
              </w:rPr>
            </w:pPr>
            <w:r>
              <w:rPr>
                <w:sz w:val="18"/>
              </w:rPr>
              <w:br/>
            </w:r>
            <w:r>
              <w:rPr>
                <w:sz w:val="18"/>
                <w:szCs w:val="18"/>
              </w:rPr>
              <w:t>138.50</w:t>
            </w:r>
          </w:p>
        </w:tc>
        <w:tc>
          <w:tcPr>
            <w:tcW w:w="850" w:type="dxa"/>
          </w:tcPr>
          <w:p>
            <w:pPr>
              <w:pStyle w:val="yTableNAm"/>
              <w:jc w:val="center"/>
              <w:rPr>
                <w:sz w:val="18"/>
              </w:rPr>
            </w:pPr>
            <w:r>
              <w:rPr>
                <w:sz w:val="18"/>
              </w:rPr>
              <w:br/>
            </w:r>
            <w:r>
              <w:rPr>
                <w:sz w:val="18"/>
                <w:szCs w:val="18"/>
              </w:rPr>
              <w:t>71.00</w:t>
            </w:r>
          </w:p>
        </w:tc>
        <w:tc>
          <w:tcPr>
            <w:tcW w:w="851" w:type="dxa"/>
          </w:tcPr>
          <w:p>
            <w:pPr>
              <w:pStyle w:val="yTableNAm"/>
              <w:jc w:val="center"/>
              <w:rPr>
                <w:sz w:val="18"/>
              </w:rPr>
            </w:pPr>
            <w:r>
              <w:rPr>
                <w:sz w:val="18"/>
              </w:rPr>
              <w:br/>
            </w:r>
            <w:r>
              <w:rPr>
                <w:sz w:val="18"/>
                <w:szCs w:val="18"/>
              </w:rPr>
              <w:t>185.50</w:t>
            </w:r>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r>
            <w:r>
              <w:rPr>
                <w:sz w:val="18"/>
                <w:szCs w:val="18"/>
              </w:rPr>
              <w:t>167.50</w:t>
            </w:r>
          </w:p>
        </w:tc>
        <w:tc>
          <w:tcPr>
            <w:tcW w:w="851" w:type="dxa"/>
            <w:gridSpan w:val="2"/>
          </w:tcPr>
          <w:p>
            <w:pPr>
              <w:pStyle w:val="yTableNAm"/>
              <w:jc w:val="center"/>
              <w:rPr>
                <w:sz w:val="18"/>
              </w:rPr>
            </w:pPr>
            <w:r>
              <w:rPr>
                <w:sz w:val="18"/>
              </w:rPr>
              <w:br/>
            </w:r>
            <w:r>
              <w:rPr>
                <w:sz w:val="18"/>
                <w:szCs w:val="18"/>
              </w:rPr>
              <w:t>325.00</w:t>
            </w:r>
          </w:p>
        </w:tc>
        <w:tc>
          <w:tcPr>
            <w:tcW w:w="850" w:type="dxa"/>
          </w:tcPr>
          <w:p>
            <w:pPr>
              <w:pStyle w:val="yTableNAm"/>
              <w:jc w:val="center"/>
              <w:rPr>
                <w:sz w:val="18"/>
              </w:rPr>
            </w:pPr>
            <w:r>
              <w:rPr>
                <w:sz w:val="18"/>
              </w:rPr>
              <w:br/>
            </w:r>
            <w:r>
              <w:rPr>
                <w:sz w:val="18"/>
                <w:szCs w:val="18"/>
              </w:rPr>
              <w:t>305.00</w:t>
            </w:r>
          </w:p>
        </w:tc>
        <w:tc>
          <w:tcPr>
            <w:tcW w:w="851" w:type="dxa"/>
          </w:tcPr>
          <w:p>
            <w:pPr>
              <w:pStyle w:val="yTableNAm"/>
              <w:jc w:val="center"/>
              <w:rPr>
                <w:sz w:val="18"/>
              </w:rPr>
            </w:pPr>
            <w:r>
              <w:rPr>
                <w:sz w:val="18"/>
              </w:rPr>
              <w:br/>
            </w:r>
            <w:r>
              <w:rPr>
                <w:sz w:val="18"/>
                <w:szCs w:val="18"/>
              </w:rPr>
              <w:t>588.00</w:t>
            </w:r>
          </w:p>
        </w:tc>
        <w:tc>
          <w:tcPr>
            <w:tcW w:w="850" w:type="dxa"/>
          </w:tcPr>
          <w:p>
            <w:pPr>
              <w:pStyle w:val="yTableNAm"/>
              <w:jc w:val="center"/>
              <w:rPr>
                <w:sz w:val="18"/>
              </w:rPr>
            </w:pPr>
            <w:r>
              <w:rPr>
                <w:sz w:val="18"/>
              </w:rPr>
              <w:br/>
            </w:r>
            <w:r>
              <w:rPr>
                <w:sz w:val="18"/>
                <w:szCs w:val="18"/>
              </w:rPr>
              <w:t>338.00</w:t>
            </w:r>
          </w:p>
        </w:tc>
        <w:tc>
          <w:tcPr>
            <w:tcW w:w="851" w:type="dxa"/>
          </w:tcPr>
          <w:p>
            <w:pPr>
              <w:pStyle w:val="yTableNAm"/>
              <w:jc w:val="center"/>
              <w:rPr>
                <w:sz w:val="18"/>
              </w:rPr>
            </w:pPr>
            <w:r>
              <w:rPr>
                <w:sz w:val="18"/>
              </w:rPr>
              <w:br/>
            </w:r>
            <w:r>
              <w:rPr>
                <w:sz w:val="18"/>
                <w:szCs w:val="18"/>
              </w:rPr>
              <w:t>656.00</w:t>
            </w:r>
          </w:p>
        </w:tc>
      </w:tr>
      <w:tr>
        <w:trPr>
          <w:cantSplit/>
        </w:trPr>
        <w:tc>
          <w:tcPr>
            <w:tcW w:w="7116" w:type="dxa"/>
            <w:gridSpan w:val="12"/>
          </w:tcPr>
          <w:p>
            <w:pPr>
              <w:pStyle w:val="yTableNAm"/>
              <w:rPr>
                <w:sz w:val="18"/>
              </w:rPr>
            </w:pPr>
            <w:r>
              <w:rPr>
                <w:sz w:val="18"/>
              </w:rPr>
              <w:t>NOTE 1</w:t>
            </w:r>
            <w:r>
              <w:rPr>
                <w:sz w:val="18"/>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No fee is payable in respect of listing an appeal for hearing.</w:t>
            </w:r>
          </w:p>
        </w:tc>
      </w:tr>
      <w:tr>
        <w:trPr>
          <w:cantSplit/>
        </w:trPr>
        <w:tc>
          <w:tcPr>
            <w:tcW w:w="7116" w:type="dxa"/>
            <w:gridSpan w:val="12"/>
          </w:tcPr>
          <w:p>
            <w:pPr>
              <w:pStyle w:val="yTableNAm"/>
              <w:rPr>
                <w:sz w:val="18"/>
              </w:rPr>
            </w:pPr>
            <w:r>
              <w:rPr>
                <w:sz w:val="18"/>
              </w:rPr>
              <w:t>NOTE 3</w:t>
            </w:r>
            <w:r>
              <w:rPr>
                <w:sz w:val="18"/>
              </w:rPr>
              <w:br/>
              <w:t>No fee is payable by the defendant for applications for hearing of a set</w:t>
            </w:r>
            <w:r>
              <w:rPr>
                <w:sz w:val="18"/>
              </w:rPr>
              <w:noBreakHyphen/>
              <w:t>off or counterclaim providing this fee has been paid previously by the applicant.</w:t>
            </w:r>
          </w:p>
        </w:tc>
      </w:tr>
      <w:tr>
        <w:trPr>
          <w:cantSplit/>
        </w:trPr>
        <w:tc>
          <w:tcPr>
            <w:tcW w:w="7116" w:type="dxa"/>
            <w:gridSpan w:val="12"/>
          </w:tcPr>
          <w:p>
            <w:pPr>
              <w:pStyle w:val="yTableNAm"/>
              <w:rPr>
                <w:sz w:val="18"/>
              </w:rPr>
            </w:pPr>
            <w:r>
              <w:rPr>
                <w:sz w:val="18"/>
              </w:rPr>
              <w:t>NOTE 4</w:t>
            </w:r>
            <w:r>
              <w:rPr>
                <w:sz w:val="18"/>
              </w:rPr>
              <w:br/>
              <w:t>Includes pre</w:t>
            </w:r>
            <w:r>
              <w:rPr>
                <w:sz w:val="18"/>
              </w:rPr>
              <w:noBreakHyphen/>
              <w:t>trial conference, mediation conference, directions hearing and listing conference.</w:t>
            </w:r>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r>
              <w:rPr>
                <w:sz w:val="18"/>
                <w:szCs w:val="18"/>
              </w:rPr>
              <w:t>96.50</w:t>
            </w:r>
          </w:p>
        </w:tc>
        <w:tc>
          <w:tcPr>
            <w:tcW w:w="851" w:type="dxa"/>
            <w:gridSpan w:val="2"/>
            <w:vAlign w:val="bottom"/>
          </w:tcPr>
          <w:p>
            <w:pPr>
              <w:pStyle w:val="yTableNAm"/>
              <w:jc w:val="center"/>
              <w:rPr>
                <w:sz w:val="18"/>
              </w:rPr>
            </w:pPr>
            <w:r>
              <w:rPr>
                <w:sz w:val="18"/>
                <w:szCs w:val="18"/>
              </w:rPr>
              <w:t>252.00</w:t>
            </w:r>
          </w:p>
        </w:tc>
        <w:tc>
          <w:tcPr>
            <w:tcW w:w="850" w:type="dxa"/>
            <w:vAlign w:val="bottom"/>
          </w:tcPr>
          <w:p>
            <w:pPr>
              <w:pStyle w:val="yTableNAm"/>
              <w:jc w:val="center"/>
              <w:rPr>
                <w:sz w:val="18"/>
              </w:rPr>
            </w:pPr>
            <w:r>
              <w:rPr>
                <w:sz w:val="18"/>
                <w:szCs w:val="18"/>
              </w:rPr>
              <w:t>169.50</w:t>
            </w:r>
          </w:p>
        </w:tc>
        <w:tc>
          <w:tcPr>
            <w:tcW w:w="851" w:type="dxa"/>
            <w:vAlign w:val="bottom"/>
          </w:tcPr>
          <w:p>
            <w:pPr>
              <w:pStyle w:val="yTableNAm"/>
              <w:jc w:val="center"/>
              <w:rPr>
                <w:sz w:val="18"/>
              </w:rPr>
            </w:pPr>
            <w:r>
              <w:rPr>
                <w:sz w:val="18"/>
                <w:szCs w:val="18"/>
              </w:rPr>
              <w:t>440.00</w:t>
            </w:r>
          </w:p>
        </w:tc>
        <w:tc>
          <w:tcPr>
            <w:tcW w:w="850" w:type="dxa"/>
            <w:vAlign w:val="bottom"/>
          </w:tcPr>
          <w:p>
            <w:pPr>
              <w:pStyle w:val="yTableNAm"/>
              <w:jc w:val="center"/>
              <w:rPr>
                <w:sz w:val="18"/>
              </w:rPr>
            </w:pPr>
            <w:r>
              <w:rPr>
                <w:sz w:val="18"/>
                <w:szCs w:val="18"/>
              </w:rPr>
              <w:t>242.00</w:t>
            </w:r>
          </w:p>
        </w:tc>
        <w:tc>
          <w:tcPr>
            <w:tcW w:w="851" w:type="dxa"/>
            <w:vAlign w:val="bottom"/>
          </w:tcPr>
          <w:p>
            <w:pPr>
              <w:pStyle w:val="yTableNAm"/>
              <w:jc w:val="center"/>
              <w:rPr>
                <w:sz w:val="18"/>
              </w:rPr>
            </w:pPr>
            <w:r>
              <w:rPr>
                <w:sz w:val="18"/>
                <w:szCs w:val="18"/>
              </w:rPr>
              <w:t>627.00</w:t>
            </w:r>
          </w:p>
        </w:tc>
      </w:tr>
      <w:t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c>
          <w:tcPr>
            <w:tcW w:w="7116" w:type="dxa"/>
            <w:gridSpan w:val="12"/>
          </w:tcPr>
          <w:p>
            <w:pPr>
              <w:pStyle w:val="yTableNAm"/>
              <w:rPr>
                <w:sz w:val="18"/>
              </w:rPr>
            </w:pPr>
            <w:r>
              <w:rPr>
                <w:sz w:val="18"/>
              </w:rPr>
              <w:t>NOTE 2</w:t>
            </w:r>
            <w:r>
              <w:rPr>
                <w:sz w:val="18"/>
              </w:rPr>
              <w:br/>
              <w:t>No fee is payable if the proceedings are of an interlocutory nature only.</w:t>
            </w:r>
          </w:p>
        </w:tc>
      </w:tr>
      <w:tr>
        <w:tc>
          <w:tcPr>
            <w:tcW w:w="7116" w:type="dxa"/>
            <w:gridSpan w:val="12"/>
          </w:tcPr>
          <w:p>
            <w:pPr>
              <w:pStyle w:val="yTableNAm"/>
              <w:rPr>
                <w:sz w:val="18"/>
              </w:rPr>
            </w:pPr>
            <w:r>
              <w:rPr>
                <w:sz w:val="18"/>
              </w:rPr>
              <w:t>NOTE 3</w:t>
            </w:r>
            <w:r>
              <w:rPr>
                <w:sz w:val="18"/>
              </w:rPr>
              <w:br/>
              <w:t>The fee to be charged is to be determined on the basis that the days allocated for a hearing are the number of days determined by the Court at a listing conference.</w:t>
            </w:r>
          </w:p>
        </w:tc>
      </w:tr>
      <w:tr>
        <w:tc>
          <w:tcPr>
            <w:tcW w:w="7116" w:type="dxa"/>
            <w:gridSpan w:val="12"/>
          </w:tcPr>
          <w:p>
            <w:pPr>
              <w:pStyle w:val="yTableNAm"/>
              <w:keepNext/>
              <w:rPr>
                <w:sz w:val="18"/>
              </w:rPr>
            </w:pPr>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tc>
      </w:tr>
      <w:tr>
        <w:tc>
          <w:tcPr>
            <w:tcW w:w="7116" w:type="dxa"/>
            <w:gridSpan w:val="12"/>
          </w:tcPr>
          <w:p>
            <w:pPr>
              <w:pStyle w:val="yTableNAm"/>
              <w:rPr>
                <w:sz w:val="18"/>
              </w:rPr>
            </w:pPr>
            <w:r>
              <w:rPr>
                <w:sz w:val="18"/>
              </w:rPr>
              <w:t>NOTE 5</w:t>
            </w:r>
            <w:r>
              <w:rPr>
                <w:sz w:val="18"/>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keepNext/>
              <w:rPr>
                <w:sz w:val="18"/>
              </w:rPr>
            </w:pPr>
            <w:r>
              <w:rPr>
                <w:sz w:val="18"/>
              </w:rPr>
              <w:t>6.</w:t>
            </w:r>
          </w:p>
        </w:tc>
        <w:tc>
          <w:tcPr>
            <w:tcW w:w="1418" w:type="dxa"/>
            <w:gridSpan w:val="2"/>
          </w:tcPr>
          <w:p>
            <w:pPr>
              <w:pStyle w:val="yTableNAm"/>
              <w:keepNext/>
              <w:rPr>
                <w:sz w:val="18"/>
              </w:rPr>
            </w:pPr>
            <w:r>
              <w:rPr>
                <w:sz w:val="18"/>
              </w:rPr>
              <w:t>Half daily hearing fee before the Court constituted by a magistrate</w:t>
            </w:r>
          </w:p>
        </w:tc>
        <w:tc>
          <w:tcPr>
            <w:tcW w:w="850" w:type="dxa"/>
            <w:gridSpan w:val="3"/>
            <w:vAlign w:val="bottom"/>
          </w:tcPr>
          <w:p>
            <w:pPr>
              <w:pStyle w:val="yTableNAm"/>
              <w:keepNext/>
              <w:jc w:val="center"/>
              <w:rPr>
                <w:sz w:val="18"/>
              </w:rPr>
            </w:pPr>
            <w:r>
              <w:rPr>
                <w:sz w:val="18"/>
                <w:szCs w:val="18"/>
              </w:rPr>
              <w:t>96.50</w:t>
            </w:r>
          </w:p>
        </w:tc>
        <w:tc>
          <w:tcPr>
            <w:tcW w:w="851" w:type="dxa"/>
            <w:gridSpan w:val="2"/>
            <w:vAlign w:val="bottom"/>
          </w:tcPr>
          <w:p>
            <w:pPr>
              <w:pStyle w:val="yTableNAm"/>
              <w:keepNext/>
              <w:jc w:val="center"/>
              <w:rPr>
                <w:sz w:val="18"/>
              </w:rPr>
            </w:pPr>
            <w:r>
              <w:rPr>
                <w:sz w:val="18"/>
                <w:szCs w:val="18"/>
              </w:rPr>
              <w:t>252.00</w:t>
            </w:r>
          </w:p>
        </w:tc>
        <w:tc>
          <w:tcPr>
            <w:tcW w:w="850" w:type="dxa"/>
            <w:vAlign w:val="bottom"/>
          </w:tcPr>
          <w:p>
            <w:pPr>
              <w:pStyle w:val="yTableNAm"/>
              <w:keepNext/>
              <w:jc w:val="center"/>
              <w:rPr>
                <w:sz w:val="18"/>
              </w:rPr>
            </w:pPr>
            <w:r>
              <w:rPr>
                <w:sz w:val="18"/>
                <w:szCs w:val="18"/>
              </w:rPr>
              <w:t>169.50</w:t>
            </w:r>
          </w:p>
        </w:tc>
        <w:tc>
          <w:tcPr>
            <w:tcW w:w="851" w:type="dxa"/>
            <w:vAlign w:val="bottom"/>
          </w:tcPr>
          <w:p>
            <w:pPr>
              <w:pStyle w:val="yTableNAm"/>
              <w:keepNext/>
              <w:jc w:val="center"/>
              <w:rPr>
                <w:sz w:val="18"/>
              </w:rPr>
            </w:pPr>
            <w:r>
              <w:rPr>
                <w:sz w:val="18"/>
                <w:szCs w:val="18"/>
              </w:rPr>
              <w:t>440.00</w:t>
            </w:r>
          </w:p>
        </w:tc>
        <w:tc>
          <w:tcPr>
            <w:tcW w:w="850" w:type="dxa"/>
            <w:vAlign w:val="bottom"/>
          </w:tcPr>
          <w:p>
            <w:pPr>
              <w:pStyle w:val="yTableNAm"/>
              <w:keepNext/>
              <w:jc w:val="center"/>
              <w:rPr>
                <w:sz w:val="18"/>
              </w:rPr>
            </w:pPr>
            <w:r>
              <w:rPr>
                <w:sz w:val="18"/>
                <w:szCs w:val="18"/>
              </w:rPr>
              <w:t>242.00</w:t>
            </w:r>
          </w:p>
        </w:tc>
        <w:tc>
          <w:tcPr>
            <w:tcW w:w="851" w:type="dxa"/>
            <w:vAlign w:val="bottom"/>
          </w:tcPr>
          <w:p>
            <w:pPr>
              <w:pStyle w:val="yTableNAm"/>
              <w:keepNext/>
              <w:jc w:val="center"/>
              <w:rPr>
                <w:sz w:val="18"/>
              </w:rPr>
            </w:pPr>
            <w:r>
              <w:rPr>
                <w:sz w:val="18"/>
                <w:szCs w:val="18"/>
              </w:rPr>
              <w:t>627.00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applications under item 10 or 11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The fee to be charged is to be paid in respect of any number of hearing days or half days greater than the number of hearing days for which a fee has been paid under item 5.</w:t>
            </w:r>
          </w:p>
        </w:tc>
      </w:tr>
      <w:tr>
        <w:trPr>
          <w:cantSplit/>
        </w:trPr>
        <w:tc>
          <w:tcPr>
            <w:tcW w:w="7116" w:type="dxa"/>
            <w:gridSpan w:val="12"/>
          </w:tcPr>
          <w:p>
            <w:pPr>
              <w:pStyle w:val="yTableNAm"/>
              <w:rPr>
                <w:sz w:val="18"/>
              </w:rPr>
            </w:pPr>
            <w:r>
              <w:rPr>
                <w:sz w:val="18"/>
              </w:rPr>
              <w:t>NOTE 3</w:t>
            </w:r>
            <w:r>
              <w:rPr>
                <w:sz w:val="18"/>
              </w:rPr>
              <w:br/>
              <w:t>This fee is payable for each additional day or part day that a hearing proceeds beyond the date or dates allocated in item 5.</w:t>
            </w:r>
          </w:p>
        </w:tc>
      </w:tr>
      <w:tr>
        <w:trPr>
          <w:cantSplit/>
        </w:trPr>
        <w:tc>
          <w:tcPr>
            <w:tcW w:w="7116" w:type="dxa"/>
            <w:gridSpan w:val="12"/>
          </w:tcPr>
          <w:p>
            <w:pPr>
              <w:pStyle w:val="yTableNAm"/>
              <w:rPr>
                <w:sz w:val="18"/>
              </w:rPr>
            </w:pPr>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88.50</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171.50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106.50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206.00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143.50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281.00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keepNext/>
              <w:rPr>
                <w:sz w:val="18"/>
              </w:rPr>
            </w:pPr>
            <w:r>
              <w:rPr>
                <w:sz w:val="18"/>
              </w:rPr>
              <w:t>NOTE 2</w:t>
            </w:r>
            <w:r>
              <w:rPr>
                <w:sz w:val="18"/>
              </w:rPr>
              <w:br/>
              <w:t>This fee is inclusive of the hearing of the application and includes any adjournment of the hearing.</w:t>
            </w:r>
          </w:p>
        </w:tc>
      </w:tr>
      <w:tr>
        <w:trPr>
          <w:cantSplit/>
        </w:trPr>
        <w:tc>
          <w:tcPr>
            <w:tcW w:w="7116" w:type="dxa"/>
            <w:gridSpan w:val="12"/>
          </w:tcPr>
          <w:p>
            <w:pPr>
              <w:pStyle w:val="yTableNAm"/>
              <w:rPr>
                <w:sz w:val="18"/>
              </w:rPr>
            </w:pPr>
            <w:r>
              <w:rPr>
                <w:sz w:val="18"/>
              </w:rPr>
              <w:t>NOTE 3</w:t>
            </w:r>
            <w:r>
              <w:rPr>
                <w:sz w:val="18"/>
              </w:rPr>
              <w:br/>
              <w:t>This fee is not payable for matters dealt with in the absence of a party.</w:t>
            </w:r>
          </w:p>
        </w:tc>
      </w:tr>
      <w:tr>
        <w:trPr>
          <w:cantSplit/>
        </w:trPr>
        <w:tc>
          <w:tcPr>
            <w:tcW w:w="595" w:type="dxa"/>
          </w:tcPr>
          <w:p>
            <w:pPr>
              <w:pStyle w:val="yTableNAm"/>
              <w:rPr>
                <w:sz w:val="18"/>
              </w:rPr>
            </w:pPr>
            <w:r>
              <w:rPr>
                <w:sz w:val="18"/>
              </w:rPr>
              <w:t>8.</w:t>
            </w:r>
          </w:p>
        </w:tc>
        <w:tc>
          <w:tcPr>
            <w:tcW w:w="1418" w:type="dxa"/>
            <w:gridSpan w:val="2"/>
          </w:tcPr>
          <w:p>
            <w:pPr>
              <w:pStyle w:val="yTableNAm"/>
              <w:rPr>
                <w:sz w:val="18"/>
              </w:rPr>
            </w:pPr>
            <w:r>
              <w:rPr>
                <w:sz w:val="18"/>
              </w:rPr>
              <w:t xml:space="preserve">On an appointment to assess a bill of costs — </w:t>
            </w:r>
          </w:p>
          <w:p>
            <w:pPr>
              <w:pStyle w:val="yTableNAm"/>
              <w:tabs>
                <w:tab w:val="clear" w:pos="567"/>
                <w:tab w:val="left" w:pos="275"/>
              </w:tabs>
              <w:ind w:left="275" w:hanging="275"/>
              <w:rPr>
                <w:sz w:val="18"/>
              </w:rPr>
            </w:pPr>
            <w:r>
              <w:rPr>
                <w:sz w:val="18"/>
              </w:rPr>
              <w:t>(a)</w:t>
            </w:r>
            <w:r>
              <w:rPr>
                <w:sz w:val="18"/>
              </w:rPr>
              <w:tab/>
              <w:t>lodgment fee</w:t>
            </w:r>
          </w:p>
        </w:tc>
        <w:tc>
          <w:tcPr>
            <w:tcW w:w="850" w:type="dxa"/>
            <w:gridSpan w:val="3"/>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88.50</w:t>
            </w:r>
          </w:p>
        </w:tc>
        <w:tc>
          <w:tcPr>
            <w:tcW w:w="851" w:type="dxa"/>
            <w:gridSpan w:val="2"/>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171.50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106.50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206.00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143.50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281.00</w:t>
            </w:r>
          </w:p>
        </w:tc>
      </w:tr>
      <w:tr>
        <w:trPr>
          <w:cantSplit/>
        </w:trPr>
        <w:tc>
          <w:tcPr>
            <w:tcW w:w="595" w:type="dxa"/>
          </w:tcPr>
          <w:p>
            <w:pPr>
              <w:pStyle w:val="yTableNAm"/>
              <w:rPr>
                <w:sz w:val="18"/>
              </w:rPr>
            </w:pPr>
          </w:p>
        </w:tc>
        <w:tc>
          <w:tcPr>
            <w:tcW w:w="1418" w:type="dxa"/>
            <w:gridSpan w:val="2"/>
          </w:tcPr>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The % rate is to be applied to the amount at which the bill is drawn.</w:t>
            </w:r>
          </w:p>
        </w:tc>
      </w:tr>
      <w:tr>
        <w:trPr>
          <w:cantSplit/>
        </w:trPr>
        <w:tc>
          <w:tcPr>
            <w:tcW w:w="7116" w:type="dxa"/>
            <w:gridSpan w:val="12"/>
          </w:tcPr>
          <w:p>
            <w:pPr>
              <w:pStyle w:val="yTableNAm"/>
              <w:rPr>
                <w:sz w:val="18"/>
              </w:rPr>
            </w:pPr>
            <w:r>
              <w:rPr>
                <w:sz w:val="18"/>
              </w:rPr>
              <w:t>NOTE 3</w:t>
            </w:r>
            <w:r>
              <w:rPr>
                <w:sz w:val="18"/>
              </w:rPr>
              <w:b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p>
        </w:tc>
        <w:tc>
          <w:tcPr>
            <w:tcW w:w="1088" w:type="dxa"/>
            <w:vAlign w:val="bottom"/>
          </w:tcPr>
          <w:p>
            <w:pPr>
              <w:pStyle w:val="yTableNAm"/>
              <w:tabs>
                <w:tab w:val="clear" w:pos="567"/>
              </w:tabs>
              <w:ind w:right="191"/>
              <w:jc w:val="right"/>
              <w:rPr>
                <w:sz w:val="18"/>
                <w:szCs w:val="18"/>
              </w:rPr>
            </w:pPr>
            <w:r>
              <w:rPr>
                <w:sz w:val="18"/>
                <w:szCs w:val="18"/>
              </w:rPr>
              <w:t>115.00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p>
        </w:tc>
        <w:tc>
          <w:tcPr>
            <w:tcW w:w="1088" w:type="dxa"/>
            <w:vAlign w:val="bottom"/>
          </w:tcPr>
          <w:p>
            <w:pPr>
              <w:pStyle w:val="yTableNAm"/>
              <w:tabs>
                <w:tab w:val="clear" w:pos="567"/>
              </w:tabs>
              <w:ind w:right="191"/>
              <w:jc w:val="right"/>
              <w:rPr>
                <w:sz w:val="18"/>
                <w:szCs w:val="18"/>
              </w:rPr>
            </w:pPr>
            <w:r>
              <w:rPr>
                <w:sz w:val="18"/>
                <w:szCs w:val="18"/>
              </w:rPr>
              <w:t>115.00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p>
        </w:tc>
        <w:tc>
          <w:tcPr>
            <w:tcW w:w="1088" w:type="dxa"/>
          </w:tcPr>
          <w:p>
            <w:pPr>
              <w:pStyle w:val="yTableNAm"/>
              <w:tabs>
                <w:tab w:val="clear" w:pos="567"/>
              </w:tabs>
              <w:ind w:right="191"/>
              <w:jc w:val="right"/>
              <w:rPr>
                <w:sz w:val="18"/>
                <w:szCs w:val="18"/>
              </w:rPr>
            </w:pPr>
            <w:r>
              <w:rPr>
                <w:sz w:val="18"/>
                <w:szCs w:val="18"/>
              </w:rPr>
              <w:br/>
            </w:r>
            <w:r>
              <w:rPr>
                <w:sz w:val="18"/>
                <w:szCs w:val="18"/>
              </w:rPr>
              <w:br/>
              <w:t>30.50</w:t>
            </w:r>
          </w:p>
        </w:tc>
      </w:tr>
      <w:tr>
        <w:trPr>
          <w:cantSplit/>
        </w:trPr>
        <w:tc>
          <w:tcPr>
            <w:tcW w:w="7088" w:type="dxa"/>
            <w:gridSpan w:val="4"/>
          </w:tcPr>
          <w:p>
            <w:pPr>
              <w:pStyle w:val="yTableNAm"/>
              <w:keepNext/>
              <w:rPr>
                <w:sz w:val="18"/>
              </w:rPr>
            </w:pPr>
            <w:r>
              <w:rPr>
                <w:sz w:val="18"/>
              </w:rPr>
              <w:t>NOTE 1</w:t>
            </w:r>
            <w:r>
              <w:rPr>
                <w:sz w:val="18"/>
              </w:rPr>
              <w:b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 w:val="18"/>
              </w:rPr>
            </w:pPr>
            <w:r>
              <w:rPr>
                <w:sz w:val="18"/>
              </w:rPr>
              <w:t>NOTE 2</w:t>
            </w:r>
            <w:r>
              <w:rPr>
                <w:sz w:val="18"/>
              </w:rPr>
              <w:b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 xml:space="preserve">Road Traffic (Authorisation to Drive) Act 2008 </w:t>
            </w:r>
            <w:r>
              <w:rPr>
                <w:sz w:val="18"/>
              </w:rPr>
              <w:t>section 27</w:t>
            </w:r>
          </w:p>
        </w:tc>
        <w:tc>
          <w:tcPr>
            <w:tcW w:w="1088" w:type="dxa"/>
          </w:tcPr>
          <w:p>
            <w:pPr>
              <w:pStyle w:val="yTableNAm"/>
              <w:tabs>
                <w:tab w:val="clear" w:pos="567"/>
              </w:tabs>
              <w:ind w:right="191"/>
              <w:jc w:val="right"/>
              <w:rPr>
                <w:sz w:val="18"/>
              </w:rPr>
            </w:pPr>
            <w:r>
              <w:rPr>
                <w:sz w:val="18"/>
              </w:rPr>
              <w:br/>
            </w:r>
            <w:r>
              <w:rPr>
                <w:sz w:val="18"/>
                <w:szCs w:val="18"/>
              </w:rPr>
              <w:t>182.00</w:t>
            </w:r>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101AA or 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szCs w:val="18"/>
              </w:rPr>
            </w:pPr>
            <w:r>
              <w:rPr>
                <w:sz w:val="18"/>
                <w:szCs w:val="18"/>
              </w:rPr>
              <w:t>105.50</w:t>
            </w:r>
          </w:p>
        </w:tc>
      </w:tr>
    </w:tbl>
    <w:p>
      <w:pPr>
        <w:pStyle w:val="yFootnotesection"/>
      </w:pPr>
      <w:r>
        <w:tab/>
        <w:t>[Division 2 inserted in Gazette 4 Sep 2009 p. 3475-8; amended in Gazette 30 Jul 2010 p. 3499-500; 8 Mar 2011 p. 788</w:t>
      </w:r>
      <w:r>
        <w:noBreakHyphen/>
        <w:t>90; 17 Jan 2012 p. 464</w:t>
      </w:r>
      <w:r>
        <w:noBreakHyphen/>
        <w:t>5; 30 Nov 2012 p. 5792</w:t>
      </w:r>
      <w:r>
        <w:noBreakHyphen/>
        <w:t>3; 20 Aug 2013 p. 3816; 15 Nov 2013 p. 5249-50; 27 Jun 2014 p. 2343-4; 10 Feb 2015 p. 613; 19 Jun 2015 p. 2126</w:t>
      </w:r>
      <w:r>
        <w:noBreakHyphen/>
        <w:t>7.]</w:t>
      </w:r>
    </w:p>
    <w:p>
      <w:pPr>
        <w:pStyle w:val="yHeading3"/>
      </w:pPr>
      <w:bookmarkStart w:id="21" w:name="_Toc433189150"/>
      <w:r>
        <w:rPr>
          <w:rStyle w:val="CharSDivNo"/>
        </w:rPr>
        <w:t>Division 3</w:t>
      </w:r>
      <w:r>
        <w:rPr>
          <w:b w:val="0"/>
        </w:rPr>
        <w:t> — </w:t>
      </w:r>
      <w:r>
        <w:rPr>
          <w:rStyle w:val="CharSDivText"/>
        </w:rPr>
        <w:t>Criminal jurisdiction</w:t>
      </w:r>
      <w:bookmarkEnd w:id="21"/>
    </w:p>
    <w:p>
      <w:pPr>
        <w:pStyle w:val="yFootnoteheading"/>
        <w:spacing w:after="120"/>
      </w:pPr>
      <w:r>
        <w:tab/>
        <w:t>[Heading inserted in Gazette 19 Jun 2015 p. 2127.]</w:t>
      </w:r>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yTableNAm"/>
            </w:pPr>
            <w:r>
              <w:rPr>
                <w:b/>
              </w:rPr>
              <w:t>Matter</w:t>
            </w:r>
          </w:p>
        </w:tc>
        <w:tc>
          <w:tcPr>
            <w:tcW w:w="1088" w:type="dxa"/>
            <w:tcBorders>
              <w:top w:val="single" w:sz="4" w:space="0" w:color="auto"/>
              <w:bottom w:val="single" w:sz="4" w:space="0" w:color="auto"/>
            </w:tcBorders>
          </w:tcPr>
          <w:p>
            <w:pPr>
              <w:pStyle w:val="yTableNAm"/>
              <w:jc w:val="center"/>
            </w:pPr>
            <w:r>
              <w:rPr>
                <w:b/>
              </w:rPr>
              <w:t>$</w:t>
            </w:r>
          </w:p>
        </w:tc>
      </w:tr>
      <w:tr>
        <w:trPr>
          <w:cantSplit/>
        </w:trPr>
        <w:tc>
          <w:tcPr>
            <w:tcW w:w="840" w:type="dxa"/>
          </w:tcPr>
          <w:p>
            <w:pPr>
              <w:pStyle w:val="yTableNAm"/>
            </w:pPr>
            <w:r>
              <w:t>1.</w:t>
            </w:r>
          </w:p>
        </w:tc>
        <w:tc>
          <w:tcPr>
            <w:tcW w:w="5160" w:type="dxa"/>
          </w:tcPr>
          <w:p>
            <w:pPr>
              <w:pStyle w:val="yTableNAm"/>
            </w:pPr>
            <w:r>
              <w:t xml:space="preserve">On filing — </w:t>
            </w:r>
          </w:p>
        </w:tc>
        <w:tc>
          <w:tcPr>
            <w:tcW w:w="1088" w:type="dxa"/>
          </w:tcPr>
          <w:p>
            <w:pPr>
              <w:pStyle w:val="yTableNAm"/>
            </w:pPr>
          </w:p>
        </w:tc>
      </w:tr>
      <w:tr>
        <w:trPr>
          <w:cantSplit/>
        </w:trPr>
        <w:tc>
          <w:tcPr>
            <w:tcW w:w="840" w:type="dxa"/>
          </w:tcPr>
          <w:p>
            <w:pPr>
              <w:pStyle w:val="zyTableNAm"/>
            </w:pPr>
          </w:p>
        </w:tc>
        <w:tc>
          <w:tcPr>
            <w:tcW w:w="5160" w:type="dxa"/>
          </w:tcPr>
          <w:p>
            <w:pPr>
              <w:pStyle w:val="yTableNAm"/>
            </w:pPr>
            <w:r>
              <w:t>(a)</w:t>
            </w:r>
            <w:r>
              <w:tab/>
              <w:t>a prosecution notice;</w:t>
            </w:r>
          </w:p>
        </w:tc>
        <w:tc>
          <w:tcPr>
            <w:tcW w:w="1088" w:type="dxa"/>
          </w:tcPr>
          <w:p>
            <w:pPr>
              <w:pStyle w:val="yTableNAm"/>
            </w:pPr>
            <w:r>
              <w:t>88.50</w:t>
            </w:r>
          </w:p>
        </w:tc>
      </w:tr>
      <w:tr>
        <w:trPr>
          <w:cantSplit/>
        </w:trPr>
        <w:tc>
          <w:tcPr>
            <w:tcW w:w="840" w:type="dxa"/>
          </w:tcPr>
          <w:p>
            <w:pPr>
              <w:pStyle w:val="zyTableNAm"/>
            </w:pPr>
          </w:p>
        </w:tc>
        <w:tc>
          <w:tcPr>
            <w:tcW w:w="5160" w:type="dxa"/>
          </w:tcPr>
          <w:p>
            <w:pPr>
              <w:pStyle w:val="yTableNAm"/>
              <w:ind w:left="567" w:hanging="567"/>
            </w:pPr>
            <w:r>
              <w:t>(b)</w:t>
            </w:r>
            <w:r>
              <w:tab/>
              <w:t xml:space="preserve">an application under the </w:t>
            </w:r>
            <w:r>
              <w:rPr>
                <w:i/>
              </w:rPr>
              <w:t>Criminal Procedure Act 2004</w:t>
            </w:r>
            <w:r>
              <w:t xml:space="preserve"> section 71</w:t>
            </w:r>
          </w:p>
        </w:tc>
        <w:tc>
          <w:tcPr>
            <w:tcW w:w="1088" w:type="dxa"/>
          </w:tcPr>
          <w:p>
            <w:pPr>
              <w:pStyle w:val="yTableNAm"/>
            </w:pPr>
            <w:r>
              <w:br/>
            </w:r>
            <w:r>
              <w:rPr>
                <w:szCs w:val="22"/>
              </w:rPr>
              <w:t>88.50</w:t>
            </w:r>
          </w:p>
        </w:tc>
      </w:tr>
      <w:tr>
        <w:trPr>
          <w:cantSplit/>
        </w:trPr>
        <w:tc>
          <w:tcPr>
            <w:tcW w:w="840" w:type="dxa"/>
          </w:tcPr>
          <w:p>
            <w:pPr>
              <w:pStyle w:val="yTableNAm"/>
            </w:pPr>
            <w:r>
              <w:t>2.</w:t>
            </w:r>
          </w:p>
        </w:tc>
        <w:tc>
          <w:tcPr>
            <w:tcW w:w="5160" w:type="dxa"/>
          </w:tcPr>
          <w:p>
            <w:pPr>
              <w:pStyle w:val="yTableNAm"/>
            </w:pPr>
            <w:r>
              <w:t>For the issue of a summons or court hearing notice to an accused</w:t>
            </w:r>
          </w:p>
        </w:tc>
        <w:tc>
          <w:tcPr>
            <w:tcW w:w="1088" w:type="dxa"/>
          </w:tcPr>
          <w:p>
            <w:pPr>
              <w:pStyle w:val="yTableNAm"/>
            </w:pPr>
            <w:r>
              <w:br/>
            </w:r>
            <w:r>
              <w:rPr>
                <w:szCs w:val="22"/>
              </w:rPr>
              <w:t xml:space="preserve"> 16.90</w:t>
            </w:r>
          </w:p>
        </w:tc>
      </w:tr>
      <w:tr>
        <w:trPr>
          <w:cantSplit/>
        </w:trPr>
        <w:tc>
          <w:tcPr>
            <w:tcW w:w="840" w:type="dxa"/>
            <w:tcBorders>
              <w:bottom w:val="single" w:sz="4" w:space="0" w:color="auto"/>
            </w:tcBorders>
          </w:tcPr>
          <w:p>
            <w:pPr>
              <w:pStyle w:val="yTableNAm"/>
            </w:pPr>
            <w:r>
              <w:t>3.</w:t>
            </w:r>
          </w:p>
        </w:tc>
        <w:tc>
          <w:tcPr>
            <w:tcW w:w="5160" w:type="dxa"/>
            <w:tcBorders>
              <w:bottom w:val="single" w:sz="4" w:space="0" w:color="auto"/>
            </w:tcBorders>
          </w:tcPr>
          <w:p>
            <w:pPr>
              <w:pStyle w:val="yTableNAm"/>
            </w:pPr>
            <w:r>
              <w:t xml:space="preserve">For a warrant of any kind — </w:t>
            </w:r>
          </w:p>
          <w:p>
            <w:pPr>
              <w:pStyle w:val="yTableNAm"/>
            </w:pPr>
            <w:r>
              <w:t>(a)</w:t>
            </w:r>
            <w:r>
              <w:tab/>
              <w:t>issue of it</w:t>
            </w:r>
          </w:p>
          <w:p>
            <w:pPr>
              <w:pStyle w:val="yTableNAm"/>
            </w:pPr>
            <w:r>
              <w:t>(b)</w:t>
            </w:r>
            <w:r>
              <w:tab/>
              <w:t>execution of it</w:t>
            </w:r>
          </w:p>
        </w:tc>
        <w:tc>
          <w:tcPr>
            <w:tcW w:w="1088" w:type="dxa"/>
            <w:tcBorders>
              <w:bottom w:val="single" w:sz="4" w:space="0" w:color="auto"/>
            </w:tcBorders>
          </w:tcPr>
          <w:p>
            <w:pPr>
              <w:pStyle w:val="yTableNAm"/>
            </w:pPr>
          </w:p>
          <w:p>
            <w:pPr>
              <w:pStyle w:val="yTableNAm"/>
              <w:rPr>
                <w:szCs w:val="22"/>
              </w:rPr>
            </w:pPr>
            <w:r>
              <w:rPr>
                <w:szCs w:val="22"/>
              </w:rPr>
              <w:t xml:space="preserve"> 88.50</w:t>
            </w:r>
          </w:p>
          <w:p>
            <w:pPr>
              <w:pStyle w:val="yTableNAm"/>
            </w:pPr>
            <w:r>
              <w:rPr>
                <w:szCs w:val="22"/>
              </w:rPr>
              <w:t>115.00</w:t>
            </w:r>
          </w:p>
        </w:tc>
      </w:tr>
    </w:tbl>
    <w:p>
      <w:pPr>
        <w:pStyle w:val="yFootnotesection"/>
        <w:rPr>
          <w:i w:val="0"/>
        </w:rPr>
      </w:pPr>
      <w:r>
        <w:tab/>
        <w:t>[Division 3 inserted in Gazette 19 Jun 2015 p. 2127.]</w:t>
      </w:r>
    </w:p>
    <w:p>
      <w:pPr>
        <w:sectPr>
          <w:headerReference w:type="even" r:id="rId26"/>
          <w:headerReference w:type="default" r:id="rId27"/>
          <w:endnotePr>
            <w:numFmt w:val="decimal"/>
          </w:endnotePr>
          <w:pgSz w:w="11907" w:h="16840" w:code="9"/>
          <w:pgMar w:top="1809" w:right="2405" w:bottom="3542" w:left="2405" w:header="706" w:footer="3380" w:gutter="0"/>
          <w:cols w:space="720"/>
          <w:noEndnote/>
          <w:docGrid w:linePitch="326"/>
        </w:sectPr>
      </w:pPr>
    </w:p>
    <w:p>
      <w:pPr>
        <w:pStyle w:val="yScheduleHeading"/>
      </w:pPr>
      <w:bookmarkStart w:id="23" w:name="_Toc433189151"/>
      <w:r>
        <w:rPr>
          <w:rStyle w:val="CharSchNo"/>
        </w:rPr>
        <w:t>Schedule 2</w:t>
      </w:r>
      <w:r>
        <w:rPr>
          <w:rStyle w:val="CharSDivNo"/>
        </w:rPr>
        <w:t> </w:t>
      </w:r>
      <w:r>
        <w:t>—</w:t>
      </w:r>
      <w:r>
        <w:rPr>
          <w:rStyle w:val="CharSDivText"/>
        </w:rPr>
        <w:t> </w:t>
      </w:r>
      <w:r>
        <w:rPr>
          <w:rStyle w:val="CharSchText"/>
        </w:rPr>
        <w:t>Forms</w:t>
      </w:r>
      <w:bookmarkEnd w:id="23"/>
    </w:p>
    <w:p>
      <w:pPr>
        <w:pStyle w:val="yShoulderClause"/>
      </w:pPr>
      <w:r>
        <w:t>[r. 4(6), 8(6), 13(2)]</w:t>
      </w:r>
    </w:p>
    <w:p>
      <w:pPr>
        <w:pStyle w:val="yHeading5"/>
        <w:spacing w:after="120"/>
      </w:pPr>
      <w:bookmarkStart w:id="24" w:name="_Toc433189152"/>
      <w:r>
        <w:rPr>
          <w:rStyle w:val="CharSClsNo"/>
        </w:rPr>
        <w:t>1</w:t>
      </w:r>
      <w:r>
        <w:t>.</w:t>
      </w:r>
      <w:r>
        <w:tab/>
        <w:t>Declaration that a person is a small business or a non</w:t>
      </w:r>
      <w:r>
        <w:noBreakHyphen/>
        <w:t>profit association</w:t>
      </w:r>
      <w:bookmarkEnd w:id="2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Ednotedivision"/>
      </w:pPr>
      <w:r>
        <w:t>[Form 2 deleted in Gazette 4 Sep 2015 p. 3695.]</w:t>
      </w:r>
    </w:p>
    <w:p>
      <w:pPr>
        <w:pStyle w:val="yHeading5"/>
        <w:pageBreakBefore/>
        <w:spacing w:before="0" w:after="120"/>
      </w:pPr>
      <w:bookmarkStart w:id="25" w:name="_Toc433189153"/>
      <w:r>
        <w:rPr>
          <w:rStyle w:val="CharSClsNo"/>
        </w:rPr>
        <w:t>3</w:t>
      </w:r>
      <w:r>
        <w:t>.</w:t>
      </w:r>
      <w:r>
        <w:tab/>
        <w:t>Application for determination of dispute about fees</w:t>
      </w:r>
      <w:bookmarkEnd w:id="2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1809" w:right="2405" w:bottom="3542" w:left="2405" w:header="706" w:footer="3380" w:gutter="0"/>
          <w:cols w:space="720"/>
          <w:noEndnote/>
          <w:docGrid w:linePitch="326"/>
        </w:sectPr>
      </w:pPr>
    </w:p>
    <w:p>
      <w:pPr>
        <w:pStyle w:val="nHeading2"/>
      </w:pPr>
      <w:bookmarkStart w:id="26" w:name="_Toc433189154"/>
      <w:r>
        <w:t>Notes</w:t>
      </w:r>
      <w:bookmarkEnd w:id="26"/>
    </w:p>
    <w:p>
      <w:pPr>
        <w:pStyle w:val="nSubsection"/>
      </w:pPr>
      <w:r>
        <w:rPr>
          <w:vertAlign w:val="superscript"/>
        </w:rPr>
        <w:t>1</w:t>
      </w:r>
      <w:r>
        <w:tab/>
        <w:t xml:space="preserve">This reprint is a compilation as at 3 December 2015 of the </w:t>
      </w:r>
      <w:r>
        <w:rPr>
          <w:i/>
          <w:noProof/>
        </w:rPr>
        <w:t>Magistrates Court (Fees) Regulations 2005</w:t>
      </w:r>
      <w:r>
        <w:t xml:space="preserve"> and includes the amendments made by the other written laws referred to in the following table.  The table also contains information about any reprint.</w:t>
      </w:r>
    </w:p>
    <w:p>
      <w:pPr>
        <w:pStyle w:val="nHeading3"/>
      </w:pPr>
      <w:bookmarkStart w:id="27" w:name="_Toc433189155"/>
      <w:r>
        <w:t>Compilation table</w:t>
      </w:r>
      <w:bookmarkEnd w:id="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(Fees) Regulations 2005</w:t>
            </w:r>
          </w:p>
        </w:tc>
        <w:tc>
          <w:tcPr>
            <w:tcW w:w="1276" w:type="dxa"/>
            <w:tcBorders>
              <w:top w:val="single" w:sz="8" w:space="0" w:color="auto"/>
            </w:tcBorders>
          </w:tcPr>
          <w:p>
            <w:pPr>
              <w:pStyle w:val="nTable"/>
              <w:spacing w:after="40"/>
            </w:pPr>
            <w:r>
              <w:t>28 Apr 2005 p. 1573</w:t>
            </w:r>
            <w:r>
              <w:noBreakHyphen/>
              <w:t>603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(Fees) Amendment Regulations 2006</w:t>
            </w:r>
          </w:p>
        </w:tc>
        <w:tc>
          <w:tcPr>
            <w:tcW w:w="1276" w:type="dxa"/>
          </w:tcPr>
          <w:p>
            <w:pPr>
              <w:pStyle w:val="nTable"/>
              <w:spacing w:after="40"/>
            </w:pPr>
            <w:r>
              <w:t>23 Jun 2006 p. 2178</w:t>
            </w:r>
            <w:r>
              <w:noBreakHyphen/>
              <w:t>81</w:t>
            </w:r>
          </w:p>
        </w:tc>
        <w:tc>
          <w:tcPr>
            <w:tcW w:w="2693" w:type="dxa"/>
          </w:tcPr>
          <w:p>
            <w:pPr>
              <w:pStyle w:val="nTable"/>
              <w:spacing w:after="40"/>
            </w:pPr>
            <w:r>
              <w:t>1 Jul 2006 (see r. 2)</w:t>
            </w:r>
          </w:p>
        </w:tc>
      </w:tr>
      <w:tr>
        <w:tc>
          <w:tcPr>
            <w:tcW w:w="3118" w:type="dxa"/>
          </w:tcPr>
          <w:p>
            <w:pPr>
              <w:pStyle w:val="nTable"/>
              <w:spacing w:after="40"/>
              <w:rPr>
                <w:i/>
              </w:rPr>
            </w:pPr>
            <w:r>
              <w:rPr>
                <w:i/>
              </w:rPr>
              <w:t>Magistrates Court (Fees) Amendment Regulations 2007</w:t>
            </w:r>
          </w:p>
        </w:tc>
        <w:tc>
          <w:tcPr>
            <w:tcW w:w="1276" w:type="dxa"/>
          </w:tcPr>
          <w:p>
            <w:pPr>
              <w:pStyle w:val="nTable"/>
              <w:spacing w:after="40"/>
            </w:pPr>
            <w:r>
              <w:t>26 Jun 2007 p. 3033</w:t>
            </w:r>
            <w:r>
              <w:noBreakHyphen/>
              <w:t>5</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Magistrates Court (Fees) Amendment Regulations 2008</w:t>
            </w:r>
          </w:p>
        </w:tc>
        <w:tc>
          <w:tcPr>
            <w:tcW w:w="1276" w:type="dxa"/>
          </w:tcPr>
          <w:p>
            <w:pPr>
              <w:pStyle w:val="nTable"/>
              <w:spacing w:after="40"/>
            </w:pPr>
            <w:r>
              <w:t>16 May 2008 p. 1910</w:t>
            </w:r>
            <w:r>
              <w:noBreakHyphen/>
              <w:t>11</w:t>
            </w:r>
          </w:p>
        </w:tc>
        <w:tc>
          <w:tcPr>
            <w:tcW w:w="2693" w:type="dxa"/>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2) 2008</w:t>
            </w:r>
          </w:p>
        </w:tc>
        <w:tc>
          <w:tcPr>
            <w:tcW w:w="1276" w:type="dxa"/>
          </w:tcPr>
          <w:p>
            <w:pPr>
              <w:pStyle w:val="nTable"/>
              <w:spacing w:after="40"/>
            </w:pPr>
            <w:r>
              <w:t>27 Jun 2008 p. 3068</w:t>
            </w:r>
            <w:r>
              <w:noBreakHyphen/>
              <w:t>70</w:t>
            </w:r>
          </w:p>
        </w:tc>
        <w:tc>
          <w:tcPr>
            <w:tcW w:w="2693" w:type="dxa"/>
          </w:tcPr>
          <w:p>
            <w:pPr>
              <w:pStyle w:val="nTable"/>
              <w:spacing w:after="40"/>
            </w:pPr>
            <w:r>
              <w:rPr>
                <w:snapToGrid w:val="0"/>
              </w:rPr>
              <w:t>r. 1 and 2: 27 Jun 2008 (see r. 2(a));</w:t>
            </w:r>
            <w:r>
              <w:rPr>
                <w:snapToGrid w:val="0"/>
              </w:rPr>
              <w:br/>
              <w:t>Regulations other than r. 1 and 2: 1 Jul 2008 (see r. 2(b))</w:t>
            </w:r>
          </w:p>
        </w:tc>
      </w:tr>
      <w:tr>
        <w:tc>
          <w:tcPr>
            <w:tcW w:w="3118" w:type="dxa"/>
          </w:tcPr>
          <w:p>
            <w:pPr>
              <w:pStyle w:val="nTable"/>
              <w:spacing w:after="40"/>
              <w:rPr>
                <w:i/>
              </w:rPr>
            </w:pPr>
            <w:r>
              <w:rPr>
                <w:i/>
              </w:rPr>
              <w:t>Magistrates Court (Fees) Amendment Regulations (No. 3) 2008</w:t>
            </w:r>
          </w:p>
        </w:tc>
        <w:tc>
          <w:tcPr>
            <w:tcW w:w="1276" w:type="dxa"/>
          </w:tcPr>
          <w:p>
            <w:pPr>
              <w:pStyle w:val="nTable"/>
              <w:spacing w:after="40"/>
            </w:pPr>
            <w:r>
              <w:t>22 Aug 2008 p. 3669</w:t>
            </w:r>
            <w:r>
              <w:noBreakHyphen/>
              <w:t>70</w:t>
            </w:r>
          </w:p>
        </w:tc>
        <w:tc>
          <w:tcPr>
            <w:tcW w:w="2693" w:type="dxa"/>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4) 2008</w:t>
            </w:r>
          </w:p>
        </w:tc>
        <w:tc>
          <w:tcPr>
            <w:tcW w:w="1276" w:type="dxa"/>
          </w:tcPr>
          <w:p>
            <w:pPr>
              <w:pStyle w:val="nTable"/>
              <w:spacing w:after="40"/>
            </w:pPr>
            <w:r>
              <w:t>23 Dec 2008 p. 5472</w:t>
            </w:r>
            <w:r>
              <w:noBreakHyphen/>
              <w:t>3</w:t>
            </w:r>
          </w:p>
        </w:tc>
        <w:tc>
          <w:tcPr>
            <w:tcW w:w="2693" w:type="dxa"/>
          </w:tcPr>
          <w:p>
            <w:pPr>
              <w:pStyle w:val="nTable"/>
              <w:spacing w:after="40"/>
              <w:rPr>
                <w:snapToGrid w:val="0"/>
              </w:rPr>
            </w:pPr>
            <w:r>
              <w:rPr>
                <w:snapToGrid w:val="0"/>
              </w:rPr>
              <w:t>r. 1 and 2: 23 Dec 2008 (see r. 2(a));</w:t>
            </w:r>
            <w:r>
              <w:rPr>
                <w:snapToGrid w:val="0"/>
              </w:rPr>
              <w:br/>
              <w:t>Regulations other than r. 1 and 2: 1 Jan 2009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rPr>
                  <w:t>Magistrates Court</w:t>
                </w:r>
              </w:smartTag>
            </w:smartTag>
            <w:r>
              <w:rPr>
                <w:b/>
                <w:bCs/>
                <w:i/>
              </w:rPr>
              <w:t xml:space="preserve"> (Fees) Regulations 2005 </w:t>
            </w:r>
            <w:r>
              <w:rPr>
                <w:b/>
                <w:bCs/>
                <w:snapToGrid w:val="0"/>
              </w:rPr>
              <w:t>as at 13 Feb 2009</w:t>
            </w:r>
            <w:r>
              <w:rPr>
                <w:snapToGrid w:val="0"/>
              </w:rPr>
              <w:t xml:space="preserve"> (includes amendments listed above)</w:t>
            </w:r>
          </w:p>
        </w:tc>
      </w:tr>
      <w:tr>
        <w:tc>
          <w:tcPr>
            <w:tcW w:w="3118" w:type="dxa"/>
          </w:tcPr>
          <w:p>
            <w:pPr>
              <w:pStyle w:val="nTable"/>
              <w:spacing w:after="40"/>
              <w:rPr>
                <w:i/>
              </w:rPr>
            </w:pPr>
            <w:r>
              <w:rPr>
                <w:i/>
              </w:rPr>
              <w:t>Magistrates Court (Fees) Amendment Regulations 2009</w:t>
            </w:r>
          </w:p>
        </w:tc>
        <w:tc>
          <w:tcPr>
            <w:tcW w:w="1276" w:type="dxa"/>
          </w:tcPr>
          <w:p>
            <w:pPr>
              <w:pStyle w:val="nTable"/>
              <w:spacing w:after="40"/>
            </w:pPr>
            <w:r>
              <w:t>9 Jun 2009 p. 1924</w:t>
            </w:r>
          </w:p>
        </w:tc>
        <w:tc>
          <w:tcPr>
            <w:tcW w:w="2693" w:type="dxa"/>
          </w:tcPr>
          <w:p>
            <w:pPr>
              <w:pStyle w:val="nTable"/>
              <w:spacing w:after="40"/>
            </w:pPr>
            <w:r>
              <w:rPr>
                <w:snapToGrid w:val="0"/>
              </w:rPr>
              <w:t>r. 1 and 2: 9 Jun 2009 (see r. 2(a));</w:t>
            </w:r>
            <w:r>
              <w:rPr>
                <w:snapToGrid w:val="0"/>
              </w:rPr>
              <w:br/>
              <w:t>Regulations other than r. 1 and 2: 10 Jun 2009 (see r. 2(b))</w:t>
            </w:r>
          </w:p>
        </w:tc>
      </w:tr>
      <w:tr>
        <w:trPr>
          <w:cantSplit/>
        </w:trPr>
        <w:tc>
          <w:tcPr>
            <w:tcW w:w="3118" w:type="dxa"/>
          </w:tcPr>
          <w:p>
            <w:pPr>
              <w:pStyle w:val="nTable"/>
              <w:spacing w:after="40"/>
              <w:rPr>
                <w:i/>
              </w:rPr>
            </w:pPr>
            <w:r>
              <w:rPr>
                <w:i/>
              </w:rPr>
              <w:t>Magistrates Court (Fees) Amendment Regulations (No. 2) 2009</w:t>
            </w:r>
          </w:p>
        </w:tc>
        <w:tc>
          <w:tcPr>
            <w:tcW w:w="1276" w:type="dxa"/>
          </w:tcPr>
          <w:p>
            <w:pPr>
              <w:pStyle w:val="nTable"/>
              <w:spacing w:after="40"/>
            </w:pPr>
            <w:r>
              <w:t>4 Sep 2009 p. 3472-9</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spacing w:after="40"/>
              <w:rPr>
                <w:i/>
              </w:rPr>
            </w:pPr>
            <w:r>
              <w:rPr>
                <w:i/>
              </w:rPr>
              <w:t>Magistrates Court (Fees) Amendment Regulations 2010</w:t>
            </w:r>
          </w:p>
        </w:tc>
        <w:tc>
          <w:tcPr>
            <w:tcW w:w="1276" w:type="dxa"/>
          </w:tcPr>
          <w:p>
            <w:pPr>
              <w:pStyle w:val="nTable"/>
              <w:spacing w:after="40"/>
            </w:pPr>
            <w:r>
              <w:t>30 Jul 2010 p. 3499-500</w:t>
            </w:r>
          </w:p>
        </w:tc>
        <w:tc>
          <w:tcPr>
            <w:tcW w:w="2693" w:type="dxa"/>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Magistrates Court (Fees) Amendment Regulations 2011</w:t>
            </w:r>
          </w:p>
        </w:tc>
        <w:tc>
          <w:tcPr>
            <w:tcW w:w="1276" w:type="dxa"/>
          </w:tcPr>
          <w:p>
            <w:pPr>
              <w:pStyle w:val="nTable"/>
              <w:spacing w:after="40"/>
            </w:pPr>
            <w:r>
              <w:t>8 Mar 2011 p. 787</w:t>
            </w:r>
            <w:r>
              <w:noBreakHyphen/>
              <w:t>90</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pPr>
            <w:r>
              <w:rPr>
                <w:i/>
              </w:rPr>
              <w:t>Magistrates Court (Fees) Amendment Regulations (No. 2) 2011</w:t>
            </w:r>
            <w:r>
              <w:rPr>
                <w:vertAlign w:val="superscript"/>
              </w:rPr>
              <w:t> 3</w:t>
            </w:r>
          </w:p>
        </w:tc>
        <w:tc>
          <w:tcPr>
            <w:tcW w:w="1276" w:type="dxa"/>
          </w:tcPr>
          <w:p>
            <w:pPr>
              <w:pStyle w:val="nTable"/>
              <w:spacing w:after="40"/>
            </w:pPr>
            <w:r>
              <w:t>20 Dec 2011 p. 5387-90</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Magistrates Court (Fees) Amendment Regulations 2012</w:t>
            </w:r>
          </w:p>
        </w:tc>
        <w:tc>
          <w:tcPr>
            <w:tcW w:w="1276" w:type="dxa"/>
          </w:tcPr>
          <w:p>
            <w:pPr>
              <w:pStyle w:val="nTable"/>
              <w:spacing w:after="40"/>
              <w:rPr>
                <w:rFonts w:ascii="Times" w:hAnsi="Times"/>
              </w:rPr>
            </w:pPr>
            <w:r>
              <w:rPr>
                <w:rFonts w:ascii="Times" w:hAnsi="Times"/>
              </w:rPr>
              <w:t>17 Jan 2012 p. 463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17 Jan 2012 (see r. 2(a));</w:t>
            </w:r>
            <w:r>
              <w:rPr>
                <w:rFonts w:ascii="Times" w:hAnsi="Times"/>
                <w:snapToGrid w:val="0"/>
              </w:rPr>
              <w:br/>
              <w:t>Regulations other than r. 1 and 2: 18 Jan 2012 (see r. 2(b))</w:t>
            </w:r>
          </w:p>
        </w:tc>
      </w:tr>
      <w:tr>
        <w:tc>
          <w:tcPr>
            <w:tcW w:w="3118" w:type="dxa"/>
          </w:tcPr>
          <w:p>
            <w:pPr>
              <w:pStyle w:val="nTable"/>
              <w:spacing w:after="40"/>
              <w:rPr>
                <w:rFonts w:ascii="Times" w:hAnsi="Times"/>
                <w:i/>
              </w:rPr>
            </w:pPr>
            <w:r>
              <w:rPr>
                <w:rFonts w:ascii="Times" w:hAnsi="Times"/>
                <w:i/>
              </w:rPr>
              <w:t>Magistrates Court (Fees) Amendment Regulations (No. 2) 2012</w:t>
            </w:r>
          </w:p>
        </w:tc>
        <w:tc>
          <w:tcPr>
            <w:tcW w:w="1276" w:type="dxa"/>
          </w:tcPr>
          <w:p>
            <w:pPr>
              <w:pStyle w:val="nTable"/>
              <w:spacing w:after="40"/>
              <w:rPr>
                <w:rFonts w:ascii="Times" w:hAnsi="Times"/>
              </w:rPr>
            </w:pPr>
            <w:r>
              <w:rPr>
                <w:rFonts w:ascii="Times" w:hAnsi="Times"/>
              </w:rPr>
              <w:t>27 Mar 2012 p. 1507</w:t>
            </w:r>
          </w:p>
        </w:tc>
        <w:tc>
          <w:tcPr>
            <w:tcW w:w="2693" w:type="dxa"/>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smartTag w:uri="urn:schemas-microsoft-com:office:smarttags" w:element="Street">
              <w:smartTag w:uri="urn:schemas-microsoft-com:office:smarttags" w:element="address">
                <w:r>
                  <w:rPr>
                    <w:rFonts w:ascii="Times" w:hAnsi="Times"/>
                    <w:b/>
                    <w:bCs/>
                    <w:i/>
                  </w:rPr>
                  <w:t>Magistrates Court</w:t>
                </w:r>
              </w:smartTag>
            </w:smartTag>
            <w:r>
              <w:rPr>
                <w:rFonts w:ascii="Times" w:hAnsi="Times"/>
                <w:b/>
                <w:bCs/>
                <w:i/>
              </w:rPr>
              <w:t xml:space="preserve"> (Fees) Regulations 2005 </w:t>
            </w:r>
            <w:r>
              <w:rPr>
                <w:rFonts w:ascii="Times" w:hAnsi="Times"/>
                <w:b/>
                <w:bCs/>
                <w:snapToGrid w:val="0"/>
              </w:rPr>
              <w:t>as at 6 Apr 2012</w:t>
            </w:r>
            <w:r>
              <w:rPr>
                <w:rFonts w:ascii="Times" w:hAnsi="Times"/>
                <w:snapToGrid w:val="0"/>
              </w:rPr>
              <w:t xml:space="preserve"> (includes amendments listed above)</w:t>
            </w:r>
          </w:p>
        </w:tc>
      </w:tr>
      <w:tr>
        <w:tc>
          <w:tcPr>
            <w:tcW w:w="3118" w:type="dxa"/>
          </w:tcPr>
          <w:p>
            <w:pPr>
              <w:pStyle w:val="nTable"/>
              <w:spacing w:after="40"/>
              <w:rPr>
                <w:rFonts w:ascii="Times" w:hAnsi="Times"/>
                <w:i/>
              </w:rPr>
            </w:pPr>
            <w:r>
              <w:rPr>
                <w:rFonts w:ascii="Times" w:hAnsi="Times"/>
                <w:i/>
              </w:rPr>
              <w:t>Magistrates Court (Fees) Amendment Regulations (No. 3) 2012</w:t>
            </w:r>
          </w:p>
        </w:tc>
        <w:tc>
          <w:tcPr>
            <w:tcW w:w="1276" w:type="dxa"/>
          </w:tcPr>
          <w:p>
            <w:pPr>
              <w:pStyle w:val="nTable"/>
              <w:spacing w:after="40"/>
              <w:rPr>
                <w:rFonts w:ascii="Times" w:hAnsi="Times"/>
              </w:rPr>
            </w:pPr>
            <w:r>
              <w:rPr>
                <w:rFonts w:ascii="Times" w:hAnsi="Times"/>
              </w:rPr>
              <w:t>30 Nov 2012 p. 5791</w:t>
            </w:r>
            <w:r>
              <w:rPr>
                <w:rFonts w:ascii="Times" w:hAnsi="Times"/>
              </w:rPr>
              <w:noBreakHyphen/>
              <w:t>3</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Magistrates Court (Fees) Amendment Regulations 2013</w:t>
            </w:r>
          </w:p>
        </w:tc>
        <w:tc>
          <w:tcPr>
            <w:tcW w:w="1276" w:type="dxa"/>
          </w:tcPr>
          <w:p>
            <w:pPr>
              <w:pStyle w:val="nTable"/>
              <w:spacing w:after="40"/>
              <w:rPr>
                <w:rFonts w:ascii="Times" w:hAnsi="Times"/>
              </w:rPr>
            </w:pPr>
            <w:r>
              <w:rPr>
                <w:rFonts w:ascii="Times" w:hAnsi="Times"/>
              </w:rPr>
              <w:t>20 Aug 2013 p. 3815-16</w:t>
            </w:r>
          </w:p>
        </w:tc>
        <w:tc>
          <w:tcPr>
            <w:tcW w:w="2693" w:type="dxa"/>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Pr>
          <w:p>
            <w:pPr>
              <w:pStyle w:val="nTable"/>
              <w:spacing w:after="40"/>
              <w:rPr>
                <w:rFonts w:ascii="Times" w:hAnsi="Times"/>
                <w:i/>
              </w:rPr>
            </w:pPr>
            <w:r>
              <w:rPr>
                <w:rFonts w:ascii="Times" w:hAnsi="Times"/>
                <w:i/>
              </w:rPr>
              <w:t>Magistrates Court (Fees) Amendment Regulations (No. 2) 2013</w:t>
            </w:r>
          </w:p>
        </w:tc>
        <w:tc>
          <w:tcPr>
            <w:tcW w:w="1276" w:type="dxa"/>
          </w:tcPr>
          <w:p>
            <w:pPr>
              <w:pStyle w:val="nTable"/>
              <w:spacing w:after="40"/>
              <w:rPr>
                <w:rFonts w:ascii="Times" w:hAnsi="Times"/>
              </w:rPr>
            </w:pPr>
            <w:r>
              <w:rPr>
                <w:rFonts w:ascii="Times" w:hAnsi="Times"/>
              </w:rPr>
              <w:t>15 Nov 2013 p. 5248-50</w:t>
            </w:r>
          </w:p>
        </w:tc>
        <w:tc>
          <w:tcPr>
            <w:tcW w:w="2693" w:type="dxa"/>
          </w:tcPr>
          <w:p>
            <w:pPr>
              <w:pStyle w:val="nTable"/>
              <w:spacing w:after="40"/>
              <w:rPr>
                <w:rFonts w:ascii="Times" w:hAnsi="Times"/>
                <w:snapToGrid w:val="0"/>
              </w:rPr>
            </w:pPr>
            <w:r>
              <w:rPr>
                <w:rFonts w:ascii="Times" w:hAnsi="Times"/>
                <w:snapToGrid w:val="0"/>
              </w:rPr>
              <w:t>r. 1 and 2: 15 Nov 2013 (see r. 2(a));</w:t>
            </w:r>
            <w:r>
              <w:rPr>
                <w:rFonts w:ascii="Times" w:hAnsi="Times"/>
                <w:snapToGrid w:val="0"/>
              </w:rPr>
              <w:br/>
              <w:t>Regulations other than r. 1 and 2: 16 Nov 2013 (see r. 2(b))</w:t>
            </w:r>
          </w:p>
        </w:tc>
      </w:tr>
      <w:tr>
        <w:trPr>
          <w:cantSplit/>
        </w:trPr>
        <w:tc>
          <w:tcPr>
            <w:tcW w:w="3118" w:type="dxa"/>
          </w:tcPr>
          <w:p>
            <w:pPr>
              <w:pStyle w:val="nTable"/>
              <w:spacing w:after="40"/>
              <w:rPr>
                <w:rFonts w:ascii="Times" w:hAnsi="Times"/>
                <w:i/>
              </w:rPr>
            </w:pPr>
            <w:r>
              <w:rPr>
                <w:rFonts w:ascii="Times" w:hAnsi="Times"/>
                <w:i/>
              </w:rPr>
              <w:t>Magistrates Court (Fees) Amendment Regulations (No. 3) 2014</w:t>
            </w:r>
          </w:p>
        </w:tc>
        <w:tc>
          <w:tcPr>
            <w:tcW w:w="1276" w:type="dxa"/>
          </w:tcPr>
          <w:p>
            <w:pPr>
              <w:pStyle w:val="nTable"/>
              <w:spacing w:after="40"/>
              <w:rPr>
                <w:rFonts w:ascii="Times" w:hAnsi="Times"/>
              </w:rPr>
            </w:pPr>
            <w:r>
              <w:rPr>
                <w:rFonts w:ascii="Times" w:hAnsi="Times"/>
              </w:rPr>
              <w:t>27 Jun 2014 p. 2342-4</w:t>
            </w:r>
          </w:p>
        </w:tc>
        <w:tc>
          <w:tcPr>
            <w:tcW w:w="2693" w:type="dxa"/>
          </w:tcPr>
          <w:p>
            <w:pPr>
              <w:pStyle w:val="nTable"/>
              <w:keepNext/>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c>
          <w:tcPr>
            <w:tcW w:w="3118" w:type="dxa"/>
          </w:tcPr>
          <w:p>
            <w:pPr>
              <w:pStyle w:val="nTable"/>
              <w:spacing w:after="40"/>
              <w:rPr>
                <w:rFonts w:ascii="Times" w:hAnsi="Times"/>
                <w:i/>
              </w:rPr>
            </w:pPr>
            <w:r>
              <w:rPr>
                <w:i/>
              </w:rPr>
              <w:t>Magistrates Court (Fees) Amendment Regulations 2015</w:t>
            </w:r>
          </w:p>
        </w:tc>
        <w:tc>
          <w:tcPr>
            <w:tcW w:w="1276" w:type="dxa"/>
          </w:tcPr>
          <w:p>
            <w:pPr>
              <w:pStyle w:val="nTable"/>
              <w:spacing w:after="40"/>
              <w:rPr>
                <w:rFonts w:ascii="Times" w:hAnsi="Times"/>
              </w:rPr>
            </w:pPr>
            <w:r>
              <w:t>10 Feb 2015 p. 613</w:t>
            </w:r>
          </w:p>
        </w:tc>
        <w:tc>
          <w:tcPr>
            <w:tcW w:w="2693" w:type="dxa"/>
          </w:tcPr>
          <w:p>
            <w:pPr>
              <w:pStyle w:val="nTable"/>
              <w:keepNext/>
              <w:spacing w:after="40"/>
              <w:rPr>
                <w:rFonts w:ascii="Times" w:hAnsi="Times"/>
                <w:snapToGrid w:val="0"/>
              </w:rPr>
            </w:pPr>
            <w:r>
              <w:rPr>
                <w:rFonts w:ascii="Times" w:hAnsi="Times"/>
                <w:snapToGrid w:val="0"/>
              </w:rPr>
              <w:t>r. 1 and 2: 10 Feb 2015 (see r. 2(a));</w:t>
            </w:r>
            <w:r>
              <w:rPr>
                <w:rFonts w:ascii="Times" w:hAnsi="Times"/>
                <w:snapToGrid w:val="0"/>
              </w:rPr>
              <w:br/>
              <w:t xml:space="preserve">Regulations other than r. 1 and 2: 27 Apr 2015 (see r. 2(b) and </w:t>
            </w:r>
            <w:r>
              <w:rPr>
                <w:rFonts w:ascii="Times" w:hAnsi="Times"/>
                <w:i/>
                <w:snapToGrid w:val="0"/>
              </w:rPr>
              <w:t>Gazette</w:t>
            </w:r>
            <w:r>
              <w:rPr>
                <w:rFonts w:ascii="Times" w:hAnsi="Times"/>
                <w:snapToGrid w:val="0"/>
              </w:rPr>
              <w:t xml:space="preserve"> 17 Apr 2015 p. 1371)</w:t>
            </w:r>
          </w:p>
        </w:tc>
      </w:tr>
      <w:tr>
        <w:tc>
          <w:tcPr>
            <w:tcW w:w="3118" w:type="dxa"/>
          </w:tcPr>
          <w:p>
            <w:pPr>
              <w:pStyle w:val="nTable"/>
              <w:spacing w:after="40"/>
              <w:rPr>
                <w:i/>
              </w:rPr>
            </w:pPr>
            <w:r>
              <w:rPr>
                <w:i/>
              </w:rPr>
              <w:t>Magistrates Court (Fees) Amendment Regulations (No. 2) 2015</w:t>
            </w:r>
          </w:p>
        </w:tc>
        <w:tc>
          <w:tcPr>
            <w:tcW w:w="1276" w:type="dxa"/>
          </w:tcPr>
          <w:p>
            <w:pPr>
              <w:pStyle w:val="nTable"/>
              <w:spacing w:after="40"/>
            </w:pPr>
            <w:r>
              <w:t>19 Jun 2015 p. 2124</w:t>
            </w:r>
            <w:r>
              <w:noBreakHyphen/>
              <w:t>7</w:t>
            </w:r>
          </w:p>
        </w:tc>
        <w:tc>
          <w:tcPr>
            <w:tcW w:w="2693" w:type="dxa"/>
          </w:tcPr>
          <w:p>
            <w:pPr>
              <w:pStyle w:val="nTable"/>
              <w:keepNext/>
              <w:spacing w:after="40"/>
              <w:rPr>
                <w:rFonts w:ascii="Times" w:hAnsi="Times"/>
                <w:snapToGrid w:val="0"/>
              </w:rPr>
            </w:pPr>
            <w:r>
              <w:rPr>
                <w:rFonts w:ascii="Times" w:hAnsi="Times"/>
                <w:snapToGrid w:val="0"/>
              </w:rPr>
              <w:t xml:space="preserve">r. 1 and 2: </w:t>
            </w:r>
            <w:r>
              <w:t>19 Jun 2015</w:t>
            </w:r>
            <w:r>
              <w:rPr>
                <w:rFonts w:ascii="Times" w:hAnsi="Times"/>
                <w:snapToGrid w:val="0"/>
              </w:rPr>
              <w:t xml:space="preserve"> (see r. 2(a));</w:t>
            </w:r>
            <w:r>
              <w:rPr>
                <w:rFonts w:ascii="Times" w:hAnsi="Times"/>
                <w:snapToGrid w:val="0"/>
              </w:rPr>
              <w:br/>
              <w:t>Regulations other than r. 1 and 2: 1 Jul 2015 (see r. 2(b)(i))</w:t>
            </w:r>
          </w:p>
        </w:tc>
      </w:tr>
      <w:tr>
        <w:tc>
          <w:tcPr>
            <w:tcW w:w="3118" w:type="dxa"/>
            <w:shd w:val="clear" w:color="auto" w:fill="auto"/>
          </w:tcPr>
          <w:p>
            <w:pPr>
              <w:pStyle w:val="nTable"/>
              <w:spacing w:after="40"/>
              <w:rPr>
                <w:i/>
              </w:rPr>
            </w:pPr>
            <w:r>
              <w:rPr>
                <w:i/>
              </w:rPr>
              <w:t>Magistrates Court (Fees) Amendment Regulations (No. 3) 2015</w:t>
            </w:r>
          </w:p>
        </w:tc>
        <w:tc>
          <w:tcPr>
            <w:tcW w:w="1276" w:type="dxa"/>
            <w:shd w:val="clear" w:color="auto" w:fill="auto"/>
          </w:tcPr>
          <w:p>
            <w:pPr>
              <w:pStyle w:val="nTable"/>
              <w:spacing w:after="40"/>
            </w:pPr>
            <w:r>
              <w:t>4 Sep 2015 p. 3695</w:t>
            </w:r>
          </w:p>
        </w:tc>
        <w:tc>
          <w:tcPr>
            <w:tcW w:w="2693" w:type="dxa"/>
            <w:shd w:val="clear" w:color="auto" w:fill="auto"/>
          </w:tcPr>
          <w:p>
            <w:pPr>
              <w:pStyle w:val="nTable"/>
              <w:keepNext/>
              <w:spacing w:after="40"/>
              <w:rPr>
                <w:rFonts w:ascii="Times" w:hAnsi="Times"/>
                <w:snapToGrid w:val="0"/>
              </w:rPr>
            </w:pPr>
            <w:r>
              <w:rPr>
                <w:rFonts w:ascii="Times" w:hAnsi="Times"/>
                <w:snapToGrid w:val="0"/>
              </w:rPr>
              <w:t>r. 1 and 2: 4</w:t>
            </w:r>
            <w:r>
              <w:t xml:space="preserve"> Sep 2015</w:t>
            </w:r>
            <w:r>
              <w:rPr>
                <w:rFonts w:ascii="Times" w:hAnsi="Times"/>
                <w:snapToGrid w:val="0"/>
              </w:rPr>
              <w:t xml:space="preserve"> (see r. 2(a));</w:t>
            </w:r>
            <w:r>
              <w:rPr>
                <w:rFonts w:ascii="Times" w:hAnsi="Times"/>
                <w:snapToGrid w:val="0"/>
              </w:rPr>
              <w:br/>
              <w:t>Regulations other than r. 1 and 2: 5 Sep 2015 (see r. 2(b))</w:t>
            </w:r>
          </w:p>
        </w:tc>
      </w:tr>
      <w:tr>
        <w:tc>
          <w:tcPr>
            <w:tcW w:w="7087" w:type="dxa"/>
            <w:gridSpan w:val="3"/>
            <w:tcBorders>
              <w:bottom w:val="single" w:sz="8" w:space="0" w:color="auto"/>
            </w:tcBorders>
            <w:shd w:val="clear" w:color="auto" w:fill="auto"/>
          </w:tcPr>
          <w:p>
            <w:pPr>
              <w:pStyle w:val="nTable"/>
              <w:keepNext/>
              <w:spacing w:after="40"/>
              <w:rPr>
                <w:rFonts w:ascii="Times" w:hAnsi="Times"/>
                <w:snapToGrid w:val="0"/>
              </w:rPr>
            </w:pPr>
            <w:r>
              <w:rPr>
                <w:rFonts w:ascii="Times" w:hAnsi="Times"/>
                <w:b/>
                <w:snapToGrid w:val="0"/>
              </w:rPr>
              <w:t xml:space="preserve">Reprint 3: The </w:t>
            </w:r>
            <w:r>
              <w:rPr>
                <w:rFonts w:ascii="Times" w:hAnsi="Times"/>
                <w:b/>
                <w:i/>
                <w:noProof/>
                <w:snapToGrid w:val="0"/>
              </w:rPr>
              <w:t>Magistrates Court (Fees) Regulations 2005</w:t>
            </w:r>
            <w:r>
              <w:rPr>
                <w:rFonts w:ascii="Times" w:hAnsi="Times"/>
                <w:b/>
                <w:snapToGrid w:val="0"/>
              </w:rPr>
              <w:t xml:space="preserve"> as at 3 Dec 2015</w:t>
            </w:r>
            <w:r>
              <w:rPr>
                <w:rFonts w:ascii="Times" w:hAnsi="Times"/>
                <w:snapToGrid w:val="0"/>
              </w:rPr>
              <w:t xml:space="preserve"> (includes amendments listed above)</w:t>
            </w:r>
          </w:p>
        </w:tc>
      </w:tr>
    </w:tbl>
    <w:p>
      <w:pPr>
        <w:pStyle w:val="nSubsection"/>
        <w:spacing w:before="180"/>
      </w:pPr>
      <w:r>
        <w:rPr>
          <w:vertAlign w:val="superscript"/>
        </w:rPr>
        <w:t>2</w:t>
      </w:r>
      <w:r>
        <w:tab/>
        <w:t xml:space="preserve">The </w:t>
      </w:r>
      <w:r>
        <w:rPr>
          <w:i/>
        </w:rPr>
        <w:t>Companies (Co</w:t>
      </w:r>
      <w:r>
        <w:rPr>
          <w:i/>
        </w:rPr>
        <w:noBreakHyphen/>
        <w:t>operative) Act 1943</w:t>
      </w:r>
      <w:r>
        <w:t xml:space="preserve"> was repealed by the </w:t>
      </w:r>
      <w:r>
        <w:rPr>
          <w:i/>
        </w:rPr>
        <w:t>Co-operatives Act 2009</w:t>
      </w:r>
      <w:r>
        <w:t>.</w:t>
      </w:r>
    </w:p>
    <w:p>
      <w:pPr>
        <w:pStyle w:val="nSubsection"/>
      </w:pPr>
      <w:r>
        <w:rPr>
          <w:vertAlign w:val="superscript"/>
        </w:rPr>
        <w:t>3</w:t>
      </w:r>
      <w:r>
        <w:tab/>
        <w:t xml:space="preserve">The Table to r. 4 of 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xml:space="preserve"> included amendments to Schedule 1 Divisions 2 and 3.  These amendments are not included because the instruction in r. 4 referred only to Schedule 1 Division 1.</w:t>
      </w: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9" w:name="_Toc433189156"/>
      <w:r>
        <w:rPr>
          <w:sz w:val="28"/>
        </w:rPr>
        <w:t>Defined terms</w:t>
      </w:r>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case statement</w:t>
      </w:r>
      <w:r>
        <w:tab/>
        <w:t>3</w:t>
      </w:r>
    </w:p>
    <w:p>
      <w:pPr>
        <w:pStyle w:val="DefinedTerms"/>
      </w:pPr>
      <w:r>
        <w:t>claim</w:t>
      </w:r>
      <w:r>
        <w:tab/>
        <w:t>3</w:t>
      </w:r>
    </w:p>
    <w:p>
      <w:pPr>
        <w:pStyle w:val="DefinedTerms"/>
      </w:pPr>
      <w:r>
        <w:t>claimant</w:t>
      </w:r>
      <w:r>
        <w:tab/>
        <w:t>3</w:t>
      </w:r>
    </w:p>
    <w:p>
      <w:pPr>
        <w:pStyle w:val="DefinedTerms"/>
      </w:pPr>
      <w:r>
        <w:t>commencement day</w:t>
      </w:r>
      <w:r>
        <w:tab/>
        <w:t>15(1)</w:t>
      </w:r>
    </w:p>
    <w:p>
      <w:pPr>
        <w:pStyle w:val="DefinedTerms"/>
      </w:pPr>
      <w:r>
        <w:t>corporation</w:t>
      </w:r>
      <w:r>
        <w:tab/>
        <w:t>3</w:t>
      </w:r>
    </w:p>
    <w:p>
      <w:pPr>
        <w:pStyle w:val="DefinedTerms"/>
      </w:pPr>
      <w:r>
        <w:t>counterclaim</w:t>
      </w:r>
      <w:r>
        <w:tab/>
        <w:t>3</w:t>
      </w:r>
    </w:p>
    <w:p>
      <w:pPr>
        <w:pStyle w:val="DefinedTerms"/>
      </w:pPr>
      <w:r>
        <w:t>enforcement officer</w:t>
      </w:r>
      <w:r>
        <w:tab/>
        <w:t>3</w:t>
      </w:r>
    </w:p>
    <w:p>
      <w:pPr>
        <w:pStyle w:val="DefinedTerms"/>
      </w:pPr>
      <w:r>
        <w:t>Form</w:t>
      </w:r>
      <w:r>
        <w:tab/>
        <w:t>3</w:t>
      </w:r>
    </w:p>
    <w:p>
      <w:pPr>
        <w:pStyle w:val="DefinedTerms"/>
      </w:pPr>
      <w:r>
        <w:t>individual</w:t>
      </w:r>
      <w:r>
        <w:tab/>
        <w:t>3</w:t>
      </w:r>
    </w:p>
    <w:p>
      <w:pPr>
        <w:pStyle w:val="DefinedTerms"/>
      </w:pPr>
      <w:r>
        <w:t>minor cases procedure</w:t>
      </w:r>
      <w:r>
        <w:tab/>
        <w:t>3</w:t>
      </w:r>
    </w:p>
    <w:p>
      <w:pPr>
        <w:pStyle w:val="DefinedTerms"/>
      </w:pPr>
      <w:r>
        <w:t>non</w:t>
      </w:r>
      <w:r>
        <w:noBreakHyphen/>
        <w:t>profit association</w:t>
      </w:r>
      <w:r>
        <w:tab/>
        <w:t>3</w:t>
      </w:r>
    </w:p>
    <w:p>
      <w:pPr>
        <w:pStyle w:val="DefinedTerms"/>
      </w:pPr>
      <w:r>
        <w:t>party</w:t>
      </w:r>
      <w:r>
        <w:tab/>
        <w:t>3</w:t>
      </w:r>
    </w:p>
    <w:p>
      <w:pPr>
        <w:pStyle w:val="DefinedTerms"/>
      </w:pPr>
      <w:r>
        <w:t>prosecution notice</w:t>
      </w:r>
      <w:r>
        <w:tab/>
        <w:t>3</w:t>
      </w:r>
    </w:p>
    <w:p>
      <w:pPr>
        <w:pStyle w:val="DefinedTerms"/>
      </w:pPr>
      <w:r>
        <w:t>respondent</w:t>
      </w:r>
      <w:r>
        <w:tab/>
        <w:t>6(2)</w:t>
      </w:r>
    </w:p>
    <w:p>
      <w:pPr>
        <w:pStyle w:val="DefinedTerms"/>
      </w:pPr>
      <w:r>
        <w:t>small business</w:t>
      </w:r>
      <w:r>
        <w:tab/>
        <w:t>3</w:t>
      </w:r>
    </w:p>
    <w:p>
      <w:pPr>
        <w:pStyle w:val="DefinedTerms"/>
      </w:pPr>
      <w:r>
        <w:t>subsidiary</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MHv+pfICAACB&#10;BgAADgAAAAAAAAAAAAAAAAAuAgAAZHJzL2Uyb0RvYy54bWxQSwECLQAUAAYACAAAACEAaCLERNsA&#10;AAAEAQAADwAAAAAAAAAAAAAAAABMBQAAZHJzL2Rvd25yZXYueG1sUEsFBgAAAAAEAAQA8wAAAFQG&#10;AAAAAA==&#10;" stroked="f" strokeweight=".5pt">
                <v:textbox>
                  <w:txbxContent>
                    <w:p w:rsidR="002E7965" w:rsidRDefault="002E7965">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lvlText w:val="%1."/>
      <w:lvlJc w:val="left"/>
      <w:pPr>
        <w:tabs>
          <w:tab w:val="num" w:pos="1492"/>
        </w:tabs>
        <w:ind w:left="1492" w:hanging="360"/>
      </w:pPr>
    </w:lvl>
  </w:abstractNum>
  <w:abstractNum w:abstractNumId="1">
    <w:nsid w:val="FFFFFF7D"/>
    <w:multiLevelType w:val="singleLevel"/>
    <w:tmpl w:val="83ACD1DA"/>
    <w:lvl w:ilvl="0">
      <w:start w:val="1"/>
      <w:numFmt w:val="decimal"/>
      <w:lvlText w:val="%1."/>
      <w:lvlJc w:val="left"/>
      <w:pPr>
        <w:tabs>
          <w:tab w:val="num" w:pos="1209"/>
        </w:tabs>
        <w:ind w:left="1209" w:hanging="360"/>
      </w:pPr>
    </w:lvl>
  </w:abstractNum>
  <w:abstractNum w:abstractNumId="2">
    <w:nsid w:val="FFFFFF7E"/>
    <w:multiLevelType w:val="singleLevel"/>
    <w:tmpl w:val="48FEBBF6"/>
    <w:lvl w:ilvl="0">
      <w:start w:val="1"/>
      <w:numFmt w:val="decimal"/>
      <w:lvlText w:val="%1."/>
      <w:lvlJc w:val="left"/>
      <w:pPr>
        <w:tabs>
          <w:tab w:val="num" w:pos="926"/>
        </w:tabs>
        <w:ind w:left="926" w:hanging="360"/>
      </w:pPr>
    </w:lvl>
  </w:abstractNum>
  <w:abstractNum w:abstractNumId="3">
    <w:nsid w:val="FFFFFF7F"/>
    <w:multiLevelType w:val="singleLevel"/>
    <w:tmpl w:val="A8D80558"/>
    <w:lvl w:ilvl="0">
      <w:start w:val="1"/>
      <w:numFmt w:val="decimal"/>
      <w:lvlText w:val="%1."/>
      <w:lvlJc w:val="left"/>
      <w:pPr>
        <w:tabs>
          <w:tab w:val="num" w:pos="643"/>
        </w:tabs>
        <w:ind w:left="643" w:hanging="360"/>
      </w:pPr>
    </w:lvl>
  </w:abstractNum>
  <w:abstractNum w:abstractNumId="4">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lvlText w:val="%1."/>
      <w:lvlJc w:val="left"/>
      <w:pPr>
        <w:tabs>
          <w:tab w:val="num" w:pos="360"/>
        </w:tabs>
        <w:ind w:left="360" w:hanging="360"/>
      </w:pPr>
    </w:lvl>
  </w:abstractNum>
  <w:abstractNum w:abstractNumId="9">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07246AF"/>
    <w:multiLevelType w:val="multilevel"/>
    <w:tmpl w:val="7EB0BE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095415"/>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DF4F8-9332-4597-B220-E32DF839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7181</Words>
  <Characters>35048</Characters>
  <Application>Microsoft Office Word</Application>
  <DocSecurity>0</DocSecurity>
  <Lines>1401</Lines>
  <Paragraphs>715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2005 - 03-00-00</dc:title>
  <dc:subject/>
  <dc:creator/>
  <cp:keywords/>
  <dc:description/>
  <cp:lastModifiedBy>svcMRProcess</cp:lastModifiedBy>
  <cp:revision>4</cp:revision>
  <cp:lastPrinted>2015-12-03T08:22:00Z</cp:lastPrinted>
  <dcterms:created xsi:type="dcterms:W3CDTF">2020-03-26T04:18:00Z</dcterms:created>
  <dcterms:modified xsi:type="dcterms:W3CDTF">2020-03-26T04:18:00Z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CommencementDate">
    <vt:lpwstr>20151203</vt:lpwstr>
  </property>
  <property fmtid="{D5CDD505-2E9C-101B-9397-08002B2CF9AE}" pid="6" name="AsAtDate">
    <vt:lpwstr>03 Dec 2015</vt:lpwstr>
  </property>
  <property fmtid="{D5CDD505-2E9C-101B-9397-08002B2CF9AE}" pid="7" name="Suffix">
    <vt:lpwstr>03-00-00</vt:lpwstr>
  </property>
  <property fmtid="{D5CDD505-2E9C-101B-9397-08002B2CF9AE}" pid="8" name="ReprintedAsAt">
    <vt:filetime>2015-12-02T16:00:00Z</vt:filetime>
  </property>
  <property fmtid="{D5CDD505-2E9C-101B-9397-08002B2CF9AE}" pid="9" name="ReprintNo">
    <vt:lpwstr>3</vt:lpwstr>
  </property>
</Properties>
</file>