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Salaries and Allowances Act 1975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_Toc425172681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r>
        <w:tab/>
      </w:r>
      <w:r>
        <w:fldChar w:fldCharType="begin"/>
      </w:r>
      <w:r>
        <w:instrText xml:space="preserve"> PAGEREF _Toc425172682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_Toc425172683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_Toc425172685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66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3" w:name="_Toc406084123"/>
      <w:bookmarkStart w:id="4" w:name="_Toc4251726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5" w:name="_Toc406084124"/>
      <w:bookmarkStart w:id="6" w:name="_Toc4251726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7" w:name="_Toc406084125"/>
      <w:bookmarkStart w:id="8" w:name="_Toc425172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lastRenderedPageBreak/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lastRenderedPageBreak/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5181; amended by Act No. 75 of 2003 s. 56(1); No. 29 of 2006 s. 13(2).]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06084126"/>
      <w:bookmarkStart w:id="10" w:name="_Toc425172684"/>
      <w:r>
        <w:lastRenderedPageBreak/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1" w:name="_Toc406084127"/>
      <w:bookmarkStart w:id="12" w:name="_Toc425172685"/>
      <w:r>
        <w:rPr>
          <w:snapToGrid w:val="0"/>
        </w:rPr>
        <w:t>Compilation table</w:t>
      </w:r>
      <w:bookmarkEnd w:id="11"/>
      <w:bookmarkEnd w:id="12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Dec 2015 p. 5181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29 Dec 2015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30</w:t>
            </w:r>
            <w:r>
              <w:rPr>
                <w:rFonts w:ascii="Times" w:hAnsi="Times"/>
              </w:rPr>
              <w:t> Dec 2015 (see r. 2(b))</w:t>
            </w:r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62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1542</Words>
  <Characters>7668</Characters>
  <Application>Microsoft Office Word</Application>
  <DocSecurity>0</DocSecurity>
  <Lines>365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1975 - 03-c0-00</dc:title>
  <dc:subject/>
  <dc:creator/>
  <cp:keywords/>
  <dc:description/>
  <cp:lastModifiedBy>svcMRProcess</cp:lastModifiedBy>
  <cp:revision>4</cp:revision>
  <cp:lastPrinted>2013-08-02T00:51:00Z</cp:lastPrinted>
  <dcterms:created xsi:type="dcterms:W3CDTF">2015-12-29T06:01:00Z</dcterms:created>
  <dcterms:modified xsi:type="dcterms:W3CDTF">2015-12-29T06:01:00Z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AsAtDate">
    <vt:lpwstr>30 Dec 2015</vt:lpwstr>
  </property>
  <property fmtid="{D5CDD505-2E9C-101B-9397-08002B2CF9AE}" pid="8" name="Suffix">
    <vt:lpwstr>03-c0-00</vt:lpwstr>
  </property>
  <property fmtid="{D5CDD505-2E9C-101B-9397-08002B2CF9AE}" pid="9" name="CommencementDate">
    <vt:lpwstr>20151230</vt:lpwstr>
  </property>
</Properties>
</file>