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_Toc438112235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_Toc438112236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_Toc438112237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_Toc438112238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_Toc438112239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_Toc438112240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_Toc438112241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_Toc438112242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_Toc438112243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_Toc438112244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_Toc438112245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_Toc438112246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_Toc438112247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_Toc438112248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_Toc438112249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_Toc438112250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_Toc438112251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_Toc438112252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_Toc438112253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_Toc438112254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_Toc438112255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_Toc438112256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_Toc438112261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07626555"/>
      <w:bookmarkStart w:id="4" w:name="_Toc438112235"/>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38112236"/>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7" w:name="_Toc407626557"/>
      <w:bookmarkStart w:id="8" w:name="_Toc438112237"/>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9" w:name="_Toc407626558"/>
      <w:bookmarkStart w:id="10" w:name="_Toc438112238"/>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1" w:name="_Toc407626559"/>
      <w:bookmarkStart w:id="12" w:name="_Toc438112239"/>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3" w:name="_Toc407626560"/>
      <w:bookmarkStart w:id="14" w:name="_Toc438112240"/>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$456; and</w:t>
      </w:r>
    </w:p>
    <w:p>
      <w:pPr>
        <w:pStyle w:val="Indenta"/>
        <w:rPr>
          <w:snapToGrid w:val="0"/>
        </w:rPr>
      </w:pPr>
      <w:r>
        <w:rPr>
          <w:snapToGrid w:val="0"/>
        </w:rPr>
        <w:tab/>
        <w:t>(b)</w:t>
      </w:r>
      <w:r>
        <w:rPr>
          <w:snapToGrid w:val="0"/>
        </w:rPr>
        <w:tab/>
        <w:t xml:space="preserve">for a casino employee licence, is </w:t>
      </w:r>
      <w:r>
        <w:t>$285.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$126; and</w:t>
      </w:r>
    </w:p>
    <w:p>
      <w:pPr>
        <w:pStyle w:val="Indenta"/>
        <w:rPr>
          <w:snapToGrid w:val="0"/>
        </w:rPr>
      </w:pPr>
      <w:r>
        <w:rPr>
          <w:snapToGrid w:val="0"/>
        </w:rPr>
        <w:tab/>
        <w:t>(b)</w:t>
      </w:r>
      <w:r>
        <w:rPr>
          <w:snapToGrid w:val="0"/>
        </w:rPr>
        <w:tab/>
        <w:t xml:space="preserve">for the renewal of a casino employee licence, is </w:t>
      </w:r>
      <w:r>
        <w:t>$126.</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w:t>
      </w:r>
    </w:p>
    <w:p>
      <w:pPr>
        <w:pStyle w:val="Heading5"/>
        <w:rPr>
          <w:snapToGrid w:val="0"/>
        </w:rPr>
      </w:pPr>
      <w:bookmarkStart w:id="15" w:name="_Toc407626561"/>
      <w:bookmarkStart w:id="16" w:name="_Toc438112241"/>
      <w:r>
        <w:rPr>
          <w:rStyle w:val="CharSectno"/>
        </w:rPr>
        <w:t>7</w:t>
      </w:r>
      <w:r>
        <w:rPr>
          <w:snapToGrid w:val="0"/>
        </w:rPr>
        <w:t xml:space="preserve">. </w:t>
      </w:r>
      <w:r>
        <w:rPr>
          <w:snapToGrid w:val="0"/>
        </w:rPr>
        <w:tab/>
        <w:t>Consideration of application</w:t>
      </w:r>
      <w:bookmarkEnd w:id="15"/>
      <w:bookmarkEnd w:id="1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7" w:name="_Toc407626562"/>
      <w:bookmarkStart w:id="18" w:name="_Toc438112242"/>
      <w:r>
        <w:rPr>
          <w:rStyle w:val="CharSectno"/>
        </w:rPr>
        <w:t>8</w:t>
      </w:r>
      <w:r>
        <w:rPr>
          <w:snapToGrid w:val="0"/>
        </w:rPr>
        <w:t xml:space="preserve">. </w:t>
      </w:r>
      <w:r>
        <w:rPr>
          <w:snapToGrid w:val="0"/>
        </w:rPr>
        <w:tab/>
        <w:t>Commission may grant or refuse licence</w:t>
      </w:r>
      <w:bookmarkEnd w:id="17"/>
      <w:bookmarkEnd w:id="1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9" w:name="_Toc407626563"/>
      <w:bookmarkStart w:id="20" w:name="_Toc438112243"/>
      <w:r>
        <w:rPr>
          <w:rStyle w:val="CharSectno"/>
        </w:rPr>
        <w:t>9</w:t>
      </w:r>
      <w:r>
        <w:rPr>
          <w:snapToGrid w:val="0"/>
        </w:rPr>
        <w:t xml:space="preserve">. </w:t>
      </w:r>
      <w:r>
        <w:rPr>
          <w:snapToGrid w:val="0"/>
        </w:rPr>
        <w:tab/>
        <w:t>Issue of licence</w:t>
      </w:r>
      <w:bookmarkEnd w:id="19"/>
      <w:bookmarkEnd w:id="2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1" w:name="_Toc407626564"/>
      <w:bookmarkStart w:id="22" w:name="_Toc438112244"/>
      <w:r>
        <w:rPr>
          <w:rStyle w:val="CharSectno"/>
        </w:rPr>
        <w:t>10</w:t>
      </w:r>
      <w:r>
        <w:rPr>
          <w:snapToGrid w:val="0"/>
        </w:rPr>
        <w:t xml:space="preserve">. </w:t>
      </w:r>
      <w:r>
        <w:rPr>
          <w:snapToGrid w:val="0"/>
        </w:rPr>
        <w:tab/>
        <w:t>Custody of licence</w:t>
      </w:r>
      <w:bookmarkEnd w:id="21"/>
      <w:bookmarkEnd w:id="2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3" w:name="_Toc407626565"/>
      <w:bookmarkStart w:id="24" w:name="_Toc438112245"/>
      <w:r>
        <w:rPr>
          <w:rStyle w:val="CharSectno"/>
        </w:rPr>
        <w:t>11</w:t>
      </w:r>
      <w:r>
        <w:rPr>
          <w:snapToGrid w:val="0"/>
        </w:rPr>
        <w:t xml:space="preserve">. </w:t>
      </w:r>
      <w:r>
        <w:rPr>
          <w:snapToGrid w:val="0"/>
        </w:rPr>
        <w:tab/>
        <w:t>Display of identification</w:t>
      </w:r>
      <w:bookmarkEnd w:id="23"/>
      <w:bookmarkEnd w:id="2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5" w:name="_Toc407626566"/>
      <w:bookmarkStart w:id="26" w:name="_Toc438112246"/>
      <w:r>
        <w:rPr>
          <w:rStyle w:val="CharSectno"/>
        </w:rPr>
        <w:t>12</w:t>
      </w:r>
      <w:r>
        <w:rPr>
          <w:snapToGrid w:val="0"/>
        </w:rPr>
        <w:t xml:space="preserve">. </w:t>
      </w:r>
      <w:r>
        <w:rPr>
          <w:snapToGrid w:val="0"/>
        </w:rPr>
        <w:tab/>
        <w:t>Notification of commencement of employment</w:t>
      </w:r>
      <w:bookmarkEnd w:id="25"/>
      <w:bookmarkEnd w:id="2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7" w:name="_Toc407626567"/>
      <w:bookmarkStart w:id="28" w:name="_Toc438112247"/>
      <w:r>
        <w:rPr>
          <w:rStyle w:val="CharSectno"/>
        </w:rPr>
        <w:t>13</w:t>
      </w:r>
      <w:r>
        <w:rPr>
          <w:snapToGrid w:val="0"/>
        </w:rPr>
        <w:t xml:space="preserve">. </w:t>
      </w:r>
      <w:r>
        <w:rPr>
          <w:snapToGrid w:val="0"/>
        </w:rPr>
        <w:tab/>
        <w:t>Submission of information as to licensees and maintenance of register</w:t>
      </w:r>
      <w:bookmarkEnd w:id="27"/>
      <w:bookmarkEnd w:id="2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9" w:name="_Toc407626568"/>
      <w:bookmarkStart w:id="30" w:name="_Toc438112248"/>
      <w:r>
        <w:rPr>
          <w:rStyle w:val="CharSectno"/>
        </w:rPr>
        <w:t>14</w:t>
      </w:r>
      <w:r>
        <w:rPr>
          <w:snapToGrid w:val="0"/>
        </w:rPr>
        <w:t xml:space="preserve">. </w:t>
      </w:r>
      <w:r>
        <w:rPr>
          <w:snapToGrid w:val="0"/>
        </w:rPr>
        <w:tab/>
        <w:t>Duration of licence</w:t>
      </w:r>
      <w:bookmarkEnd w:id="29"/>
      <w:bookmarkEnd w:id="3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1" w:name="_Toc407626569"/>
      <w:bookmarkStart w:id="32" w:name="_Toc438112249"/>
      <w:r>
        <w:rPr>
          <w:rStyle w:val="CharSectno"/>
        </w:rPr>
        <w:t>14A</w:t>
      </w:r>
      <w:r>
        <w:t>.</w:t>
      </w:r>
      <w:r>
        <w:tab/>
        <w:t>Renewal of licence</w:t>
      </w:r>
      <w:bookmarkEnd w:id="31"/>
      <w:bookmarkEnd w:id="3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3" w:name="_Toc407626570"/>
      <w:bookmarkStart w:id="34" w:name="_Toc438112250"/>
      <w:r>
        <w:rPr>
          <w:rStyle w:val="CharSectno"/>
        </w:rPr>
        <w:t>15</w:t>
      </w:r>
      <w:r>
        <w:rPr>
          <w:snapToGrid w:val="0"/>
        </w:rPr>
        <w:t xml:space="preserve">. </w:t>
      </w:r>
      <w:r>
        <w:rPr>
          <w:snapToGrid w:val="0"/>
        </w:rPr>
        <w:tab/>
        <w:t>Cancellation or suspension of licence</w:t>
      </w:r>
      <w:bookmarkEnd w:id="33"/>
      <w:bookmarkEnd w:id="3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35" w:name="_Toc407626571"/>
      <w:bookmarkStart w:id="36" w:name="_Toc438112251"/>
      <w:r>
        <w:rPr>
          <w:rStyle w:val="CharSectno"/>
        </w:rPr>
        <w:t>16</w:t>
      </w:r>
      <w:r>
        <w:t>.</w:t>
      </w:r>
      <w:r>
        <w:tab/>
        <w:t>Letter of censure</w:t>
      </w:r>
      <w:bookmarkEnd w:id="35"/>
      <w:bookmarkEnd w:id="3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7" w:name="_Toc407626572"/>
      <w:bookmarkStart w:id="38" w:name="_Toc438112252"/>
      <w:r>
        <w:rPr>
          <w:rStyle w:val="CharSectno"/>
        </w:rPr>
        <w:t>16A</w:t>
      </w:r>
      <w:r>
        <w:t>.</w:t>
      </w:r>
      <w:r>
        <w:tab/>
        <w:t>Imposition of fine</w:t>
      </w:r>
      <w:bookmarkEnd w:id="37"/>
      <w:bookmarkEnd w:id="3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9" w:name="_Toc407626573"/>
      <w:bookmarkStart w:id="40" w:name="_Toc438112253"/>
      <w:r>
        <w:rPr>
          <w:rStyle w:val="CharSectno"/>
        </w:rPr>
        <w:t>16B</w:t>
      </w:r>
      <w:r>
        <w:t>.</w:t>
      </w:r>
      <w:r>
        <w:tab/>
        <w:t>Combination of punitive measures</w:t>
      </w:r>
      <w:bookmarkEnd w:id="39"/>
      <w:bookmarkEnd w:id="4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1" w:name="_Toc407626574"/>
      <w:bookmarkStart w:id="42" w:name="_Toc438112254"/>
      <w:r>
        <w:rPr>
          <w:rStyle w:val="CharSectno"/>
        </w:rPr>
        <w:t>17</w:t>
      </w:r>
      <w:r>
        <w:rPr>
          <w:snapToGrid w:val="0"/>
        </w:rPr>
        <w:t xml:space="preserve">. </w:t>
      </w:r>
      <w:r>
        <w:rPr>
          <w:snapToGrid w:val="0"/>
        </w:rPr>
        <w:tab/>
        <w:t>Surrender of licence</w:t>
      </w:r>
      <w:bookmarkEnd w:id="41"/>
      <w:bookmarkEnd w:id="4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3" w:name="_Toc407626575"/>
      <w:bookmarkStart w:id="44" w:name="_Toc438112255"/>
      <w:r>
        <w:rPr>
          <w:rStyle w:val="CharSectno"/>
        </w:rPr>
        <w:t>18</w:t>
      </w:r>
      <w:r>
        <w:rPr>
          <w:snapToGrid w:val="0"/>
        </w:rPr>
        <w:t xml:space="preserve">. </w:t>
      </w:r>
      <w:r>
        <w:rPr>
          <w:snapToGrid w:val="0"/>
        </w:rPr>
        <w:tab/>
        <w:t>Termination of employment and notification of termination</w:t>
      </w:r>
      <w:bookmarkEnd w:id="43"/>
      <w:bookmarkEnd w:id="4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5" w:name="_Toc407626576"/>
      <w:bookmarkStart w:id="46" w:name="_Toc438112256"/>
      <w:r>
        <w:rPr>
          <w:rStyle w:val="CharSectno"/>
        </w:rPr>
        <w:t>19</w:t>
      </w:r>
      <w:r>
        <w:rPr>
          <w:snapToGrid w:val="0"/>
        </w:rPr>
        <w:t>.</w:t>
      </w:r>
      <w:r>
        <w:rPr>
          <w:snapToGrid w:val="0"/>
        </w:rPr>
        <w:tab/>
        <w:t>Provisional licences</w:t>
      </w:r>
      <w:bookmarkEnd w:id="45"/>
      <w:bookmarkEnd w:id="4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3720064"/>
      <w:bookmarkStart w:id="48" w:name="_Toc407626577"/>
      <w:bookmarkStart w:id="49" w:name="_Toc415232150"/>
      <w:bookmarkStart w:id="50" w:name="_Toc415232182"/>
      <w:bookmarkStart w:id="51" w:name="_Toc438112257"/>
      <w:r>
        <w:rPr>
          <w:rStyle w:val="CharSchNo"/>
        </w:rPr>
        <w:t>Schedule</w:t>
      </w:r>
      <w:bookmarkEnd w:id="47"/>
      <w:bookmarkEnd w:id="48"/>
      <w:bookmarkEnd w:id="49"/>
      <w:bookmarkEnd w:id="50"/>
      <w:bookmarkEnd w:id="51"/>
    </w:p>
    <w:p>
      <w:pPr>
        <w:pStyle w:val="yEdnotedivision"/>
      </w:pPr>
      <w:r>
        <w:t>[Form 1 deleted in Gazette 14 Oct 2005 p. 4558.]</w:t>
      </w:r>
    </w:p>
    <w:p>
      <w:pPr>
        <w:pStyle w:val="yHeading3"/>
      </w:pPr>
      <w:bookmarkStart w:id="52" w:name="_Toc403720065"/>
      <w:bookmarkStart w:id="53" w:name="_Toc407626578"/>
      <w:bookmarkStart w:id="54" w:name="_Toc415232151"/>
      <w:bookmarkStart w:id="55" w:name="_Toc415232183"/>
      <w:bookmarkStart w:id="56" w:name="_Toc438112258"/>
      <w:r>
        <w:rPr>
          <w:rStyle w:val="CharSClsNo"/>
        </w:rPr>
        <w:t>Form 2</w:t>
      </w:r>
      <w:bookmarkEnd w:id="52"/>
      <w:bookmarkEnd w:id="53"/>
      <w:bookmarkEnd w:id="54"/>
      <w:bookmarkEnd w:id="55"/>
      <w:bookmarkEnd w:id="56"/>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57" w:name="_Toc403720066"/>
      <w:bookmarkStart w:id="58" w:name="_Toc407626579"/>
      <w:bookmarkStart w:id="59" w:name="_Toc415232152"/>
      <w:bookmarkStart w:id="60" w:name="_Toc415232184"/>
      <w:bookmarkStart w:id="61" w:name="_Toc438112259"/>
      <w:r>
        <w:rPr>
          <w:rStyle w:val="CharSClsNo"/>
        </w:rPr>
        <w:t>Form 3</w:t>
      </w:r>
      <w:bookmarkEnd w:id="57"/>
      <w:bookmarkEnd w:id="58"/>
      <w:bookmarkEnd w:id="59"/>
      <w:bookmarkEnd w:id="60"/>
      <w:bookmarkEnd w:id="61"/>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3" w:name="_Toc403720067"/>
      <w:bookmarkStart w:id="64" w:name="_Toc407626580"/>
      <w:bookmarkStart w:id="65" w:name="_Toc415232153"/>
      <w:bookmarkStart w:id="66" w:name="_Toc415232185"/>
      <w:bookmarkStart w:id="67" w:name="_Toc438112260"/>
      <w:r>
        <w:t>Notes</w:t>
      </w:r>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407626581"/>
      <w:bookmarkStart w:id="69" w:name="_Toc438112261"/>
      <w: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rFonts w:ascii="Times" w:hAnsi="Times"/>
                <w:i/>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rFonts w:ascii="Times" w:hAnsi="Times"/>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3</w:t>
            </w:r>
          </w:p>
        </w:tc>
        <w:tc>
          <w:tcPr>
            <w:tcW w:w="1276" w:type="dxa"/>
            <w:gridSpan w:val="2"/>
            <w:tcBorders>
              <w:bottom w:val="single" w:sz="4" w:space="0" w:color="auto"/>
            </w:tcBorders>
          </w:tcPr>
          <w:p>
            <w:pPr>
              <w:pStyle w:val="nTable"/>
              <w:spacing w:after="40"/>
            </w:pPr>
            <w:r>
              <w:t>6 Nov 2015 p. 4581-8</w:t>
            </w:r>
          </w:p>
        </w:tc>
        <w:tc>
          <w:tcPr>
            <w:tcW w:w="2693"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Jan 2016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1" w:name="_Toc415232187"/>
      <w:bookmarkStart w:id="72" w:name="_Toc438112262"/>
      <w:r>
        <w:rPr>
          <w:sz w:val="28"/>
        </w:rPr>
        <w:t>Defined terms</w:t>
      </w:r>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70" w:name="Compilation"/>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7110</Words>
  <Characters>37897</Characters>
  <Application>Microsoft Office Word</Application>
  <DocSecurity>0</DocSecurity>
  <Lines>1052</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1985 - 04-e0-01</dc:title>
  <dc:subject/>
  <dc:creator/>
  <cp:keywords/>
  <dc:description/>
  <cp:lastModifiedBy>svcMRProcess</cp:lastModifiedBy>
  <cp:revision>4</cp:revision>
  <cp:lastPrinted>2014-06-09T07:53:00Z</cp:lastPrinted>
  <dcterms:created xsi:type="dcterms:W3CDTF">2018-09-10T05:33:00Z</dcterms:created>
  <dcterms:modified xsi:type="dcterms:W3CDTF">2018-09-10T05:33:00Z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01 Jan 2016</vt:lpwstr>
  </property>
  <property fmtid="{D5CDD505-2E9C-101B-9397-08002B2CF9AE}" pid="8" name="Suffix">
    <vt:lpwstr>04-e0-01</vt:lpwstr>
  </property>
  <property fmtid="{D5CDD505-2E9C-101B-9397-08002B2CF9AE}" pid="9" name="CommencementDate">
    <vt:lpwstr>20160101</vt:lpwstr>
  </property>
</Properties>
</file>