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Fremantle Hospital By-laws 1992</w:t>
      </w:r>
      <w:r>
        <w:rPr>
          <w:sz w:val="48"/>
        </w:rPr>
        <w:fldChar w:fldCharType="end"/>
      </w:r>
    </w:p>
    <w:p>
      <w:pPr>
        <w:pStyle w:val="ReprintNo"/>
      </w:pPr>
      <w:r>
        <w:t>Reprint 3:  The by-laws as at 4 December 2015</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By-laws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3712A4" w:rsidRDefault="003712A4">
                        <w:pPr>
                          <w:rPr>
                            <w:sz w:val="18"/>
                            <w:szCs w:val="18"/>
                          </w:rPr>
                        </w:pPr>
                        <w:r>
                          <w:rPr>
                            <w:sz w:val="18"/>
                            <w:szCs w:val="18"/>
                          </w:rPr>
                          <w:t>By-laws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3712A4" w:rsidRDefault="003712A4">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3712A4" w:rsidRDefault="003712A4">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3712A4" w:rsidRDefault="003712A4">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by-laws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by-laws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by-law that was inserted, or has been amended, since the by-laws being reprinted were made, editorial notes at the foot of the</w:t>
      </w:r>
      <w:r>
        <w:rPr>
          <w:sz w:val="20"/>
        </w:rPr>
        <w:br/>
        <w:t>by-law give some history of how the by-law came to be as it is.  If the by-law replaced an earlier by-law, no history of the earlier by-law is given (the full history of the by-laws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38"/>
        </w:numPr>
        <w:tabs>
          <w:tab w:val="clear" w:pos="360"/>
          <w:tab w:val="num" w:pos="1197"/>
        </w:tabs>
        <w:ind w:left="1208" w:hanging="357"/>
        <w:rPr>
          <w:sz w:val="20"/>
        </w:rPr>
      </w:pPr>
      <w:r>
        <w:rPr>
          <w:sz w:val="20"/>
        </w:rPr>
        <w:t>removed (because it was repealed or deleted from the law); or</w:t>
      </w:r>
    </w:p>
    <w:p>
      <w:pPr>
        <w:numPr>
          <w:ilvl w:val="0"/>
          <w:numId w:val="38"/>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by-laws have been reprinted.  For example, numbering a reprint as “Reprint 3” would mean that the reprint was the 3</w:t>
      </w:r>
      <w:r>
        <w:rPr>
          <w:spacing w:val="-3"/>
          <w:sz w:val="20"/>
          <w:vertAlign w:val="superscript"/>
        </w:rPr>
        <w:t>rd</w:t>
      </w:r>
      <w:r>
        <w:rPr>
          <w:spacing w:val="-3"/>
          <w:sz w:val="20"/>
        </w:rPr>
        <w:t xml:space="preserve"> reprint since the by-laws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by-laws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4 December 2015</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Fremantle Hospital By-laws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_Toc437528560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_Toc437528561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_Toc437528562 \h </w:instrText>
      </w:r>
      <w:r>
        <w:fldChar w:fldCharType="separate"/>
      </w:r>
      <w:r>
        <w:t>1</w:t>
      </w:r>
      <w:r>
        <w:fldChar w:fldCharType="end"/>
      </w:r>
    </w:p>
    <w:p>
      <w:pPr>
        <w:pStyle w:val="TOC8"/>
        <w:rPr>
          <w:rFonts w:asciiTheme="minorHAnsi" w:eastAsiaTheme="minorEastAsia" w:hAnsiTheme="minorHAnsi" w:cstheme="minorBidi"/>
          <w:szCs w:val="22"/>
        </w:rPr>
      </w:pPr>
      <w:r>
        <w:t>4A.</w:t>
      </w:r>
      <w:r>
        <w:tab/>
        <w:t>Appointment of authorised persons</w:t>
      </w:r>
      <w:r>
        <w:tab/>
      </w:r>
      <w:r>
        <w:fldChar w:fldCharType="begin"/>
      </w:r>
      <w:r>
        <w:instrText xml:space="preserve"> PAGEREF _Toc437528563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4</w:t>
      </w:r>
      <w:r>
        <w:rPr>
          <w:snapToGrid w:val="0"/>
        </w:rPr>
        <w:t>.</w:t>
      </w:r>
      <w:r>
        <w:rPr>
          <w:snapToGrid w:val="0"/>
        </w:rPr>
        <w:tab/>
        <w:t>No entry without reasonable excuse</w:t>
      </w:r>
      <w:r>
        <w:tab/>
      </w:r>
      <w:r>
        <w:fldChar w:fldCharType="begin"/>
      </w:r>
      <w:r>
        <w:instrText xml:space="preserve"> PAGEREF _Toc437528565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Directions as to use of certain areas</w:t>
      </w:r>
      <w:r>
        <w:tab/>
      </w:r>
      <w:r>
        <w:fldChar w:fldCharType="begin"/>
      </w:r>
      <w:r>
        <w:instrText xml:space="preserve"> PAGEREF _Toc437528566 \h </w:instrText>
      </w:r>
      <w:r>
        <w:fldChar w:fldCharType="separate"/>
      </w:r>
      <w:r>
        <w:t>4</w:t>
      </w:r>
      <w:r>
        <w:fldChar w:fldCharType="end"/>
      </w:r>
    </w:p>
    <w:p>
      <w:pPr>
        <w:pStyle w:val="TOC8"/>
        <w:rPr>
          <w:rFonts w:asciiTheme="minorHAnsi" w:eastAsiaTheme="minorEastAsia" w:hAnsiTheme="minorHAnsi" w:cstheme="minorBidi"/>
          <w:szCs w:val="22"/>
        </w:rPr>
      </w:pPr>
      <w:r>
        <w:t>6.</w:t>
      </w:r>
      <w:r>
        <w:tab/>
        <w:t>Prohibited items</w:t>
      </w:r>
      <w:r>
        <w:tab/>
      </w:r>
      <w:r>
        <w:fldChar w:fldCharType="begin"/>
      </w:r>
      <w:r>
        <w:instrText xml:space="preserve"> PAGEREF _Toc437528567 \h </w:instrText>
      </w:r>
      <w:r>
        <w:fldChar w:fldCharType="separate"/>
      </w:r>
      <w:r>
        <w:t>4</w:t>
      </w:r>
      <w:r>
        <w:fldChar w:fldCharType="end"/>
      </w:r>
    </w:p>
    <w:p>
      <w:pPr>
        <w:pStyle w:val="TOC8"/>
        <w:rPr>
          <w:rFonts w:asciiTheme="minorHAnsi" w:eastAsiaTheme="minorEastAsia" w:hAnsiTheme="minorHAnsi" w:cstheme="minorBidi"/>
          <w:szCs w:val="22"/>
        </w:rPr>
      </w:pPr>
      <w:r>
        <w:t>7.</w:t>
      </w:r>
      <w:r>
        <w:tab/>
        <w:t>Smoking</w:t>
      </w:r>
      <w:r>
        <w:tab/>
      </w:r>
      <w:r>
        <w:fldChar w:fldCharType="begin"/>
      </w:r>
      <w:r>
        <w:instrText xml:space="preserve"> PAGEREF _Toc437528568 \h </w:instrText>
      </w:r>
      <w:r>
        <w:fldChar w:fldCharType="separate"/>
      </w:r>
      <w:r>
        <w:t>5</w:t>
      </w:r>
      <w:r>
        <w:fldChar w:fldCharType="end"/>
      </w:r>
    </w:p>
    <w:p>
      <w:pPr>
        <w:pStyle w:val="TOC8"/>
        <w:rPr>
          <w:rFonts w:asciiTheme="minorHAnsi" w:eastAsiaTheme="minorEastAsia" w:hAnsiTheme="minorHAnsi" w:cstheme="minorBidi"/>
          <w:szCs w:val="22"/>
        </w:rPr>
      </w:pPr>
      <w:r>
        <w:t>8.</w:t>
      </w:r>
      <w:r>
        <w:tab/>
        <w:t>Persons may be directed to leave site</w:t>
      </w:r>
      <w:r>
        <w:tab/>
      </w:r>
      <w:r>
        <w:fldChar w:fldCharType="begin"/>
      </w:r>
      <w:r>
        <w:instrText xml:space="preserve"> PAGEREF _Toc437528569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Driving and use of vehicles</w:t>
      </w:r>
    </w:p>
    <w:p>
      <w:pPr>
        <w:pStyle w:val="TOC8"/>
        <w:rPr>
          <w:rFonts w:asciiTheme="minorHAnsi" w:eastAsiaTheme="minorEastAsia" w:hAnsiTheme="minorHAnsi" w:cstheme="minorBidi"/>
          <w:szCs w:val="22"/>
        </w:rPr>
      </w:pPr>
      <w:r>
        <w:t>9</w:t>
      </w:r>
      <w:r>
        <w:rPr>
          <w:snapToGrid w:val="0"/>
        </w:rPr>
        <w:t>.</w:t>
      </w:r>
      <w:r>
        <w:rPr>
          <w:snapToGrid w:val="0"/>
        </w:rPr>
        <w:tab/>
        <w:t>Driving of vehicles</w:t>
      </w:r>
      <w:r>
        <w:tab/>
      </w:r>
      <w:r>
        <w:fldChar w:fldCharType="begin"/>
      </w:r>
      <w:r>
        <w:instrText xml:space="preserve"> PAGEREF _Toc437528572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Driver to obey reasonable direction</w:t>
      </w:r>
      <w:r>
        <w:tab/>
      </w:r>
      <w:r>
        <w:fldChar w:fldCharType="begin"/>
      </w:r>
      <w:r>
        <w:instrText xml:space="preserve"> PAGEREF _Toc437528573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Speed limits</w:t>
      </w:r>
      <w:r>
        <w:tab/>
      </w:r>
      <w:r>
        <w:fldChar w:fldCharType="begin"/>
      </w:r>
      <w:r>
        <w:instrText xml:space="preserve"> PAGEREF _Toc437528574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Giving way</w:t>
      </w:r>
      <w:r>
        <w:tab/>
      </w:r>
      <w:r>
        <w:fldChar w:fldCharType="begin"/>
      </w:r>
      <w:r>
        <w:instrText xml:space="preserve"> PAGEREF _Toc437528575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 instruction or repairs on site</w:t>
      </w:r>
      <w:r>
        <w:tab/>
      </w:r>
      <w:r>
        <w:fldChar w:fldCharType="begin"/>
      </w:r>
      <w:r>
        <w:instrText xml:space="preserve"> PAGEREF _Toc437528576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Parking</w:t>
      </w:r>
    </w:p>
    <w:p>
      <w:pPr>
        <w:pStyle w:val="TOC8"/>
        <w:rPr>
          <w:rFonts w:asciiTheme="minorHAnsi" w:eastAsiaTheme="minorEastAsia" w:hAnsiTheme="minorHAnsi" w:cstheme="minorBidi"/>
          <w:szCs w:val="22"/>
        </w:rPr>
      </w:pPr>
      <w:r>
        <w:t>14</w:t>
      </w:r>
      <w:r>
        <w:rPr>
          <w:snapToGrid w:val="0"/>
        </w:rPr>
        <w:t>.</w:t>
      </w:r>
      <w:r>
        <w:rPr>
          <w:snapToGrid w:val="0"/>
        </w:rPr>
        <w:tab/>
        <w:t>Parking to be in parking spaces only</w:t>
      </w:r>
      <w:r>
        <w:tab/>
      </w:r>
      <w:r>
        <w:fldChar w:fldCharType="begin"/>
      </w:r>
      <w:r>
        <w:instrText xml:space="preserve"> PAGEREF _Toc437528578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Signs to be obeyed</w:t>
      </w:r>
      <w:r>
        <w:tab/>
      </w:r>
      <w:r>
        <w:fldChar w:fldCharType="begin"/>
      </w:r>
      <w:r>
        <w:instrText xml:space="preserve"> PAGEREF _Toc437528579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Parking in parking spaces</w:t>
      </w:r>
      <w:r>
        <w:tab/>
      </w:r>
      <w:r>
        <w:fldChar w:fldCharType="begin"/>
      </w:r>
      <w:r>
        <w:instrText xml:space="preserve"> PAGEREF _Toc437528580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Permit</w:t>
      </w:r>
      <w:r>
        <w:tab/>
      </w:r>
      <w:r>
        <w:fldChar w:fldCharType="begin"/>
      </w:r>
      <w:r>
        <w:instrText xml:space="preserve"> PAGEREF _Toc437528581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Refund of permit fees</w:t>
      </w:r>
      <w:r>
        <w:tab/>
      </w:r>
      <w:r>
        <w:fldChar w:fldCharType="begin"/>
      </w:r>
      <w:r>
        <w:instrText xml:space="preserve"> PAGEREF _Toc437528582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19</w:t>
      </w:r>
      <w:r>
        <w:rPr>
          <w:snapToGrid w:val="0"/>
        </w:rPr>
        <w:t>.</w:t>
      </w:r>
      <w:r>
        <w:rPr>
          <w:snapToGrid w:val="0"/>
        </w:rPr>
        <w:tab/>
        <w:t>Terms used</w:t>
      </w:r>
      <w:r>
        <w:tab/>
      </w:r>
      <w:r>
        <w:fldChar w:fldCharType="begin"/>
      </w:r>
      <w:r>
        <w:instrText xml:space="preserve"> PAGEREF _Toc437528584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Infringement notices</w:t>
      </w:r>
      <w:r>
        <w:tab/>
      </w:r>
      <w:r>
        <w:fldChar w:fldCharType="begin"/>
      </w:r>
      <w:r>
        <w:instrText xml:space="preserve"> PAGEREF _Toc437528585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Withdrawal of infringement notice</w:t>
      </w:r>
      <w:r>
        <w:tab/>
      </w:r>
      <w:r>
        <w:fldChar w:fldCharType="begin"/>
      </w:r>
      <w:r>
        <w:instrText xml:space="preserve"> PAGEREF _Toc437528586 \h </w:instrText>
      </w:r>
      <w:r>
        <w:fldChar w:fldCharType="separate"/>
      </w:r>
      <w:r>
        <w:t>14</w:t>
      </w:r>
      <w:r>
        <w:fldChar w:fldCharType="end"/>
      </w:r>
    </w:p>
    <w:p>
      <w:pPr>
        <w:pStyle w:val="TOC8"/>
        <w:rPr>
          <w:rFonts w:asciiTheme="minorHAnsi" w:eastAsiaTheme="minorEastAsia" w:hAnsiTheme="minorHAnsi" w:cstheme="minorBidi"/>
          <w:szCs w:val="22"/>
        </w:rPr>
      </w:pPr>
      <w:r>
        <w:t>22.</w:t>
      </w:r>
      <w:r>
        <w:tab/>
        <w:t>Authorised persons to produce certificate</w:t>
      </w:r>
      <w:r>
        <w:tab/>
      </w:r>
      <w:r>
        <w:fldChar w:fldCharType="begin"/>
      </w:r>
      <w:r>
        <w:instrText xml:space="preserve"> PAGEREF _Toc437528587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Authorised persons only to endorse and alter infringement notices</w:t>
      </w:r>
      <w:r>
        <w:tab/>
      </w:r>
      <w:r>
        <w:fldChar w:fldCharType="begin"/>
      </w:r>
      <w:r>
        <w:instrText xml:space="preserve"> PAGEREF _Toc437528588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Restriction on removal of infringement notices</w:t>
      </w:r>
      <w:r>
        <w:tab/>
      </w:r>
      <w:r>
        <w:fldChar w:fldCharType="begin"/>
      </w:r>
      <w:r>
        <w:instrText xml:space="preserve"> PAGEREF _Toc437528589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25</w:t>
      </w:r>
      <w:r>
        <w:rPr>
          <w:snapToGrid w:val="0"/>
        </w:rPr>
        <w:t>.</w:t>
      </w:r>
      <w:r>
        <w:rPr>
          <w:snapToGrid w:val="0"/>
        </w:rPr>
        <w:tab/>
        <w:t>Removal of vehicles</w:t>
      </w:r>
      <w:r>
        <w:tab/>
      </w:r>
      <w:r>
        <w:fldChar w:fldCharType="begin"/>
      </w:r>
      <w:r>
        <w:instrText xml:space="preserve"> PAGEREF _Toc437528591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Responsible person may be treated as driver or person in charge of vehicle</w:t>
      </w:r>
      <w:r>
        <w:tab/>
      </w:r>
      <w:r>
        <w:fldChar w:fldCharType="begin"/>
      </w:r>
      <w:r>
        <w:instrText xml:space="preserve"> PAGEREF _Toc437528592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Other offences</w:t>
      </w:r>
      <w:r>
        <w:tab/>
      </w:r>
      <w:r>
        <w:fldChar w:fldCharType="begin"/>
      </w:r>
      <w:r>
        <w:instrText xml:space="preserve"> PAGEREF _Toc437528593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_Toc437528597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pPr>
    </w:p>
    <w:p>
      <w:p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4 December 2015</w:t>
            </w:r>
            <w:r>
              <w:rPr>
                <w:b/>
                <w:sz w:val="22"/>
              </w:rPr>
              <w:fldChar w:fldCharType="end"/>
            </w:r>
          </w:p>
        </w:tc>
      </w:tr>
    </w:tbl>
    <w:p>
      <w:pPr>
        <w:pStyle w:val="WA"/>
        <w:spacing w:before="12"/>
      </w:pPr>
      <w:r>
        <w:t>Western Australia</w:t>
      </w:r>
    </w:p>
    <w:p>
      <w:pPr>
        <w:pStyle w:val="PrincipalActReg"/>
        <w:rPr>
          <w:snapToGrid w:val="0"/>
        </w:rPr>
      </w:pPr>
      <w:r>
        <w:rPr>
          <w:snapToGrid w:val="0"/>
        </w:rPr>
        <w:t>Hospitals and Health Services Act 1927</w:t>
      </w:r>
    </w:p>
    <w:p>
      <w:pPr>
        <w:pStyle w:val="NameofActReg"/>
      </w:pP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By</w:t>
      </w:r>
      <w:r>
        <w:noBreakHyphen/>
        <w:t>laws 1992</w:t>
      </w:r>
    </w:p>
    <w:p>
      <w:pPr>
        <w:pStyle w:val="Heading2"/>
        <w:pageBreakBefore w:val="0"/>
      </w:pPr>
      <w:bookmarkStart w:id="3" w:name="_Toc434919803"/>
      <w:bookmarkStart w:id="4" w:name="_Toc437528559"/>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37528560"/>
      <w:r>
        <w:rPr>
          <w:rStyle w:val="CharSectno"/>
        </w:rPr>
        <w:t>1</w:t>
      </w:r>
      <w:r>
        <w:rPr>
          <w:snapToGrid w:val="0"/>
        </w:rPr>
        <w:t>.</w:t>
      </w:r>
      <w:r>
        <w:rPr>
          <w:snapToGrid w:val="0"/>
        </w:rPr>
        <w:tab/>
        <w:t>Citation</w:t>
      </w:r>
      <w:bookmarkEnd w:id="5"/>
    </w:p>
    <w:p>
      <w:pPr>
        <w:pStyle w:val="Subsection"/>
        <w:rPr>
          <w:snapToGrid w:val="0"/>
        </w:rPr>
      </w:pPr>
      <w:r>
        <w:rPr>
          <w:snapToGrid w:val="0"/>
        </w:rPr>
        <w:tab/>
      </w:r>
      <w:r>
        <w:rPr>
          <w:snapToGrid w:val="0"/>
        </w:rPr>
        <w:tab/>
        <w:t>These by</w:t>
      </w:r>
      <w:r>
        <w:rPr>
          <w:snapToGrid w:val="0"/>
        </w:rPr>
        <w:noBreakHyphen/>
        <w:t xml:space="preserve">laws may be cited as the </w:t>
      </w:r>
      <w:smartTag w:uri="urn:schemas-microsoft-com:office:smarttags" w:element="place">
        <w:smartTag w:uri="urn:schemas-microsoft-com:office:smarttags" w:element="PlaceName">
          <w:r>
            <w:rPr>
              <w:i/>
              <w:snapToGrid w:val="0"/>
            </w:rPr>
            <w:t>Fremantle</w:t>
          </w:r>
        </w:smartTag>
        <w:r>
          <w:rPr>
            <w:i/>
            <w:snapToGrid w:val="0"/>
          </w:rPr>
          <w:t xml:space="preserve"> </w:t>
        </w:r>
        <w:smartTag w:uri="urn:schemas-microsoft-com:office:smarttags" w:element="PlaceType">
          <w:r>
            <w:rPr>
              <w:i/>
              <w:snapToGrid w:val="0"/>
            </w:rPr>
            <w:t>Hospital</w:t>
          </w:r>
        </w:smartTag>
      </w:smartTag>
      <w:r>
        <w:rPr>
          <w:i/>
          <w:snapToGrid w:val="0"/>
        </w:rPr>
        <w:t xml:space="preserve"> By</w:t>
      </w:r>
      <w:r>
        <w:rPr>
          <w:i/>
          <w:snapToGrid w:val="0"/>
        </w:rPr>
        <w:noBreakHyphen/>
        <w:t>laws 1992</w:t>
      </w:r>
      <w:r>
        <w:rPr>
          <w:snapToGrid w:val="0"/>
          <w:vertAlign w:val="superscript"/>
        </w:rPr>
        <w:t> 1</w:t>
      </w:r>
      <w:r>
        <w:rPr>
          <w:i/>
          <w:snapToGrid w:val="0"/>
        </w:rPr>
        <w:t>.</w:t>
      </w:r>
    </w:p>
    <w:p>
      <w:pPr>
        <w:pStyle w:val="Heading5"/>
        <w:rPr>
          <w:snapToGrid w:val="0"/>
        </w:rPr>
      </w:pPr>
      <w:bookmarkStart w:id="6" w:name="_Toc437528561"/>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These by</w:t>
      </w:r>
      <w:r>
        <w:rPr>
          <w:snapToGrid w:val="0"/>
        </w:rPr>
        <w:noBreakHyphen/>
        <w:t>laws are to come into operation on 1 August 1992.</w:t>
      </w:r>
    </w:p>
    <w:p>
      <w:pPr>
        <w:pStyle w:val="Heading5"/>
        <w:rPr>
          <w:snapToGrid w:val="0"/>
        </w:rPr>
      </w:pPr>
      <w:bookmarkStart w:id="7" w:name="_Toc437528562"/>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tab/>
      </w:r>
      <w:r>
        <w:rPr>
          <w:rStyle w:val="CharDefText"/>
        </w:rPr>
        <w:t>authorised person</w:t>
      </w:r>
      <w:r>
        <w:t xml:space="preserve"> means a person appointed under by</w:t>
      </w:r>
      <w:r>
        <w:noBreakHyphen/>
        <w:t>law 4A as an authorised person for the purposes of the by</w:t>
      </w:r>
      <w:r>
        <w:noBreakHyphen/>
        <w:t>law in which the term is used;</w:t>
      </w:r>
    </w:p>
    <w:p>
      <w:pPr>
        <w:pStyle w:val="Defstart"/>
      </w:pPr>
      <w:r>
        <w:rPr>
          <w:b/>
        </w:rPr>
        <w:tab/>
      </w:r>
      <w:r>
        <w:rPr>
          <w:rStyle w:val="CharDefText"/>
        </w:rPr>
        <w:t>Board</w:t>
      </w:r>
      <w:r>
        <w:t xml:space="preserve"> means the Fremantle Hospital Board constituted under section 15 of the Act;</w:t>
      </w:r>
    </w:p>
    <w:p>
      <w:pPr>
        <w:pStyle w:val="Defstart"/>
      </w:pPr>
      <w:r>
        <w:rPr>
          <w:b/>
        </w:rPr>
        <w:tab/>
      </w:r>
      <w:r>
        <w:rPr>
          <w:rStyle w:val="CharDefText"/>
        </w:rPr>
        <w:t>chief executive officer</w:t>
      </w:r>
      <w:r>
        <w:t xml:space="preserve"> means the person holding or acting in the office of chief executive officer, however designated, of the </w:t>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charge or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grounds of the Fremantle Hospital;</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meaning given in the </w:t>
      </w:r>
      <w:r>
        <w:rPr>
          <w:i/>
        </w:rPr>
        <w:t xml:space="preserve">Road Traffic (Administration) Act 2008 </w:t>
      </w:r>
      <w:r>
        <w:t>section 4;</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3 amended in Gazette 29 Aug 1995 p. 3899; 26 Nov 2010 p. 5937; 8 Jan 2015 p. 181</w:t>
      </w:r>
      <w:r>
        <w:noBreakHyphen/>
        <w:t>2; 14 Apr 2015 p. 1334; 19 Jun 2015 p. 2112.]</w:t>
      </w:r>
    </w:p>
    <w:p>
      <w:pPr>
        <w:pStyle w:val="Heading5"/>
      </w:pPr>
      <w:bookmarkStart w:id="8" w:name="_Toc437528563"/>
      <w:r>
        <w:rPr>
          <w:rStyle w:val="CharSectno"/>
        </w:rPr>
        <w:t>4A</w:t>
      </w:r>
      <w:r>
        <w:t>.</w:t>
      </w:r>
      <w:r>
        <w:tab/>
        <w:t>Appointment of authorised persons</w:t>
      </w:r>
      <w:bookmarkEnd w:id="8"/>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8(1), or issue an infringement notice under by</w:t>
      </w:r>
      <w:r>
        <w:noBreakHyphen/>
        <w:t>law 20(1), a certificate stating that the person is so authorised.</w:t>
      </w:r>
    </w:p>
    <w:p>
      <w:pPr>
        <w:pStyle w:val="Footnotesection"/>
      </w:pPr>
      <w:r>
        <w:tab/>
        <w:t>[By</w:t>
      </w:r>
      <w:r>
        <w:noBreakHyphen/>
        <w:t>law 4A inserted in Gazette 14 Apr 2015 p. 1334</w:t>
      </w:r>
      <w:r>
        <w:noBreakHyphen/>
        <w:t>5.]</w:t>
      </w:r>
    </w:p>
    <w:p>
      <w:pPr>
        <w:pStyle w:val="Heading2"/>
      </w:pPr>
      <w:bookmarkStart w:id="9" w:name="_Toc434919808"/>
      <w:bookmarkStart w:id="10" w:name="_Toc437528564"/>
      <w:r>
        <w:rPr>
          <w:rStyle w:val="CharPartNo"/>
        </w:rPr>
        <w:t>Part 2</w:t>
      </w:r>
      <w:r>
        <w:rPr>
          <w:rStyle w:val="CharDivNo"/>
        </w:rPr>
        <w:t> </w:t>
      </w:r>
      <w:r>
        <w:t>—</w:t>
      </w:r>
      <w:r>
        <w:rPr>
          <w:rStyle w:val="CharDivText"/>
        </w:rPr>
        <w:t> </w:t>
      </w:r>
      <w:r>
        <w:rPr>
          <w:rStyle w:val="CharPartText"/>
        </w:rPr>
        <w:t>Trespass and order</w:t>
      </w:r>
      <w:bookmarkEnd w:id="9"/>
      <w:bookmarkEnd w:id="10"/>
    </w:p>
    <w:p>
      <w:pPr>
        <w:pStyle w:val="Heading5"/>
        <w:rPr>
          <w:snapToGrid w:val="0"/>
        </w:rPr>
      </w:pPr>
      <w:bookmarkStart w:id="11" w:name="_Toc437528565"/>
      <w:r>
        <w:rPr>
          <w:rStyle w:val="CharSectno"/>
        </w:rPr>
        <w:t>4</w:t>
      </w:r>
      <w:r>
        <w:rPr>
          <w:snapToGrid w:val="0"/>
        </w:rPr>
        <w:t>.</w:t>
      </w:r>
      <w:r>
        <w:rPr>
          <w:snapToGrid w:val="0"/>
        </w:rPr>
        <w:tab/>
        <w:t>No entry without reasonable excuse</w:t>
      </w:r>
      <w:bookmarkEnd w:id="11"/>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4 amended in Gazette 14 Apr 2015 p. 1336.]</w:t>
      </w:r>
    </w:p>
    <w:p>
      <w:pPr>
        <w:pStyle w:val="Heading5"/>
        <w:rPr>
          <w:snapToGrid w:val="0"/>
        </w:rPr>
      </w:pPr>
      <w:bookmarkStart w:id="12" w:name="_Toc437528566"/>
      <w:r>
        <w:rPr>
          <w:rStyle w:val="CharSectno"/>
        </w:rPr>
        <w:t>5</w:t>
      </w:r>
      <w:r>
        <w:rPr>
          <w:snapToGrid w:val="0"/>
        </w:rPr>
        <w:t>.</w:t>
      </w:r>
      <w:r>
        <w:rPr>
          <w:snapToGrid w:val="0"/>
        </w:rPr>
        <w:tab/>
        <w:t>Directions as to use of certain areas</w:t>
      </w:r>
      <w:bookmarkEnd w:id="12"/>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law.</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5 amended in Gazette 14 Apr 2015 p. 1336.]</w:t>
      </w:r>
    </w:p>
    <w:p>
      <w:pPr>
        <w:pStyle w:val="Heading5"/>
      </w:pPr>
      <w:bookmarkStart w:id="13" w:name="_Toc437528567"/>
      <w:r>
        <w:rPr>
          <w:rStyle w:val="CharSectno"/>
        </w:rPr>
        <w:t>6</w:t>
      </w:r>
      <w:r>
        <w:t>.</w:t>
      </w:r>
      <w:r>
        <w:tab/>
        <w:t>Prohibited items</w:t>
      </w:r>
      <w:bookmarkEnd w:id="13"/>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w:t>
      </w:r>
      <w:r>
        <w:noBreakHyphen/>
        <w:t>law 6 inserted in Gazette 14 Apr 2015 p. 1335.]</w:t>
      </w:r>
    </w:p>
    <w:p>
      <w:pPr>
        <w:pStyle w:val="Heading5"/>
      </w:pPr>
      <w:bookmarkStart w:id="14" w:name="_Toc437528568"/>
      <w:r>
        <w:rPr>
          <w:rStyle w:val="CharSectno"/>
        </w:rPr>
        <w:t>7</w:t>
      </w:r>
      <w:r>
        <w:t>.</w:t>
      </w:r>
      <w:r>
        <w:tab/>
        <w:t>Smoking</w:t>
      </w:r>
      <w:bookmarkEnd w:id="14"/>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 xml:space="preserve">Penalty: </w:t>
      </w:r>
      <w:r>
        <w:t>a fine of</w:t>
      </w:r>
      <w:r>
        <w:rPr>
          <w:snapToGrid w:val="0"/>
        </w:rPr>
        <w:t xml:space="preserve"> $50.</w:t>
      </w:r>
    </w:p>
    <w:p>
      <w:pPr>
        <w:pStyle w:val="Footnotesection"/>
      </w:pPr>
      <w:r>
        <w:tab/>
        <w:t>[By-law 7 inserted in Gazette 12 Feb 2008 p. 340; amended in Gazette 14 Apr 2015 p. 1336.]</w:t>
      </w:r>
    </w:p>
    <w:p>
      <w:pPr>
        <w:pStyle w:val="Heading5"/>
      </w:pPr>
      <w:bookmarkStart w:id="15" w:name="_Toc437528569"/>
      <w:r>
        <w:rPr>
          <w:rStyle w:val="CharSectno"/>
        </w:rPr>
        <w:t>8</w:t>
      </w:r>
      <w:r>
        <w:t>.</w:t>
      </w:r>
      <w:r>
        <w:tab/>
        <w:t>Persons may be directed to leave site</w:t>
      </w:r>
      <w:bookmarkEnd w:id="15"/>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6.</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4A(3).</w:t>
      </w:r>
    </w:p>
    <w:p>
      <w:pPr>
        <w:pStyle w:val="Subsection"/>
      </w:pPr>
      <w:r>
        <w:tab/>
        <w:t>(4)</w:t>
      </w:r>
      <w:r>
        <w:tab/>
        <w:t>The authorised person must comply with a request under sub</w:t>
      </w:r>
      <w:r>
        <w:noBreakHyphen/>
        <w:t>bylaw (3).</w:t>
      </w:r>
    </w:p>
    <w:p>
      <w:pPr>
        <w:pStyle w:val="Footnotesection"/>
      </w:pPr>
      <w:r>
        <w:tab/>
        <w:t>[By</w:t>
      </w:r>
      <w:r>
        <w:noBreakHyphen/>
        <w:t>law 8 inserted in Gazette 14 Apr 2015 p. 1335</w:t>
      </w:r>
      <w:r>
        <w:noBreakHyphen/>
        <w:t>6.]</w:t>
      </w:r>
    </w:p>
    <w:p>
      <w:pPr>
        <w:pStyle w:val="Heading2"/>
      </w:pPr>
      <w:bookmarkStart w:id="16" w:name="_Toc434919814"/>
      <w:bookmarkStart w:id="17" w:name="_Toc437528570"/>
      <w:r>
        <w:rPr>
          <w:rStyle w:val="CharPartNo"/>
        </w:rPr>
        <w:t>Part 3</w:t>
      </w:r>
      <w:r>
        <w:t> — </w:t>
      </w:r>
      <w:r>
        <w:rPr>
          <w:rStyle w:val="CharPartText"/>
        </w:rPr>
        <w:t>Traffic control</w:t>
      </w:r>
      <w:bookmarkEnd w:id="16"/>
      <w:bookmarkEnd w:id="17"/>
    </w:p>
    <w:p>
      <w:pPr>
        <w:pStyle w:val="Heading3"/>
      </w:pPr>
      <w:bookmarkStart w:id="18" w:name="_Toc434919815"/>
      <w:bookmarkStart w:id="19" w:name="_Toc437528571"/>
      <w:r>
        <w:rPr>
          <w:rStyle w:val="CharDivNo"/>
        </w:rPr>
        <w:t>Division 1</w:t>
      </w:r>
      <w:r>
        <w:rPr>
          <w:snapToGrid w:val="0"/>
        </w:rPr>
        <w:t> — </w:t>
      </w:r>
      <w:r>
        <w:rPr>
          <w:rStyle w:val="CharDivText"/>
        </w:rPr>
        <w:t>Driving and use of vehicles</w:t>
      </w:r>
      <w:bookmarkEnd w:id="18"/>
      <w:bookmarkEnd w:id="19"/>
    </w:p>
    <w:p>
      <w:pPr>
        <w:pStyle w:val="Heading5"/>
        <w:rPr>
          <w:snapToGrid w:val="0"/>
        </w:rPr>
      </w:pPr>
      <w:bookmarkStart w:id="20" w:name="_Toc437528572"/>
      <w:r>
        <w:rPr>
          <w:rStyle w:val="CharSectno"/>
        </w:rPr>
        <w:t>9</w:t>
      </w:r>
      <w:r>
        <w:rPr>
          <w:snapToGrid w:val="0"/>
        </w:rPr>
        <w:t>.</w:t>
      </w:r>
      <w:r>
        <w:rPr>
          <w:snapToGrid w:val="0"/>
        </w:rPr>
        <w:tab/>
        <w:t>Driving of vehicles</w:t>
      </w:r>
      <w:bookmarkEnd w:id="20"/>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Penstart"/>
        <w:rPr>
          <w:snapToGrid w:val="0"/>
        </w:rPr>
      </w:pPr>
      <w:r>
        <w:rPr>
          <w:snapToGrid w:val="0"/>
        </w:rPr>
        <w:tab/>
      </w:r>
      <w:r>
        <w:t>Penalty for an offence under sub</w:t>
      </w:r>
      <w:r>
        <w:noBreakHyphen/>
        <w:t>bylaw (1), (2) or (3): a fine of</w:t>
      </w:r>
      <w:r>
        <w:rPr>
          <w:snapToGrid w:val="0"/>
        </w:rPr>
        <w:t> $50.</w:t>
      </w:r>
    </w:p>
    <w:p>
      <w:pPr>
        <w:pStyle w:val="Footnotesection"/>
      </w:pPr>
      <w:r>
        <w:tab/>
        <w:t>[By</w:t>
      </w:r>
      <w:r>
        <w:noBreakHyphen/>
        <w:t>law 9 amended in Gazette 14 Apr 2015 p. 1336.]</w:t>
      </w:r>
    </w:p>
    <w:p>
      <w:pPr>
        <w:pStyle w:val="Heading5"/>
        <w:rPr>
          <w:snapToGrid w:val="0"/>
        </w:rPr>
      </w:pPr>
      <w:bookmarkStart w:id="21" w:name="_Toc437528573"/>
      <w:r>
        <w:rPr>
          <w:rStyle w:val="CharSectno"/>
        </w:rPr>
        <w:t>10</w:t>
      </w:r>
      <w:r>
        <w:rPr>
          <w:snapToGrid w:val="0"/>
        </w:rPr>
        <w:t>.</w:t>
      </w:r>
      <w:r>
        <w:rPr>
          <w:snapToGrid w:val="0"/>
        </w:rPr>
        <w:tab/>
        <w:t>Driver to obey reasonable direction</w:t>
      </w:r>
      <w:bookmarkEnd w:id="21"/>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notwithstanding that the direction may be different from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10 amended in Gazette 14 Apr 2015 p. 1336.]</w:t>
      </w:r>
    </w:p>
    <w:p>
      <w:pPr>
        <w:pStyle w:val="Heading5"/>
        <w:rPr>
          <w:snapToGrid w:val="0"/>
        </w:rPr>
      </w:pPr>
      <w:bookmarkStart w:id="22" w:name="_Toc437528574"/>
      <w:r>
        <w:rPr>
          <w:rStyle w:val="CharSectno"/>
        </w:rPr>
        <w:t>11</w:t>
      </w:r>
      <w:r>
        <w:rPr>
          <w:snapToGrid w:val="0"/>
        </w:rPr>
        <w:t>.</w:t>
      </w:r>
      <w:r>
        <w:rPr>
          <w:snapToGrid w:val="0"/>
        </w:rPr>
        <w:tab/>
        <w:t>Speed limits</w:t>
      </w:r>
      <w:bookmarkEnd w:id="22"/>
    </w:p>
    <w:p>
      <w:pPr>
        <w:pStyle w:val="Subsection"/>
        <w:rPr>
          <w:snapToGrid w:val="0"/>
        </w:rPr>
      </w:pPr>
      <w:r>
        <w:rPr>
          <w:snapToGrid w:val="0"/>
        </w:rPr>
        <w:tab/>
        <w:t>(1)</w:t>
      </w:r>
      <w:r>
        <w:rPr>
          <w:snapToGrid w:val="0"/>
        </w:rPr>
        <w:tab/>
        <w:t>A person must not drive a vehicle on a roadway or parking facility —</w:t>
      </w:r>
    </w:p>
    <w:p>
      <w:pPr>
        <w:pStyle w:val="Indenta"/>
        <w:rPr>
          <w:snapToGrid w:val="0"/>
        </w:rPr>
      </w:pPr>
      <w:r>
        <w:rPr>
          <w:snapToGrid w:val="0"/>
        </w:rPr>
        <w:tab/>
        <w:t>(a)</w:t>
      </w:r>
      <w:r>
        <w:rPr>
          <w:snapToGrid w:val="0"/>
        </w:rPr>
        <w:tab/>
        <w:t>if no speed restriction sign is displayed, at a speed exceeding 15 km/h;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Footnotesection"/>
      </w:pPr>
      <w:r>
        <w:tab/>
        <w:t>[By</w:t>
      </w:r>
      <w:r>
        <w:noBreakHyphen/>
        <w:t>law 11 amended in Gazette 14 Apr 2015 p. 1336</w:t>
      </w:r>
      <w:r>
        <w:noBreakHyphen/>
        <w:t>7.]</w:t>
      </w:r>
    </w:p>
    <w:p>
      <w:pPr>
        <w:pStyle w:val="Heading5"/>
        <w:rPr>
          <w:snapToGrid w:val="0"/>
        </w:rPr>
      </w:pPr>
      <w:bookmarkStart w:id="23" w:name="_Toc437528575"/>
      <w:r>
        <w:rPr>
          <w:rStyle w:val="CharSectno"/>
        </w:rPr>
        <w:t>12</w:t>
      </w:r>
      <w:r>
        <w:rPr>
          <w:snapToGrid w:val="0"/>
        </w:rPr>
        <w:t>.</w:t>
      </w:r>
      <w:r>
        <w:rPr>
          <w:snapToGrid w:val="0"/>
        </w:rPr>
        <w:tab/>
        <w:t>Giving way</w:t>
      </w:r>
      <w:bookmarkEnd w:id="23"/>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12 amended in Gazette 14 Apr 2015 p. 1336</w:t>
      </w:r>
      <w:r>
        <w:noBreakHyphen/>
        <w:t>7.]</w:t>
      </w:r>
    </w:p>
    <w:p>
      <w:pPr>
        <w:pStyle w:val="Heading5"/>
        <w:rPr>
          <w:snapToGrid w:val="0"/>
        </w:rPr>
      </w:pPr>
      <w:bookmarkStart w:id="24" w:name="_Toc437528576"/>
      <w:r>
        <w:rPr>
          <w:rStyle w:val="CharSectno"/>
        </w:rPr>
        <w:t>13</w:t>
      </w:r>
      <w:r>
        <w:rPr>
          <w:snapToGrid w:val="0"/>
        </w:rPr>
        <w:t>.</w:t>
      </w:r>
      <w:r>
        <w:rPr>
          <w:snapToGrid w:val="0"/>
        </w:rPr>
        <w:tab/>
        <w:t>No instruction or repairs on site</w:t>
      </w:r>
      <w:bookmarkEnd w:id="24"/>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13 amended in Gazette 14 Apr 2015 p. 1336</w:t>
      </w:r>
      <w:r>
        <w:noBreakHyphen/>
        <w:t>7.]</w:t>
      </w:r>
    </w:p>
    <w:p>
      <w:pPr>
        <w:pStyle w:val="Heading3"/>
      </w:pPr>
      <w:bookmarkStart w:id="25" w:name="_Toc434919821"/>
      <w:bookmarkStart w:id="26" w:name="_Toc437528577"/>
      <w:r>
        <w:rPr>
          <w:rStyle w:val="CharDivNo"/>
        </w:rPr>
        <w:t>Division 2</w:t>
      </w:r>
      <w:r>
        <w:rPr>
          <w:snapToGrid w:val="0"/>
        </w:rPr>
        <w:t> — </w:t>
      </w:r>
      <w:r>
        <w:rPr>
          <w:rStyle w:val="CharDivText"/>
        </w:rPr>
        <w:t>Parking</w:t>
      </w:r>
      <w:bookmarkEnd w:id="25"/>
      <w:bookmarkEnd w:id="26"/>
    </w:p>
    <w:p>
      <w:pPr>
        <w:pStyle w:val="Heading5"/>
        <w:rPr>
          <w:snapToGrid w:val="0"/>
        </w:rPr>
      </w:pPr>
      <w:bookmarkStart w:id="27" w:name="_Toc437528578"/>
      <w:r>
        <w:rPr>
          <w:rStyle w:val="CharSectno"/>
        </w:rPr>
        <w:t>14</w:t>
      </w:r>
      <w:r>
        <w:rPr>
          <w:snapToGrid w:val="0"/>
        </w:rPr>
        <w:t>.</w:t>
      </w:r>
      <w:r>
        <w:rPr>
          <w:snapToGrid w:val="0"/>
        </w:rPr>
        <w:tab/>
        <w:t>Parking to be in parking spaces only</w:t>
      </w:r>
      <w:bookmarkEnd w:id="27"/>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14 amended in Gazette 14 Apr 2015 p. 1336</w:t>
      </w:r>
      <w:r>
        <w:noBreakHyphen/>
        <w:t>7.]</w:t>
      </w:r>
    </w:p>
    <w:p>
      <w:pPr>
        <w:pStyle w:val="Heading5"/>
        <w:rPr>
          <w:snapToGrid w:val="0"/>
        </w:rPr>
      </w:pPr>
      <w:bookmarkStart w:id="28" w:name="_Toc437528579"/>
      <w:r>
        <w:rPr>
          <w:rStyle w:val="CharSectno"/>
        </w:rPr>
        <w:t>15</w:t>
      </w:r>
      <w:r>
        <w:rPr>
          <w:snapToGrid w:val="0"/>
        </w:rPr>
        <w:t>.</w:t>
      </w:r>
      <w:r>
        <w:rPr>
          <w:snapToGrid w:val="0"/>
        </w:rPr>
        <w:tab/>
        <w:t>Signs to be obeyed</w:t>
      </w:r>
      <w:bookmarkEnd w:id="28"/>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15 amended in Gazette 14 Apr 2015 p. 1336</w:t>
      </w:r>
      <w:r>
        <w:noBreakHyphen/>
        <w:t>7.]</w:t>
      </w:r>
    </w:p>
    <w:p>
      <w:pPr>
        <w:pStyle w:val="Heading5"/>
        <w:rPr>
          <w:snapToGrid w:val="0"/>
        </w:rPr>
      </w:pPr>
      <w:bookmarkStart w:id="29" w:name="_Toc437528580"/>
      <w:r>
        <w:rPr>
          <w:rStyle w:val="CharSectno"/>
        </w:rPr>
        <w:t>16</w:t>
      </w:r>
      <w:r>
        <w:rPr>
          <w:snapToGrid w:val="0"/>
        </w:rPr>
        <w:t>.</w:t>
      </w:r>
      <w:r>
        <w:rPr>
          <w:snapToGrid w:val="0"/>
        </w:rPr>
        <w:tab/>
        <w:t>Parking in parking spaces</w:t>
      </w:r>
      <w:bookmarkEnd w:id="29"/>
    </w:p>
    <w:p>
      <w:pPr>
        <w:pStyle w:val="Subsection"/>
        <w:rPr>
          <w:snapToGrid w:val="0"/>
        </w:rPr>
      </w:pPr>
      <w:r>
        <w:rPr>
          <w:snapToGrid w:val="0"/>
        </w:rPr>
        <w:tab/>
        <w:t>(1)</w:t>
      </w:r>
      <w:r>
        <w:rPr>
          <w:snapToGrid w:val="0"/>
        </w:rPr>
        <w:tab/>
        <w:t>A sign may contain a direction that parking in a parking space, parking facility or part of a parking facility is set aside for —</w:t>
      </w:r>
    </w:p>
    <w:p>
      <w:pPr>
        <w:pStyle w:val="Indenta"/>
        <w:rPr>
          <w:snapToGrid w:val="0"/>
        </w:rPr>
      </w:pPr>
      <w:r>
        <w:rPr>
          <w:snapToGrid w:val="0"/>
        </w:rPr>
        <w:tab/>
        <w:t>(a)</w:t>
      </w:r>
      <w:r>
        <w:rPr>
          <w:snapToGrid w:val="0"/>
        </w:rPr>
        <w:tab/>
        <w:t>a specified vehicle or specified class of vehicle; or</w:t>
      </w:r>
    </w:p>
    <w:p>
      <w:pPr>
        <w:pStyle w:val="Indenta"/>
        <w:rPr>
          <w:snapToGrid w:val="0"/>
        </w:rPr>
      </w:pPr>
      <w:r>
        <w:rPr>
          <w:snapToGrid w:val="0"/>
        </w:rPr>
        <w:tab/>
        <w:t>(b)</w:t>
      </w:r>
      <w:r>
        <w:rPr>
          <w:snapToGrid w:val="0"/>
        </w:rPr>
        <w:tab/>
        <w:t>the vehicle of a specified person or specified class of persons; or</w:t>
      </w:r>
    </w:p>
    <w:p>
      <w:pPr>
        <w:pStyle w:val="Indenta"/>
        <w:rPr>
          <w:snapToGrid w:val="0"/>
        </w:rPr>
      </w:pPr>
      <w:r>
        <w:rPr>
          <w:snapToGrid w:val="0"/>
        </w:rPr>
        <w:tab/>
        <w:t>(c)</w:t>
      </w:r>
      <w:r>
        <w:rPr>
          <w:snapToGrid w:val="0"/>
        </w:rPr>
        <w:tab/>
        <w:t>parking of vehicles for a specified period of time; or</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visitor’s ticket or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(4)</w:t>
      </w:r>
      <w:r>
        <w:rPr>
          <w:snapToGrid w:val="0"/>
        </w:rPr>
        <w:tab/>
        <w:t>Without limiting sub</w:t>
      </w:r>
      <w:r>
        <w:rPr>
          <w:snapToGrid w:val="0"/>
        </w:rPr>
        <w:noBreakHyphen/>
      </w:r>
      <w:r>
        <w:rPr>
          <w:snapToGrid w:val="0"/>
        </w:rPr>
        <w:softHyphen/>
        <w:t>bylaw (3), a person must not park a vehicle in a parking space, parking facility or part of a parking facility set aside for vehicles displaying either a visitor’s ticket or a specified permit unless the person is the holder of the specified permit that is current or the person —</w:t>
      </w:r>
    </w:p>
    <w:p>
      <w:pPr>
        <w:pStyle w:val="Indenta"/>
        <w:rPr>
          <w:snapToGrid w:val="0"/>
        </w:rPr>
      </w:pPr>
      <w:r>
        <w:rPr>
          <w:snapToGrid w:val="0"/>
        </w:rPr>
        <w:tab/>
        <w:t>(a)</w:t>
      </w:r>
      <w:r>
        <w:rPr>
          <w:snapToGrid w:val="0"/>
        </w:rPr>
        <w:tab/>
        <w:t>has paid into a ticket vending machine the prescribed charge for parking the vehicle for the period of time during which the vehicle is parked; and</w:t>
      </w:r>
    </w:p>
    <w:p>
      <w:pPr>
        <w:pStyle w:val="Indenta"/>
        <w:rPr>
          <w:snapToGrid w:val="0"/>
        </w:rPr>
      </w:pPr>
      <w:r>
        <w:rPr>
          <w:snapToGrid w:val="0"/>
        </w:rPr>
        <w:tab/>
        <w:t>(b)</w:t>
      </w:r>
      <w:r>
        <w:rPr>
          <w:snapToGrid w:val="0"/>
        </w:rPr>
        <w:tab/>
        <w:t>displays, in accordance with any direction in the sign, the visitor’s ticket for that period of parking issued from the ticket vending machine.</w:t>
      </w:r>
    </w:p>
    <w:p>
      <w:pPr>
        <w:pStyle w:val="Penstart"/>
        <w:rPr>
          <w:snapToGrid w:val="0"/>
        </w:rPr>
      </w:pPr>
      <w:r>
        <w:rPr>
          <w:snapToGrid w:val="0"/>
        </w:rPr>
        <w:tab/>
        <w:t xml:space="preserve">Penalty: </w:t>
      </w:r>
      <w:r>
        <w:t>a fine of $50.</w:t>
      </w:r>
    </w:p>
    <w:p>
      <w:pPr>
        <w:pStyle w:val="Subsection"/>
      </w:pPr>
      <w:r>
        <w:tab/>
        <w:t>(5)</w:t>
      </w:r>
      <w:r>
        <w:tab/>
        <w:t>For the purposes of sub</w:t>
      </w:r>
      <w:r>
        <w:noBreakHyphen/>
        <w:t>bylaw (4), the prescribed charge is —</w:t>
      </w:r>
    </w:p>
    <w:p>
      <w:pPr>
        <w:pStyle w:val="Indenta"/>
      </w:pPr>
      <w:r>
        <w:tab/>
        <w:t>(a)</w:t>
      </w:r>
      <w:r>
        <w:tab/>
        <w:t>for the period up to and including 30 June 2005, 40 cents for every hour or part of hour; and</w:t>
      </w:r>
    </w:p>
    <w:p>
      <w:pPr>
        <w:pStyle w:val="Indenta"/>
      </w:pPr>
      <w:r>
        <w:tab/>
        <w:t>(b)</w:t>
      </w:r>
      <w:r>
        <w:tab/>
        <w:t>for the period commencing on 1 July 2005, 60 cents for every hour or part of hour.</w:t>
      </w:r>
    </w:p>
    <w:p>
      <w:pPr>
        <w:pStyle w:val="Footnotesection"/>
      </w:pPr>
      <w:r>
        <w:tab/>
        <w:t>[By</w:t>
      </w:r>
      <w:r>
        <w:noBreakHyphen/>
        <w:t>law 16 amended in Gazette 29 Aug 1995 p. 3900; 29 Jun 2004 p. 2529; 14 Apr 2015 p. 1336</w:t>
      </w:r>
      <w:r>
        <w:noBreakHyphen/>
        <w:t>7.]</w:t>
      </w:r>
    </w:p>
    <w:p>
      <w:pPr>
        <w:pStyle w:val="Heading5"/>
        <w:rPr>
          <w:snapToGrid w:val="0"/>
        </w:rPr>
      </w:pPr>
      <w:bookmarkStart w:id="30" w:name="_Toc437528581"/>
      <w:r>
        <w:rPr>
          <w:rStyle w:val="CharSectno"/>
        </w:rPr>
        <w:t>17</w:t>
      </w:r>
      <w:r>
        <w:rPr>
          <w:snapToGrid w:val="0"/>
        </w:rPr>
        <w:t>.</w:t>
      </w:r>
      <w:r>
        <w:rPr>
          <w:snapToGrid w:val="0"/>
        </w:rPr>
        <w:tab/>
        <w:t>Permit</w:t>
      </w:r>
      <w:bookmarkEnd w:id="30"/>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bylaw (1) must be in a form approved by the chief executive officer.</w:t>
      </w:r>
    </w:p>
    <w:p>
      <w:pPr>
        <w:pStyle w:val="Subsection"/>
      </w:pPr>
      <w:r>
        <w:tab/>
        <w:t>(3A)</w:t>
      </w:r>
      <w:r>
        <w:tab/>
        <w:t>The fee payable for a parking permit is $3.70 for each day on which the permit holder is permitted to park a vehicle at Fremantle Hospital (up to a maximum of $18.50 per week).</w:t>
      </w:r>
    </w:p>
    <w:p>
      <w:pPr>
        <w:pStyle w:val="Ednotesubsection"/>
      </w:pPr>
      <w:r>
        <w:tab/>
        <w:t>[(3B)</w:t>
      </w:r>
      <w:r>
        <w:tab/>
        <w:t>deleted]</w:t>
      </w:r>
    </w:p>
    <w:p>
      <w:pPr>
        <w:pStyle w:val="Subsection"/>
      </w:pPr>
      <w:r>
        <w:tab/>
        <w:t>(3C)</w:t>
      </w:r>
      <w:r>
        <w:tab/>
        <w:t>The chief executive officer or authorised person may issue a parking permit even though the fee for the permit is not paid in full if satisfied that arrangements are in place for the fee to be paid in instalments.</w:t>
      </w:r>
    </w:p>
    <w:p>
      <w:pPr>
        <w:pStyle w:val="Subsection"/>
        <w:rPr>
          <w:snapToGrid w:val="0"/>
        </w:rPr>
      </w:pPr>
      <w:r>
        <w:rPr>
          <w:snapToGrid w:val="0"/>
        </w:rPr>
        <w:tab/>
        <w:t>(3)</w:t>
      </w:r>
      <w:r>
        <w:rPr>
          <w:snapToGrid w:val="0"/>
        </w:rPr>
        <w:tab/>
        <w:t xml:space="preserve">The chief executive officer may waive the fee </w:t>
      </w:r>
      <w:r>
        <w:t>for a parking permit</w:t>
      </w:r>
      <w:r>
        <w:rPr>
          <w:snapToGrid w:val="0"/>
        </w:rPr>
        <w:t xml:space="preserve"> in a case where the chief executive officer believes that there are proper grounds for so doing.</w:t>
      </w:r>
    </w:p>
    <w:p>
      <w:pPr>
        <w:pStyle w:val="Subsection"/>
        <w:keepLines/>
        <w:rPr>
          <w:snapToGrid w:val="0"/>
        </w:rPr>
      </w:pPr>
      <w:r>
        <w:rPr>
          <w:snapToGrid w:val="0"/>
        </w:rPr>
        <w:tab/>
        <w:t>(4)</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(5)</w:t>
      </w:r>
      <w:r>
        <w:rPr>
          <w:snapToGrid w:val="0"/>
        </w:rPr>
        <w:tab/>
        <w:t>A permit may be of general application or be issued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(6)</w:t>
      </w:r>
      <w:r>
        <w:rPr>
          <w:snapToGrid w:val="0"/>
        </w:rPr>
        <w:tab/>
        <w:t>A permit expires on the day specified in the permit.</w:t>
      </w:r>
    </w:p>
    <w:p>
      <w:pPr>
        <w:pStyle w:val="Subsection"/>
        <w:rPr>
          <w:snapToGrid w:val="0"/>
        </w:rPr>
      </w:pPr>
      <w:r>
        <w:rPr>
          <w:snapToGrid w:val="0"/>
        </w:rPr>
        <w:tab/>
        <w:t>(7)</w:t>
      </w:r>
      <w:r>
        <w:rPr>
          <w:snapToGrid w:val="0"/>
        </w:rPr>
        <w:tab/>
        <w:t>The chief executive officer</w:t>
      </w:r>
      <w:r>
        <w:t xml:space="preserve"> or an authorised person</w:t>
      </w:r>
      <w:r>
        <w:rPr>
          <w:snapToGrid w:val="0"/>
        </w:rPr>
        <w:t xml:space="preserve"> may cancel a permit if —</w:t>
      </w:r>
    </w:p>
    <w:p>
      <w:pPr>
        <w:pStyle w:val="Indenta"/>
        <w:rPr>
          <w:snapToGrid w:val="0"/>
        </w:rPr>
      </w:pPr>
      <w:r>
        <w:rPr>
          <w:snapToGrid w:val="0"/>
        </w:rPr>
        <w:tab/>
        <w:t>(a)</w:t>
      </w:r>
      <w:r>
        <w:rPr>
          <w:snapToGrid w:val="0"/>
        </w:rPr>
        <w:tab/>
        <w:t>a vehicle in respect of which the permit is issued is parked on the site in contravention of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charge required to be paid in relation to the permit is not paid.</w:t>
      </w:r>
    </w:p>
    <w:p>
      <w:pPr>
        <w:pStyle w:val="Subsection"/>
        <w:rPr>
          <w:snapToGrid w:val="0"/>
        </w:rPr>
      </w:pPr>
      <w:r>
        <w:rPr>
          <w:snapToGrid w:val="0"/>
        </w:rPr>
        <w:tab/>
        <w:t>(8)</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 a fine of</w:t>
      </w:r>
      <w:r>
        <w:rPr>
          <w:snapToGrid w:val="0"/>
        </w:rPr>
        <w:t xml:space="preserve"> $50.</w:t>
      </w:r>
    </w:p>
    <w:p>
      <w:pPr>
        <w:pStyle w:val="Footnotesection"/>
      </w:pPr>
      <w:r>
        <w:tab/>
        <w:t>[By</w:t>
      </w:r>
      <w:r>
        <w:noBreakHyphen/>
        <w:t>law 17 amended in Gazette 29 Aug 1995 p. 3900; 23 Dec 2011 p. 5425</w:t>
      </w:r>
      <w:r>
        <w:noBreakHyphen/>
        <w:t>6 (disallowed in Gazette 18 Sep 2012 p. 4411); 28 Sep 2012 p. 4650-1; 28 Jun 2013 p. 2752; 13 Jun 2014 p. 1882; 14 Apr 2015 p. 1336; 19 Jun 2015 p. 2112.]</w:t>
      </w:r>
    </w:p>
    <w:p>
      <w:pPr>
        <w:pStyle w:val="Heading5"/>
        <w:rPr>
          <w:snapToGrid w:val="0"/>
        </w:rPr>
      </w:pPr>
      <w:bookmarkStart w:id="31" w:name="_Toc437528582"/>
      <w:r>
        <w:rPr>
          <w:rStyle w:val="CharSectno"/>
        </w:rPr>
        <w:t>18</w:t>
      </w:r>
      <w:r>
        <w:rPr>
          <w:snapToGrid w:val="0"/>
        </w:rPr>
        <w:t>.</w:t>
      </w:r>
      <w:r>
        <w:rPr>
          <w:snapToGrid w:val="0"/>
        </w:rPr>
        <w:tab/>
        <w:t>Refund of permit fees</w:t>
      </w:r>
      <w:bookmarkEnd w:id="31"/>
    </w:p>
    <w:p>
      <w:pPr>
        <w:pStyle w:val="Subsection"/>
        <w:rPr>
          <w:snapToGrid w:val="0"/>
        </w:rPr>
      </w:pPr>
      <w:r>
        <w:rPr>
          <w:snapToGrid w:val="0"/>
        </w:rPr>
        <w:tab/>
        <w:t>(1)</w:t>
      </w:r>
      <w:r>
        <w:rPr>
          <w:snapToGrid w:val="0"/>
        </w:rPr>
        <w:tab/>
        <w:t xml:space="preserve">A fee paid in advance for a permit may be refunded </w:t>
      </w:r>
      <w:r>
        <w:t>in accordance with</w:t>
      </w:r>
      <w:r>
        <w:rPr>
          <w:snapToGrid w:val="0"/>
        </w:rPr>
        <w:t xml:space="preserve"> sub</w:t>
      </w:r>
      <w:r>
        <w:rPr>
          <w:snapToGrid w:val="0"/>
        </w:rPr>
        <w:noBreakHyphen/>
        <w:t>bylaw (2) to a person —</w:t>
      </w:r>
    </w:p>
    <w:p>
      <w:pPr>
        <w:pStyle w:val="Indenta"/>
        <w:spacing w:before="70"/>
        <w:rPr>
          <w:snapToGrid w:val="0"/>
        </w:rPr>
      </w:pPr>
      <w:r>
        <w:rPr>
          <w:snapToGrid w:val="0"/>
        </w:rPr>
        <w:tab/>
        <w:t>(a)</w:t>
      </w:r>
      <w:r>
        <w:rPr>
          <w:snapToGrid w:val="0"/>
        </w:rPr>
        <w:tab/>
        <w:t>who no longer wishes to use the permit; or</w:t>
      </w:r>
    </w:p>
    <w:p>
      <w:pPr>
        <w:pStyle w:val="Indenta"/>
        <w:spacing w:before="70"/>
        <w:rPr>
          <w:snapToGrid w:val="0"/>
        </w:rPr>
      </w:pPr>
      <w:r>
        <w:rPr>
          <w:snapToGrid w:val="0"/>
        </w:rPr>
        <w:tab/>
        <w:t>(b)</w:t>
      </w:r>
      <w:r>
        <w:rPr>
          <w:snapToGrid w:val="0"/>
        </w:rPr>
        <w:tab/>
        <w:t xml:space="preserve">whose employment at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ends; or</w:t>
      </w:r>
    </w:p>
    <w:p>
      <w:pPr>
        <w:pStyle w:val="Indenta"/>
        <w:spacing w:before="70"/>
        <w:rPr>
          <w:snapToGrid w:val="0"/>
        </w:rPr>
      </w:pPr>
      <w:r>
        <w:rPr>
          <w:snapToGrid w:val="0"/>
        </w:rPr>
        <w:tab/>
        <w:t>(c)</w:t>
      </w:r>
      <w:r>
        <w:rPr>
          <w:snapToGrid w:val="0"/>
        </w:rPr>
        <w:tab/>
        <w:t>who is granted absence on —</w:t>
      </w:r>
    </w:p>
    <w:p>
      <w:pPr>
        <w:pStyle w:val="Indenti"/>
        <w:spacing w:before="70"/>
        <w:rPr>
          <w:snapToGrid w:val="0"/>
        </w:rPr>
      </w:pPr>
      <w:r>
        <w:rPr>
          <w:snapToGrid w:val="0"/>
        </w:rPr>
        <w:tab/>
        <w:t>(i)</w:t>
      </w:r>
      <w:r>
        <w:rPr>
          <w:snapToGrid w:val="0"/>
        </w:rPr>
        <w:tab/>
        <w:t>long service leave; or</w:t>
      </w:r>
    </w:p>
    <w:p>
      <w:pPr>
        <w:pStyle w:val="Indenti"/>
        <w:spacing w:before="70"/>
        <w:rPr>
          <w:snapToGrid w:val="0"/>
        </w:rPr>
      </w:pPr>
      <w:r>
        <w:rPr>
          <w:snapToGrid w:val="0"/>
        </w:rPr>
        <w:tab/>
        <w:t>(ii)</w:t>
      </w:r>
      <w:r>
        <w:rPr>
          <w:snapToGrid w:val="0"/>
        </w:rPr>
        <w:tab/>
        <w:t>other leave from employment at the Hospital,</w:t>
      </w:r>
    </w:p>
    <w:p>
      <w:pPr>
        <w:pStyle w:val="Subsection"/>
        <w:spacing w:before="120"/>
        <w:rPr>
          <w:snapToGrid w:val="0"/>
        </w:rPr>
      </w:pPr>
      <w:r>
        <w:rPr>
          <w:snapToGrid w:val="0"/>
        </w:rPr>
        <w:tab/>
      </w:r>
      <w:r>
        <w:rPr>
          <w:snapToGrid w:val="0"/>
        </w:rPr>
        <w:tab/>
        <w:t>for a period of at least 4 consecutive weeks.</w:t>
      </w:r>
    </w:p>
    <w:p>
      <w:pPr>
        <w:pStyle w:val="Subsection"/>
      </w:pPr>
      <w:r>
        <w:tab/>
        <w:t>(2)</w:t>
      </w:r>
      <w:r>
        <w:tab/>
        <w:t xml:space="preserve">The refund is the amount of the fee paid for a day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18 amended in Gazette 23 Dec 2011 p. 5426 (disallowed in Gazette 18 Sep 2012 p. 4411); 28 Sep 2012 p. 4651.]</w:t>
      </w:r>
    </w:p>
    <w:p>
      <w:pPr>
        <w:pStyle w:val="Heading2"/>
      </w:pPr>
      <w:bookmarkStart w:id="32" w:name="_Toc434919827"/>
      <w:bookmarkStart w:id="33" w:name="_Toc437528583"/>
      <w:r>
        <w:rPr>
          <w:rStyle w:val="CharPartNo"/>
        </w:rPr>
        <w:t>Part 4</w:t>
      </w:r>
      <w:r>
        <w:rPr>
          <w:rStyle w:val="CharDivNo"/>
        </w:rPr>
        <w:t> </w:t>
      </w:r>
      <w:r>
        <w:t>—</w:t>
      </w:r>
      <w:r>
        <w:rPr>
          <w:rStyle w:val="CharDivText"/>
        </w:rPr>
        <w:t> </w:t>
      </w:r>
      <w:r>
        <w:rPr>
          <w:rStyle w:val="CharPartText"/>
        </w:rPr>
        <w:t>Infringement notices</w:t>
      </w:r>
      <w:bookmarkEnd w:id="32"/>
      <w:bookmarkEnd w:id="33"/>
    </w:p>
    <w:p>
      <w:pPr>
        <w:pStyle w:val="Heading5"/>
        <w:rPr>
          <w:snapToGrid w:val="0"/>
        </w:rPr>
      </w:pPr>
      <w:bookmarkStart w:id="34" w:name="_Toc437528584"/>
      <w:r>
        <w:rPr>
          <w:rStyle w:val="CharSectno"/>
        </w:rPr>
        <w:t>19</w:t>
      </w:r>
      <w:r>
        <w:rPr>
          <w:snapToGrid w:val="0"/>
        </w:rPr>
        <w:t>.</w:t>
      </w:r>
      <w:r>
        <w:rPr>
          <w:snapToGrid w:val="0"/>
        </w:rPr>
        <w:tab/>
        <w:t>Terms used</w:t>
      </w:r>
      <w:bookmarkEnd w:id="34"/>
    </w:p>
    <w:p>
      <w:pPr>
        <w:pStyle w:val="Subsection"/>
        <w:rPr>
          <w:snapToGrid w:val="0"/>
        </w:rPr>
      </w:pPr>
      <w:r>
        <w:rPr>
          <w:snapToGrid w:val="0"/>
        </w:rPr>
        <w:tab/>
      </w:r>
      <w:r>
        <w:rPr>
          <w:snapToGrid w:val="0"/>
        </w:rPr>
        <w:tab/>
        <w:t>In this Part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Footnotesection"/>
      </w:pPr>
      <w:r>
        <w:tab/>
        <w:t>[By-law 19 amended in Gazette 8 Jan 2015 p. 182.]</w:t>
      </w:r>
    </w:p>
    <w:p>
      <w:pPr>
        <w:pStyle w:val="Heading5"/>
        <w:rPr>
          <w:snapToGrid w:val="0"/>
        </w:rPr>
      </w:pPr>
      <w:bookmarkStart w:id="35" w:name="_Toc437528585"/>
      <w:r>
        <w:rPr>
          <w:rStyle w:val="CharSectno"/>
        </w:rPr>
        <w:t>20</w:t>
      </w:r>
      <w:r>
        <w:rPr>
          <w:snapToGrid w:val="0"/>
        </w:rPr>
        <w:t>.</w:t>
      </w:r>
      <w:r>
        <w:rPr>
          <w:snapToGrid w:val="0"/>
        </w:rPr>
        <w:tab/>
        <w:t>Infringement notices</w:t>
      </w:r>
      <w:bookmarkEnd w:id="35"/>
    </w:p>
    <w:p>
      <w:pPr>
        <w:pStyle w:val="Subsection"/>
        <w:rPr>
          <w:snapToGrid w:val="0"/>
        </w:rPr>
      </w:pPr>
      <w:r>
        <w:rPr>
          <w:snapToGrid w:val="0"/>
        </w:rP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to Schedule 3, and in every case, is to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w:t>
      </w:r>
      <w:r>
        <w:t xml:space="preserve"> an authorised person, other than the authorised person who issued the infringement notice, within a period of 28 days after the giving of the notice.</w:t>
      </w:r>
    </w:p>
    <w:p>
      <w:pPr>
        <w:pStyle w:val="Subsection"/>
        <w:keepLines/>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5937; 23 Dec 2011 p. 5426; (disallowed in Gazette 18 Sep 2012 p. 4411); 28 Sep 2012 p. 4651-2.]</w:t>
      </w:r>
    </w:p>
    <w:p>
      <w:pPr>
        <w:pStyle w:val="Heading5"/>
        <w:rPr>
          <w:snapToGrid w:val="0"/>
        </w:rPr>
      </w:pPr>
      <w:bookmarkStart w:id="36" w:name="_Toc437528586"/>
      <w:r>
        <w:rPr>
          <w:rStyle w:val="CharSectno"/>
        </w:rPr>
        <w:t>21</w:t>
      </w:r>
      <w:r>
        <w:rPr>
          <w:snapToGrid w:val="0"/>
        </w:rPr>
        <w:t>.</w:t>
      </w:r>
      <w:r>
        <w:rPr>
          <w:snapToGrid w:val="0"/>
        </w:rPr>
        <w:tab/>
        <w:t>Withdrawal of infringement notice</w:t>
      </w:r>
      <w:bookmarkEnd w:id="36"/>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to Schedule 3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pPr>
      <w:bookmarkStart w:id="37" w:name="_Toc437528587"/>
      <w:r>
        <w:rPr>
          <w:rStyle w:val="CharSectno"/>
        </w:rPr>
        <w:t>22</w:t>
      </w:r>
      <w:r>
        <w:t>.</w:t>
      </w:r>
      <w:r>
        <w:tab/>
        <w:t>Authorised persons to produce certificate</w:t>
      </w:r>
      <w:bookmarkEnd w:id="37"/>
    </w:p>
    <w:p>
      <w:pPr>
        <w:pStyle w:val="Subsection"/>
      </w:pPr>
      <w:r>
        <w:tab/>
      </w:r>
      <w:r>
        <w:tab/>
        <w:t>The person whom an authorised person has given, or is about to give, an infringement notice may require the authorised person to produce the certificate referred to in by</w:t>
      </w:r>
      <w:r>
        <w:noBreakHyphen/>
        <w:t>law 4A(3).</w:t>
      </w:r>
    </w:p>
    <w:p>
      <w:pPr>
        <w:pStyle w:val="Footnotesection"/>
      </w:pPr>
      <w:r>
        <w:tab/>
        <w:t>[By</w:t>
      </w:r>
      <w:r>
        <w:noBreakHyphen/>
        <w:t>law 22 inserted in Gazette 14 Apr 2015 p. 1336.]</w:t>
      </w:r>
    </w:p>
    <w:p>
      <w:pPr>
        <w:pStyle w:val="Heading5"/>
        <w:rPr>
          <w:snapToGrid w:val="0"/>
        </w:rPr>
      </w:pPr>
      <w:bookmarkStart w:id="38" w:name="_Toc437528588"/>
      <w:r>
        <w:rPr>
          <w:rStyle w:val="CharSectno"/>
        </w:rPr>
        <w:t>23</w:t>
      </w:r>
      <w:r>
        <w:rPr>
          <w:snapToGrid w:val="0"/>
        </w:rPr>
        <w:t>.</w:t>
      </w:r>
      <w:r>
        <w:rPr>
          <w:snapToGrid w:val="0"/>
        </w:rPr>
        <w:tab/>
        <w:t>Authorised persons only to endorse and alter infringement notices</w:t>
      </w:r>
      <w:bookmarkEnd w:id="38"/>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23 amended in Gazette 14 Apr 2015 p. 1336</w:t>
      </w:r>
      <w:r>
        <w:noBreakHyphen/>
        <w:t>7.]</w:t>
      </w:r>
    </w:p>
    <w:p>
      <w:pPr>
        <w:pStyle w:val="Heading5"/>
        <w:rPr>
          <w:snapToGrid w:val="0"/>
        </w:rPr>
      </w:pPr>
      <w:bookmarkStart w:id="39" w:name="_Toc437528589"/>
      <w:r>
        <w:rPr>
          <w:rStyle w:val="CharSectno"/>
        </w:rPr>
        <w:t>24</w:t>
      </w:r>
      <w:r>
        <w:rPr>
          <w:snapToGrid w:val="0"/>
        </w:rPr>
        <w:t>.</w:t>
      </w:r>
      <w:r>
        <w:rPr>
          <w:snapToGrid w:val="0"/>
        </w:rPr>
        <w:tab/>
        <w:t>Restriction on removal of infringement notices</w:t>
      </w:r>
      <w:bookmarkEnd w:id="39"/>
    </w:p>
    <w:p>
      <w:pPr>
        <w:pStyle w:val="Subsection"/>
        <w:rPr>
          <w:snapToGrid w:val="0"/>
        </w:rPr>
      </w:pPr>
      <w:r>
        <w:rPr>
          <w:snapToGrid w:val="0"/>
        </w:rPr>
        <w:tab/>
      </w:r>
      <w:r>
        <w:rPr>
          <w:snapToGrid w:val="0"/>
        </w:rPr>
        <w:tab/>
        <w:t>A person must not remove an infringement notice that is attached to a vehicle unless the person is —</w:t>
      </w:r>
    </w:p>
    <w:p>
      <w:pPr>
        <w:pStyle w:val="Indenta"/>
      </w:pPr>
      <w:r>
        <w:tab/>
        <w:t>(a)</w:t>
      </w:r>
      <w:r>
        <w:tab/>
        <w:t>the driver of, responsible person for,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24 amended in Gazette 8 Jan 2015 p. 182; 14 Apr 2015 p. 1336</w:t>
      </w:r>
      <w:r>
        <w:noBreakHyphen/>
        <w:t>7.]</w:t>
      </w:r>
    </w:p>
    <w:p>
      <w:pPr>
        <w:pStyle w:val="Heading2"/>
      </w:pPr>
      <w:bookmarkStart w:id="40" w:name="_Toc434919834"/>
      <w:bookmarkStart w:id="41" w:name="_Toc437528590"/>
      <w:r>
        <w:rPr>
          <w:rStyle w:val="CharPartNo"/>
        </w:rPr>
        <w:t>Part 5</w:t>
      </w:r>
      <w:r>
        <w:rPr>
          <w:rStyle w:val="CharDivNo"/>
        </w:rPr>
        <w:t> </w:t>
      </w:r>
      <w:r>
        <w:t>—</w:t>
      </w:r>
      <w:r>
        <w:rPr>
          <w:rStyle w:val="CharDivText"/>
        </w:rPr>
        <w:t> </w:t>
      </w:r>
      <w:r>
        <w:rPr>
          <w:rStyle w:val="CharPartText"/>
        </w:rPr>
        <w:t>General</w:t>
      </w:r>
      <w:bookmarkEnd w:id="40"/>
      <w:bookmarkEnd w:id="41"/>
    </w:p>
    <w:p>
      <w:pPr>
        <w:pStyle w:val="Heading5"/>
        <w:rPr>
          <w:snapToGrid w:val="0"/>
        </w:rPr>
      </w:pPr>
      <w:bookmarkStart w:id="42" w:name="_Toc437528591"/>
      <w:r>
        <w:rPr>
          <w:rStyle w:val="CharSectno"/>
        </w:rPr>
        <w:t>25</w:t>
      </w:r>
      <w:r>
        <w:rPr>
          <w:snapToGrid w:val="0"/>
        </w:rPr>
        <w:t>.</w:t>
      </w:r>
      <w:r>
        <w:rPr>
          <w:snapToGrid w:val="0"/>
        </w:rPr>
        <w:tab/>
        <w:t>Removal of vehicles</w:t>
      </w:r>
      <w:bookmarkEnd w:id="42"/>
    </w:p>
    <w:p>
      <w:pPr>
        <w:pStyle w:val="Subsection"/>
        <w:rPr>
          <w:snapToGrid w:val="0"/>
        </w:rPr>
      </w:pPr>
      <w:r>
        <w:rPr>
          <w:snapToGrid w:val="0"/>
        </w:rPr>
        <w:tab/>
        <w:t>(1)</w:t>
      </w:r>
      <w:r>
        <w:rPr>
          <w:snapToGrid w:val="0"/>
        </w:rPr>
        <w:tab/>
        <w:t xml:space="preserve">The chief executive officer </w:t>
      </w:r>
      <w:r>
        <w:t>or an authorised person</w:t>
      </w:r>
      <w:r>
        <w:rPr>
          <w:snapToGrid w:val="0"/>
        </w:rPr>
        <w:t xml:space="preserve">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responsible person for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responsible person for or the person in charge of the vehicle has been given an infringement notice for the contravention.</w:t>
      </w:r>
    </w:p>
    <w:p>
      <w:pPr>
        <w:pStyle w:val="Subsection"/>
      </w:pPr>
      <w:r>
        <w:tab/>
        <w:t>(5)</w:t>
      </w:r>
      <w:r>
        <w:tab/>
        <w:t>Payment under sub</w:t>
      </w:r>
      <w:r>
        <w:noBreakHyphen/>
        <w:t>bylaw (4)(a) may be made by one of the following methods —</w:t>
      </w:r>
    </w:p>
    <w:p>
      <w:pPr>
        <w:pStyle w:val="Indenta"/>
      </w:pPr>
      <w:r>
        <w:tab/>
        <w:t>(a)</w:t>
      </w:r>
      <w:r>
        <w:tab/>
        <w:t xml:space="preserve">in person to an authorised person at the site; </w:t>
      </w:r>
    </w:p>
    <w:p>
      <w:pPr>
        <w:pStyle w:val="Indenta"/>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 xml:space="preserve">at any Australia Post Office or agency; </w:t>
      </w:r>
    </w:p>
    <w:p>
      <w:pPr>
        <w:pStyle w:val="Indenta"/>
      </w:pPr>
      <w:r>
        <w:tab/>
        <w:t>(d)</w:t>
      </w:r>
      <w:r>
        <w:tab/>
        <w:t xml:space="preserve">by telephone on 1800 753 191; </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w:t>
      </w:r>
      <w:r>
        <w:noBreakHyphen/>
        <w:t>law 25 amended in Gazette 23 Dec 2011 p. 5426</w:t>
      </w:r>
      <w:r>
        <w:noBreakHyphen/>
        <w:t>7 (disallowed in Gazette 18 Sep 2012 p. 4411); 28 Sep 2012 p. 4652; 8 Jan 2015 p. 182</w:t>
      </w:r>
      <w:r>
        <w:noBreakHyphen/>
        <w:t>3.]</w:t>
      </w:r>
    </w:p>
    <w:p>
      <w:pPr>
        <w:pStyle w:val="Heading5"/>
        <w:rPr>
          <w:snapToGrid w:val="0"/>
        </w:rPr>
      </w:pPr>
      <w:bookmarkStart w:id="43" w:name="_Toc437528592"/>
      <w:r>
        <w:rPr>
          <w:rStyle w:val="CharSectno"/>
        </w:rPr>
        <w:t>26</w:t>
      </w:r>
      <w:r>
        <w:rPr>
          <w:snapToGrid w:val="0"/>
        </w:rPr>
        <w:t>.</w:t>
      </w:r>
      <w:r>
        <w:rPr>
          <w:snapToGrid w:val="0"/>
        </w:rPr>
        <w:tab/>
        <w:t>Responsible person may be treated as driver or person in charge of vehicle</w:t>
      </w:r>
      <w:bookmarkEnd w:id="43"/>
    </w:p>
    <w:p>
      <w:pPr>
        <w:pStyle w:val="Subsection"/>
        <w:rPr>
          <w:snapToGrid w:val="0"/>
        </w:rPr>
      </w:pPr>
      <w:r>
        <w:rPr>
          <w:snapToGrid w:val="0"/>
        </w:rP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r>
        <w:tab/>
        <w:t>[By</w:t>
      </w:r>
      <w:r>
        <w:noBreakHyphen/>
        <w:t>law 26 amended in Gazette 8 Jan 2015 p. 183.]</w:t>
      </w:r>
    </w:p>
    <w:p>
      <w:pPr>
        <w:pStyle w:val="Heading5"/>
        <w:pageBreakBefore/>
        <w:spacing w:before="0"/>
        <w:rPr>
          <w:snapToGrid w:val="0"/>
        </w:rPr>
      </w:pPr>
      <w:bookmarkStart w:id="44" w:name="_Toc437528593"/>
      <w:r>
        <w:rPr>
          <w:rStyle w:val="CharSectno"/>
        </w:rPr>
        <w:t>27</w:t>
      </w:r>
      <w:r>
        <w:rPr>
          <w:snapToGrid w:val="0"/>
        </w:rPr>
        <w:t>.</w:t>
      </w:r>
      <w:r>
        <w:rPr>
          <w:snapToGrid w:val="0"/>
        </w:rPr>
        <w:tab/>
        <w:t>Other offences</w:t>
      </w:r>
      <w:bookmarkEnd w:id="44"/>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27 amended in Gazette 14 Apr 2015 p. 1336</w:t>
      </w:r>
      <w:r>
        <w:noBreakHyphen/>
        <w:t>7.]</w:t>
      </w:r>
    </w:p>
    <w:p>
      <w:pPr>
        <w:pStyle w:val="Ednotepart"/>
      </w:pPr>
      <w:r>
        <w:t>[Part 6 omitted under the Reprints Act 1984 s. 7(4)(f).]</w:t>
      </w:r>
    </w:p>
    <w:p>
      <w:pPr>
        <w:pStyle w:val="yEdnoteschedule"/>
      </w:pPr>
      <w:r>
        <w:t>[Schedule 1 deleted in Gazette 28 Sep 2012 p. 4652.]</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45" w:name="_Toc434919838"/>
      <w:bookmarkStart w:id="46" w:name="_Toc437528594"/>
      <w:r>
        <w:rPr>
          <w:rStyle w:val="CharSchNo"/>
        </w:rPr>
        <w:t>Schedule 2 </w:t>
      </w:r>
      <w:r>
        <w:t>— </w:t>
      </w:r>
      <w:r>
        <w:rPr>
          <w:rStyle w:val="CharSchText"/>
        </w:rPr>
        <w:t>Infringement notices and modified penalties</w:t>
      </w:r>
      <w:bookmarkEnd w:id="45"/>
      <w:bookmarkEnd w:id="46"/>
    </w:p>
    <w:p>
      <w:pPr>
        <w:pStyle w:val="yShoulderClause"/>
        <w:spacing w:after="80"/>
      </w:pPr>
      <w:r>
        <w:t>[By</w:t>
      </w:r>
      <w:r>
        <w:noBreakHyphen/>
        <w:t>law 19]</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4085"/>
        <w:gridCol w:w="1160"/>
      </w:tblGrid>
      <w:tr>
        <w:trPr>
          <w:tblHeader/>
        </w:trPr>
        <w:tc>
          <w:tcPr>
            <w:tcW w:w="1843" w:type="dxa"/>
            <w:tcBorders>
              <w:top w:val="single" w:sz="4" w:space="0" w:color="auto"/>
              <w:bottom w:val="single" w:sz="4" w:space="0" w:color="auto"/>
            </w:tcBorders>
          </w:tcPr>
          <w:p>
            <w:pPr>
              <w:pStyle w:val="yTableNAm"/>
              <w:rPr>
                <w:b/>
              </w:rPr>
            </w:pPr>
            <w:r>
              <w:rPr>
                <w:b/>
              </w:rPr>
              <w:t>By</w:t>
            </w:r>
            <w:r>
              <w:rPr>
                <w:b/>
              </w:rPr>
              <w:noBreakHyphen/>
              <w:t>law</w:t>
            </w:r>
          </w:p>
        </w:tc>
        <w:tc>
          <w:tcPr>
            <w:tcW w:w="4085" w:type="dxa"/>
            <w:tcBorders>
              <w:top w:val="single" w:sz="4" w:space="0" w:color="auto"/>
              <w:bottom w:val="single" w:sz="4" w:space="0" w:color="auto"/>
            </w:tcBorders>
          </w:tcPr>
          <w:p>
            <w:pPr>
              <w:pStyle w:val="yTableNAm"/>
              <w:rPr>
                <w:b/>
              </w:rPr>
            </w:pPr>
            <w:r>
              <w:rPr>
                <w:b/>
              </w:rPr>
              <w:t>Description of offence</w:t>
            </w:r>
          </w:p>
        </w:tc>
        <w:tc>
          <w:tcPr>
            <w:tcW w:w="1160" w:type="dxa"/>
            <w:tcBorders>
              <w:top w:val="single" w:sz="4" w:space="0" w:color="auto"/>
              <w:bottom w:val="single" w:sz="4" w:space="0" w:color="auto"/>
            </w:tcBorders>
          </w:tcPr>
          <w:p>
            <w:pPr>
              <w:pStyle w:val="yTableNAm"/>
              <w:spacing w:after="80"/>
              <w:rPr>
                <w:b/>
              </w:rPr>
            </w:pPr>
            <w:r>
              <w:rPr>
                <w:b/>
              </w:rPr>
              <w:t>Modified penalty</w:t>
            </w:r>
          </w:p>
        </w:tc>
      </w:tr>
      <w:tr>
        <w:tc>
          <w:tcPr>
            <w:tcW w:w="1843" w:type="dxa"/>
          </w:tcPr>
          <w:p>
            <w:pPr>
              <w:pStyle w:val="yTableNAm"/>
            </w:pPr>
          </w:p>
        </w:tc>
        <w:tc>
          <w:tcPr>
            <w:tcW w:w="4085" w:type="dxa"/>
          </w:tcPr>
          <w:p>
            <w:pPr>
              <w:pStyle w:val="yTableNAm"/>
            </w:pPr>
          </w:p>
        </w:tc>
        <w:tc>
          <w:tcPr>
            <w:tcW w:w="1160" w:type="dxa"/>
          </w:tcPr>
          <w:p>
            <w:pPr>
              <w:pStyle w:val="yTableNAm"/>
            </w:pPr>
            <w:r>
              <w:t>$</w:t>
            </w:r>
          </w:p>
        </w:tc>
      </w:tr>
      <w:tr>
        <w:tc>
          <w:tcPr>
            <w:tcW w:w="1843" w:type="dxa"/>
          </w:tcPr>
          <w:p>
            <w:pPr>
              <w:pStyle w:val="yTableNAm"/>
            </w:pPr>
            <w:r>
              <w:t>9(1)</w:t>
            </w:r>
          </w:p>
        </w:tc>
        <w:tc>
          <w:tcPr>
            <w:tcW w:w="4085" w:type="dxa"/>
          </w:tcPr>
          <w:p>
            <w:pPr>
              <w:pStyle w:val="yTableNAm"/>
            </w:pPr>
            <w:r>
              <w:t>Driving or bringing vehicle on part of site other than on roadway or parking facility, without permission</w:t>
            </w:r>
          </w:p>
        </w:tc>
        <w:tc>
          <w:tcPr>
            <w:tcW w:w="1160" w:type="dxa"/>
          </w:tcPr>
          <w:p>
            <w:pPr>
              <w:pStyle w:val="yTableNAm"/>
            </w:pPr>
            <w:r>
              <w:t>40</w:t>
            </w:r>
          </w:p>
        </w:tc>
      </w:tr>
      <w:tr>
        <w:tc>
          <w:tcPr>
            <w:tcW w:w="1843" w:type="dxa"/>
          </w:tcPr>
          <w:p>
            <w:pPr>
              <w:pStyle w:val="yTableNAm"/>
            </w:pPr>
            <w:r>
              <w:t>9(2)</w:t>
            </w:r>
          </w:p>
        </w:tc>
        <w:tc>
          <w:tcPr>
            <w:tcW w:w="4085" w:type="dxa"/>
          </w:tcPr>
          <w:p>
            <w:pPr>
              <w:pStyle w:val="yTableNAm"/>
            </w:pPr>
            <w:r>
              <w:t xml:space="preserve">Driving or bringing on part of site, a vehicle with an unladen weight of more than 4 tonnes, without permission </w:t>
            </w:r>
          </w:p>
        </w:tc>
        <w:tc>
          <w:tcPr>
            <w:tcW w:w="1160" w:type="dxa"/>
          </w:tcPr>
          <w:p>
            <w:pPr>
              <w:pStyle w:val="yTableNAm"/>
            </w:pPr>
            <w:r>
              <w:t>20</w:t>
            </w:r>
          </w:p>
        </w:tc>
      </w:tr>
      <w:tr>
        <w:tc>
          <w:tcPr>
            <w:tcW w:w="1843" w:type="dxa"/>
          </w:tcPr>
          <w:p>
            <w:pPr>
              <w:pStyle w:val="yTableNAm"/>
            </w:pPr>
            <w:r>
              <w:t>9(3)</w:t>
            </w:r>
          </w:p>
        </w:tc>
        <w:tc>
          <w:tcPr>
            <w:tcW w:w="4085" w:type="dxa"/>
          </w:tcPr>
          <w:p>
            <w:pPr>
              <w:pStyle w:val="yTableNAm"/>
            </w:pPr>
            <w:r>
              <w:t>Driving, using or standing on part of site, a vehicle contrary to a sign</w:t>
            </w:r>
          </w:p>
        </w:tc>
        <w:tc>
          <w:tcPr>
            <w:tcW w:w="1160" w:type="dxa"/>
          </w:tcPr>
          <w:p>
            <w:pPr>
              <w:pStyle w:val="yTableNAm"/>
            </w:pPr>
            <w:r>
              <w:t>40</w:t>
            </w:r>
          </w:p>
        </w:tc>
      </w:tr>
      <w:tr>
        <w:tc>
          <w:tcPr>
            <w:tcW w:w="1843" w:type="dxa"/>
          </w:tcPr>
          <w:p>
            <w:pPr>
              <w:pStyle w:val="yTableNAm"/>
            </w:pPr>
            <w:r>
              <w:t>10</w:t>
            </w:r>
          </w:p>
        </w:tc>
        <w:tc>
          <w:tcPr>
            <w:tcW w:w="4085" w:type="dxa"/>
          </w:tcPr>
          <w:p>
            <w:pPr>
              <w:pStyle w:val="yTableNAm"/>
            </w:pPr>
            <w:r>
              <w:t>Disobeying an authorised person’s reasonable direction</w:t>
            </w:r>
          </w:p>
        </w:tc>
        <w:tc>
          <w:tcPr>
            <w:tcW w:w="1160" w:type="dxa"/>
          </w:tcPr>
          <w:p>
            <w:pPr>
              <w:pStyle w:val="yTableNAm"/>
            </w:pPr>
            <w:r>
              <w:t>20</w:t>
            </w:r>
          </w:p>
        </w:tc>
      </w:tr>
      <w:tr>
        <w:tc>
          <w:tcPr>
            <w:tcW w:w="1843" w:type="dxa"/>
          </w:tcPr>
          <w:p>
            <w:pPr>
              <w:pStyle w:val="yTableNAm"/>
            </w:pPr>
            <w:r>
              <w:t>11(1)(a)</w:t>
            </w:r>
          </w:p>
        </w:tc>
        <w:tc>
          <w:tcPr>
            <w:tcW w:w="4085" w:type="dxa"/>
          </w:tcPr>
          <w:p>
            <w:pPr>
              <w:pStyle w:val="yTableNAm"/>
            </w:pPr>
            <w:r>
              <w:t>Driving in excess of 15 kph</w:t>
            </w:r>
          </w:p>
        </w:tc>
        <w:tc>
          <w:tcPr>
            <w:tcW w:w="1160" w:type="dxa"/>
          </w:tcPr>
          <w:p>
            <w:pPr>
              <w:pStyle w:val="yTableNAm"/>
            </w:pPr>
            <w:r>
              <w:t>40</w:t>
            </w:r>
          </w:p>
        </w:tc>
      </w:tr>
      <w:tr>
        <w:tc>
          <w:tcPr>
            <w:tcW w:w="1843" w:type="dxa"/>
          </w:tcPr>
          <w:p>
            <w:pPr>
              <w:pStyle w:val="yTableNAm"/>
            </w:pPr>
            <w:r>
              <w:t>11(1)(b)</w:t>
            </w:r>
          </w:p>
        </w:tc>
        <w:tc>
          <w:tcPr>
            <w:tcW w:w="4085" w:type="dxa"/>
          </w:tcPr>
          <w:p>
            <w:pPr>
              <w:pStyle w:val="yTableNAm"/>
            </w:pPr>
            <w:r>
              <w:t>Driving in excess of speed limit indicated by speed restriction sign</w:t>
            </w:r>
          </w:p>
        </w:tc>
        <w:tc>
          <w:tcPr>
            <w:tcW w:w="1160" w:type="dxa"/>
          </w:tcPr>
          <w:p>
            <w:pPr>
              <w:pStyle w:val="yTableNAm"/>
            </w:pPr>
            <w:r>
              <w:t>40</w:t>
            </w:r>
          </w:p>
        </w:tc>
      </w:tr>
      <w:tr>
        <w:tc>
          <w:tcPr>
            <w:tcW w:w="1843" w:type="dxa"/>
          </w:tcPr>
          <w:p>
            <w:pPr>
              <w:pStyle w:val="yTableNAm"/>
            </w:pPr>
            <w:r>
              <w:t>12</w:t>
            </w:r>
          </w:p>
        </w:tc>
        <w:tc>
          <w:tcPr>
            <w:tcW w:w="4085" w:type="dxa"/>
          </w:tcPr>
          <w:p>
            <w:pPr>
              <w:pStyle w:val="yTableNAm"/>
            </w:pPr>
            <w:r>
              <w:t>Failing to give way when entering parking facility</w:t>
            </w:r>
          </w:p>
        </w:tc>
        <w:tc>
          <w:tcPr>
            <w:tcW w:w="1160" w:type="dxa"/>
          </w:tcPr>
          <w:p>
            <w:pPr>
              <w:pStyle w:val="yTableNAm"/>
            </w:pPr>
            <w:r>
              <w:t>20</w:t>
            </w:r>
          </w:p>
        </w:tc>
      </w:tr>
      <w:tr>
        <w:tc>
          <w:tcPr>
            <w:tcW w:w="1843" w:type="dxa"/>
          </w:tcPr>
          <w:p>
            <w:pPr>
              <w:pStyle w:val="yTableNAm"/>
            </w:pPr>
            <w:r>
              <w:t>13(a)</w:t>
            </w:r>
          </w:p>
        </w:tc>
        <w:tc>
          <w:tcPr>
            <w:tcW w:w="4085" w:type="dxa"/>
          </w:tcPr>
          <w:p>
            <w:pPr>
              <w:pStyle w:val="yTableNAm"/>
            </w:pPr>
            <w:r>
              <w:t>Driving on site for the giving or receiving of driving instruction</w:t>
            </w:r>
          </w:p>
        </w:tc>
        <w:tc>
          <w:tcPr>
            <w:tcW w:w="1160" w:type="dxa"/>
          </w:tcPr>
          <w:p>
            <w:pPr>
              <w:pStyle w:val="yTableNAm"/>
            </w:pPr>
            <w:r>
              <w:t>20</w:t>
            </w:r>
          </w:p>
        </w:tc>
      </w:tr>
      <w:tr>
        <w:tc>
          <w:tcPr>
            <w:tcW w:w="1843" w:type="dxa"/>
          </w:tcPr>
          <w:p>
            <w:pPr>
              <w:pStyle w:val="yTableNAm"/>
            </w:pPr>
            <w:r>
              <w:t>13(b)</w:t>
            </w:r>
          </w:p>
        </w:tc>
        <w:tc>
          <w:tcPr>
            <w:tcW w:w="4085" w:type="dxa"/>
          </w:tcPr>
          <w:p>
            <w:pPr>
              <w:pStyle w:val="yTableNAm"/>
            </w:pPr>
            <w:r>
              <w:t>Repairing or adjusting a vehicle on site</w:t>
            </w:r>
          </w:p>
        </w:tc>
        <w:tc>
          <w:tcPr>
            <w:tcW w:w="1160" w:type="dxa"/>
          </w:tcPr>
          <w:p>
            <w:pPr>
              <w:pStyle w:val="yTableNAm"/>
            </w:pPr>
            <w:r>
              <w:t>10</w:t>
            </w:r>
          </w:p>
        </w:tc>
      </w:tr>
      <w:tr>
        <w:tc>
          <w:tcPr>
            <w:tcW w:w="1843" w:type="dxa"/>
          </w:tcPr>
          <w:p>
            <w:pPr>
              <w:pStyle w:val="yTableNAm"/>
            </w:pPr>
            <w:r>
              <w:t>14</w:t>
            </w:r>
          </w:p>
        </w:tc>
        <w:tc>
          <w:tcPr>
            <w:tcW w:w="4085" w:type="dxa"/>
          </w:tcPr>
          <w:p>
            <w:pPr>
              <w:pStyle w:val="yTableNAm"/>
            </w:pPr>
            <w:r>
              <w:t>Parking a vehicle on site not in a parking space</w:t>
            </w:r>
          </w:p>
        </w:tc>
        <w:tc>
          <w:tcPr>
            <w:tcW w:w="1160" w:type="dxa"/>
          </w:tcPr>
          <w:p>
            <w:pPr>
              <w:pStyle w:val="yTableNAm"/>
            </w:pPr>
            <w:r>
              <w:t>40</w:t>
            </w:r>
          </w:p>
        </w:tc>
      </w:tr>
      <w:tr>
        <w:tc>
          <w:tcPr>
            <w:tcW w:w="1843" w:type="dxa"/>
          </w:tcPr>
          <w:p>
            <w:pPr>
              <w:pStyle w:val="yTableNAm"/>
            </w:pPr>
            <w:r>
              <w:t>15</w:t>
            </w:r>
          </w:p>
        </w:tc>
        <w:tc>
          <w:tcPr>
            <w:tcW w:w="4085" w:type="dxa"/>
          </w:tcPr>
          <w:p>
            <w:pPr>
              <w:pStyle w:val="yTableNAm"/>
            </w:pPr>
            <w:r>
              <w:t>Failing to obey a stop sign on site</w:t>
            </w:r>
          </w:p>
        </w:tc>
        <w:tc>
          <w:tcPr>
            <w:tcW w:w="1160" w:type="dxa"/>
          </w:tcPr>
          <w:p>
            <w:pPr>
              <w:pStyle w:val="yTableNAm"/>
            </w:pPr>
            <w:r>
              <w:t>45</w:t>
            </w:r>
          </w:p>
        </w:tc>
      </w:tr>
      <w:tr>
        <w:tc>
          <w:tcPr>
            <w:tcW w:w="1843" w:type="dxa"/>
          </w:tcPr>
          <w:p>
            <w:pPr>
              <w:pStyle w:val="yTableNAm"/>
            </w:pPr>
            <w:r>
              <w:t>15</w:t>
            </w:r>
          </w:p>
        </w:tc>
        <w:tc>
          <w:tcPr>
            <w:tcW w:w="4085" w:type="dxa"/>
          </w:tcPr>
          <w:p>
            <w:pPr>
              <w:pStyle w:val="yTableNAm"/>
            </w:pPr>
            <w:r>
              <w:t>Parking, standing or moving a vehicle on site contrary to a sign other than a stop sign</w:t>
            </w:r>
          </w:p>
        </w:tc>
        <w:tc>
          <w:tcPr>
            <w:tcW w:w="1160" w:type="dxa"/>
          </w:tcPr>
          <w:p>
            <w:pPr>
              <w:pStyle w:val="yTableNAm"/>
            </w:pPr>
            <w:r>
              <w:t>40</w:t>
            </w:r>
          </w:p>
        </w:tc>
      </w:tr>
      <w:tr>
        <w:tc>
          <w:tcPr>
            <w:tcW w:w="1843" w:type="dxa"/>
          </w:tcPr>
          <w:p>
            <w:pPr>
              <w:pStyle w:val="yTableNAm"/>
              <w:keepNext/>
            </w:pPr>
          </w:p>
        </w:tc>
        <w:tc>
          <w:tcPr>
            <w:tcW w:w="4085" w:type="dxa"/>
          </w:tcPr>
          <w:p>
            <w:pPr>
              <w:pStyle w:val="yTableNAm"/>
            </w:pPr>
          </w:p>
        </w:tc>
        <w:tc>
          <w:tcPr>
            <w:tcW w:w="1160" w:type="dxa"/>
          </w:tcPr>
          <w:p>
            <w:pPr>
              <w:pStyle w:val="yTableNAm"/>
            </w:pPr>
            <w:r>
              <w:t>$</w:t>
            </w:r>
          </w:p>
        </w:tc>
      </w:tr>
      <w:tr>
        <w:tc>
          <w:tcPr>
            <w:tcW w:w="1843" w:type="dxa"/>
          </w:tcPr>
          <w:p>
            <w:pPr>
              <w:pStyle w:val="yTableNAm"/>
              <w:keepNext/>
            </w:pPr>
            <w:r>
              <w:t>16(3) &amp; 16(1)(b)</w:t>
            </w:r>
          </w:p>
        </w:tc>
        <w:tc>
          <w:tcPr>
            <w:tcW w:w="4085" w:type="dxa"/>
          </w:tcPr>
          <w:p>
            <w:pPr>
              <w:pStyle w:val="yTableNAm"/>
            </w:pPr>
            <w:r>
              <w:t>Parking in an area on site set aside for vehicles of disabled persons identified in the manner specified in a sign, contrary to the sign</w:t>
            </w:r>
          </w:p>
        </w:tc>
        <w:tc>
          <w:tcPr>
            <w:tcW w:w="1160" w:type="dxa"/>
          </w:tcPr>
          <w:p>
            <w:pPr>
              <w:pStyle w:val="yTableNAm"/>
            </w:pPr>
            <w:r>
              <w:t>40</w:t>
            </w:r>
          </w:p>
        </w:tc>
      </w:tr>
      <w:tr>
        <w:tc>
          <w:tcPr>
            <w:tcW w:w="1843" w:type="dxa"/>
          </w:tcPr>
          <w:p>
            <w:pPr>
              <w:pStyle w:val="yTableNAm"/>
            </w:pPr>
            <w:r>
              <w:t>16(3) &amp; 16(1)(e)</w:t>
            </w:r>
          </w:p>
        </w:tc>
        <w:tc>
          <w:tcPr>
            <w:tcW w:w="4085" w:type="dxa"/>
          </w:tcPr>
          <w:p>
            <w:pPr>
              <w:pStyle w:val="yTableNAm"/>
            </w:pPr>
            <w:r>
              <w:t>Displaying a visitor’s ticket or permit in a manner other than that specified in a sign</w:t>
            </w:r>
          </w:p>
        </w:tc>
        <w:tc>
          <w:tcPr>
            <w:tcW w:w="1160" w:type="dxa"/>
          </w:tcPr>
          <w:p>
            <w:pPr>
              <w:pStyle w:val="yTableNAm"/>
            </w:pPr>
            <w:r>
              <w:t>10</w:t>
            </w:r>
          </w:p>
        </w:tc>
      </w:tr>
      <w:tr>
        <w:tc>
          <w:tcPr>
            <w:tcW w:w="1843" w:type="dxa"/>
          </w:tcPr>
          <w:p>
            <w:pPr>
              <w:pStyle w:val="yTableNAm"/>
            </w:pPr>
            <w:r>
              <w:t>16(3) &amp; 16(1)(e)</w:t>
            </w:r>
          </w:p>
        </w:tc>
        <w:tc>
          <w:tcPr>
            <w:tcW w:w="4085" w:type="dxa"/>
          </w:tcPr>
          <w:p>
            <w:pPr>
              <w:pStyle w:val="yTableNAm"/>
            </w:pPr>
            <w:r>
              <w:t>Failing to display a permit, contrary to a sign</w:t>
            </w:r>
          </w:p>
        </w:tc>
        <w:tc>
          <w:tcPr>
            <w:tcW w:w="1160" w:type="dxa"/>
          </w:tcPr>
          <w:p>
            <w:pPr>
              <w:pStyle w:val="yTableNAm"/>
            </w:pPr>
            <w:r>
              <w:t>40</w:t>
            </w:r>
          </w:p>
        </w:tc>
      </w:tr>
      <w:tr>
        <w:tc>
          <w:tcPr>
            <w:tcW w:w="1843" w:type="dxa"/>
          </w:tcPr>
          <w:p>
            <w:pPr>
              <w:pStyle w:val="yTableNAm"/>
            </w:pPr>
            <w:r>
              <w:t>16(3)</w:t>
            </w:r>
          </w:p>
        </w:tc>
        <w:tc>
          <w:tcPr>
            <w:tcW w:w="4085" w:type="dxa"/>
          </w:tcPr>
          <w:p>
            <w:pPr>
              <w:pStyle w:val="yTableNAm"/>
            </w:pPr>
            <w:r>
              <w:t>Parking, standing or moving a vehicle in a parking space or parking facility contrary to a sign in relation to vehicles of disabled persons or contrary to any sign other than sign with a direction under by</w:t>
            </w:r>
            <w:r>
              <w:noBreakHyphen/>
              <w:t>law 16(1)(e)</w:t>
            </w:r>
          </w:p>
        </w:tc>
        <w:tc>
          <w:tcPr>
            <w:tcW w:w="1160" w:type="dxa"/>
          </w:tcPr>
          <w:p>
            <w:pPr>
              <w:pStyle w:val="yTableNAm"/>
            </w:pPr>
            <w:r>
              <w:t>40</w:t>
            </w:r>
          </w:p>
        </w:tc>
      </w:tr>
      <w:tr>
        <w:tc>
          <w:tcPr>
            <w:tcW w:w="1843" w:type="dxa"/>
          </w:tcPr>
          <w:p>
            <w:pPr>
              <w:pStyle w:val="yTableNAm"/>
            </w:pPr>
            <w:r>
              <w:t>16(4)(a)</w:t>
            </w:r>
          </w:p>
        </w:tc>
        <w:tc>
          <w:tcPr>
            <w:tcW w:w="4085" w:type="dxa"/>
          </w:tcPr>
          <w:p>
            <w:pPr>
              <w:pStyle w:val="yTableNAm"/>
            </w:pPr>
            <w:r>
              <w:t>Failing to pay the visitor parking charge</w:t>
            </w:r>
          </w:p>
        </w:tc>
        <w:tc>
          <w:tcPr>
            <w:tcW w:w="1160" w:type="dxa"/>
          </w:tcPr>
          <w:p>
            <w:pPr>
              <w:pStyle w:val="yTableNAm"/>
            </w:pPr>
            <w:r>
              <w:t>40</w:t>
            </w:r>
          </w:p>
        </w:tc>
      </w:tr>
      <w:tr>
        <w:tc>
          <w:tcPr>
            <w:tcW w:w="1843" w:type="dxa"/>
          </w:tcPr>
          <w:p>
            <w:pPr>
              <w:pStyle w:val="yTableNAm"/>
            </w:pPr>
            <w:r>
              <w:t>16(4)(b)</w:t>
            </w:r>
          </w:p>
        </w:tc>
        <w:tc>
          <w:tcPr>
            <w:tcW w:w="4085" w:type="dxa"/>
          </w:tcPr>
          <w:p>
            <w:pPr>
              <w:pStyle w:val="yTableNAm"/>
            </w:pPr>
            <w:r>
              <w:t>Failing to display a visitor’s ticket, contrary to a sign</w:t>
            </w:r>
          </w:p>
        </w:tc>
        <w:tc>
          <w:tcPr>
            <w:tcW w:w="1160" w:type="dxa"/>
          </w:tcPr>
          <w:p>
            <w:pPr>
              <w:pStyle w:val="yTableNAm"/>
            </w:pPr>
            <w:r>
              <w:t>40</w:t>
            </w:r>
          </w:p>
        </w:tc>
      </w:tr>
      <w:tr>
        <w:tc>
          <w:tcPr>
            <w:tcW w:w="1843" w:type="dxa"/>
          </w:tcPr>
          <w:p>
            <w:pPr>
              <w:pStyle w:val="yTableNAm"/>
            </w:pPr>
            <w:r>
              <w:t>17(9)</w:t>
            </w:r>
          </w:p>
        </w:tc>
        <w:tc>
          <w:tcPr>
            <w:tcW w:w="4085" w:type="dxa"/>
          </w:tcPr>
          <w:p>
            <w:pPr>
              <w:pStyle w:val="yTableNAm"/>
            </w:pPr>
            <w:r>
              <w:t>Parking in an area on site set apart for permit holders only, without a current permit</w:t>
            </w:r>
          </w:p>
        </w:tc>
        <w:tc>
          <w:tcPr>
            <w:tcW w:w="1160" w:type="dxa"/>
          </w:tcPr>
          <w:p>
            <w:pPr>
              <w:pStyle w:val="yTableNAm"/>
            </w:pPr>
            <w:r>
              <w:t>40</w:t>
            </w:r>
          </w:p>
        </w:tc>
      </w:tr>
      <w:tr>
        <w:tc>
          <w:tcPr>
            <w:tcW w:w="1843" w:type="dxa"/>
          </w:tcPr>
          <w:p>
            <w:pPr>
              <w:pStyle w:val="yTableNAm"/>
            </w:pPr>
            <w:r>
              <w:t>23</w:t>
            </w:r>
          </w:p>
        </w:tc>
        <w:tc>
          <w:tcPr>
            <w:tcW w:w="4085" w:type="dxa"/>
          </w:tcPr>
          <w:p>
            <w:pPr>
              <w:pStyle w:val="yTableNAm"/>
            </w:pPr>
            <w:r>
              <w:t>Unauthorised person endorsing or altering an infringement notice</w:t>
            </w:r>
          </w:p>
        </w:tc>
        <w:tc>
          <w:tcPr>
            <w:tcW w:w="1160" w:type="dxa"/>
          </w:tcPr>
          <w:p>
            <w:pPr>
              <w:pStyle w:val="yTableNAm"/>
            </w:pPr>
            <w:r>
              <w:t>20</w:t>
            </w:r>
          </w:p>
        </w:tc>
      </w:tr>
      <w:tr>
        <w:tc>
          <w:tcPr>
            <w:tcW w:w="1843" w:type="dxa"/>
            <w:tcBorders>
              <w:bottom w:val="single" w:sz="4" w:space="0" w:color="auto"/>
            </w:tcBorders>
          </w:tcPr>
          <w:p>
            <w:pPr>
              <w:pStyle w:val="yTableNAm"/>
            </w:pPr>
            <w:r>
              <w:t>24</w:t>
            </w:r>
          </w:p>
        </w:tc>
        <w:tc>
          <w:tcPr>
            <w:tcW w:w="4085" w:type="dxa"/>
            <w:tcBorders>
              <w:bottom w:val="single" w:sz="4" w:space="0" w:color="auto"/>
            </w:tcBorders>
          </w:tcPr>
          <w:p>
            <w:pPr>
              <w:pStyle w:val="yTableNAm"/>
            </w:pPr>
            <w:r>
              <w:t>Removing an infringement notice when not authorised to do so</w:t>
            </w:r>
          </w:p>
        </w:tc>
        <w:tc>
          <w:tcPr>
            <w:tcW w:w="1160" w:type="dxa"/>
            <w:tcBorders>
              <w:bottom w:val="single" w:sz="4" w:space="0" w:color="auto"/>
            </w:tcBorders>
          </w:tcPr>
          <w:p>
            <w:pPr>
              <w:pStyle w:val="yTableNAm"/>
            </w:pPr>
            <w:r>
              <w:t>20</w:t>
            </w:r>
          </w:p>
        </w:tc>
      </w:tr>
    </w:tbl>
    <w:p>
      <w:pPr>
        <w:pStyle w:val="yFootnotesection"/>
      </w:pPr>
      <w:r>
        <w:tab/>
        <w:t>[Schedule 2 amended in Gazette 29 Aug 1995 p. 3900; 23 Dec 2011 p. 5427</w:t>
      </w:r>
      <w:r>
        <w:noBreakHyphen/>
        <w:t>8 (disallowed in Gazette 18 Sep 2012 p. 4411); 28 Sep 2012 p. 4653.]</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bookmarkStart w:id="48" w:name="_Toc434919839"/>
    </w:p>
    <w:p>
      <w:pPr>
        <w:pStyle w:val="yScheduleHeading"/>
      </w:pPr>
      <w:bookmarkStart w:id="49" w:name="_Toc437528595"/>
      <w:r>
        <w:rPr>
          <w:rStyle w:val="CharSchNo"/>
        </w:rPr>
        <w:t>Schedule 3</w:t>
      </w:r>
      <w:r>
        <w:t> — </w:t>
      </w:r>
      <w:r>
        <w:rPr>
          <w:rStyle w:val="CharSchText"/>
        </w:rPr>
        <w:t>Forms</w:t>
      </w:r>
      <w:bookmarkEnd w:id="48"/>
      <w:bookmarkEnd w:id="49"/>
    </w:p>
    <w:p>
      <w:pPr>
        <w:pStyle w:val="yShoulderClause"/>
      </w:pPr>
      <w:r>
        <w:t>[bl. 20(3) and 21]</w:t>
      </w:r>
    </w:p>
    <w:p>
      <w:pPr>
        <w:pStyle w:val="yFootnoteheading"/>
      </w:pPr>
      <w:r>
        <w:tab/>
        <w:t>[Heading inserted in Gazette 13 Jun 2014 p. 1883.]</w:t>
      </w:r>
    </w:p>
    <w:p>
      <w:pPr>
        <w:pStyle w:val="yMiscellaneousHeading"/>
        <w:rPr>
          <w:b/>
        </w:rPr>
      </w:pPr>
      <w:r>
        <w:rPr>
          <w:rStyle w:val="CharSClsNo"/>
          <w:b/>
        </w:rPr>
        <w:t>Form 1</w:t>
      </w:r>
      <w:r>
        <w:rPr>
          <w:b/>
        </w:rPr>
        <w:t>: Infringement Notice (by</w:t>
      </w:r>
      <w:r>
        <w:rPr>
          <w:b/>
        </w:rPr>
        <w:noBreakHyphen/>
        <w:t>law 20(3))</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Heading"/>
        <w:spacing w:after="120"/>
        <w:rPr>
          <w:b/>
          <w:i/>
          <w:szCs w:val="22"/>
        </w:rPr>
      </w:pPr>
      <w:r>
        <w:rPr>
          <w:b/>
          <w:i/>
          <w:szCs w:val="22"/>
        </w:rPr>
        <w:t>Fremantle Hospital By</w:t>
      </w:r>
      <w:r>
        <w:rPr>
          <w:b/>
          <w:i/>
          <w:szCs w:val="22"/>
        </w:rPr>
        <w:noBreakHyphen/>
        <w:t>laws 1992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nil"/>
              <w:right w:val="nil"/>
            </w:tcBorders>
          </w:tcPr>
          <w:p>
            <w:pPr>
              <w:pStyle w:val="yTableNAm"/>
              <w:rPr>
                <w:b/>
              </w:rPr>
            </w:pPr>
          </w:p>
        </w:tc>
      </w:tr>
      <w:tr>
        <w:trPr>
          <w:cantSplit/>
        </w:trPr>
        <w:tc>
          <w:tcPr>
            <w:tcW w:w="6938" w:type="dxa"/>
            <w:gridSpan w:val="6"/>
            <w:tcBorders>
              <w:top w:val="nil"/>
              <w:left w:val="nil"/>
              <w:bottom w:val="single" w:sz="4" w:space="0" w:color="auto"/>
              <w:right w:val="nil"/>
            </w:tcBorders>
          </w:tcPr>
          <w:p>
            <w:pPr>
              <w:pStyle w:val="yTableNAm"/>
              <w:keepNext/>
              <w:keepLines/>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keepNext/>
              <w:keepLines/>
            </w:pPr>
            <w:r>
              <w:t>Reg No.</w:t>
            </w:r>
          </w:p>
        </w:tc>
        <w:tc>
          <w:tcPr>
            <w:tcW w:w="3168" w:type="dxa"/>
            <w:gridSpan w:val="3"/>
            <w:tcBorders>
              <w:top w:val="single" w:sz="4" w:space="0" w:color="auto"/>
              <w:bottom w:val="single" w:sz="4" w:space="0" w:color="auto"/>
            </w:tcBorders>
          </w:tcPr>
          <w:p>
            <w:pPr>
              <w:pStyle w:val="yTableNAm"/>
              <w:keepNext/>
              <w:keepLines/>
            </w:pPr>
            <w:r>
              <w:t>State</w:t>
            </w:r>
          </w:p>
        </w:tc>
      </w:tr>
      <w:tr>
        <w:trPr>
          <w:cantSplit/>
        </w:trPr>
        <w:tc>
          <w:tcPr>
            <w:tcW w:w="3770" w:type="dxa"/>
            <w:gridSpan w:val="3"/>
            <w:tcBorders>
              <w:top w:val="single" w:sz="4" w:space="0" w:color="auto"/>
              <w:left w:val="nil"/>
              <w:bottom w:val="single" w:sz="4" w:space="0" w:color="auto"/>
            </w:tcBorders>
          </w:tcPr>
          <w:p>
            <w:pPr>
              <w:pStyle w:val="zyTableNAm"/>
              <w:keepNext/>
              <w:keepLines/>
            </w:pPr>
          </w:p>
        </w:tc>
        <w:tc>
          <w:tcPr>
            <w:tcW w:w="3168" w:type="dxa"/>
            <w:gridSpan w:val="3"/>
            <w:tcBorders>
              <w:top w:val="single" w:sz="4" w:space="0" w:color="auto"/>
              <w:bottom w:val="single" w:sz="4" w:space="0" w:color="auto"/>
              <w:right w:val="nil"/>
            </w:tcBorders>
          </w:tcPr>
          <w:p>
            <w:pPr>
              <w:pStyle w:val="yTableNAm"/>
              <w:keepNext/>
              <w:keepLines/>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u w:val="single"/>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u w:val="single"/>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1883</w:t>
      </w:r>
      <w:r>
        <w:noBreakHyphen/>
        <w:t>5; amended in Gazette 8 Jan 2015 p. 183</w:t>
      </w:r>
      <w:r>
        <w:noBreakHyphen/>
        <w:t>4.]</w:t>
      </w:r>
    </w:p>
    <w:p>
      <w:pPr>
        <w:pStyle w:val="yMiscellaneousHeading"/>
        <w:pageBreakBefore/>
        <w:spacing w:before="0"/>
      </w:pPr>
      <w:r>
        <w:rPr>
          <w:rStyle w:val="CharSClsNo"/>
          <w:b/>
        </w:rPr>
        <w:t>Form 2</w:t>
      </w:r>
      <w:r>
        <w:t>:  Withdrawal of Infringement Notice (by</w:t>
      </w:r>
      <w:r>
        <w:noBreakHyphen/>
        <w:t>law 21)</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Body"/>
      </w:pPr>
    </w:p>
    <w:p>
      <w:pPr>
        <w:pStyle w:val="yMiscellaneousBody"/>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1885.]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50" w:name="_Toc434919840"/>
      <w:bookmarkStart w:id="51" w:name="_Toc437528596"/>
      <w:r>
        <w:t>Notes</w:t>
      </w:r>
      <w:bookmarkEnd w:id="50"/>
      <w:bookmarkEnd w:id="51"/>
    </w:p>
    <w:p>
      <w:pPr>
        <w:pStyle w:val="nSubsection"/>
      </w:pPr>
      <w:r>
        <w:rPr>
          <w:vertAlign w:val="superscript"/>
        </w:rPr>
        <w:t>1</w:t>
      </w:r>
      <w:r>
        <w:tab/>
        <w:t xml:space="preserve">This reprint is a compilation as at 4 December 2015 of the </w:t>
      </w: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By</w:t>
      </w:r>
      <w:r>
        <w:rPr>
          <w:i/>
        </w:rPr>
        <w:noBreakHyphen/>
        <w:t xml:space="preserve">laws 1992 </w:t>
      </w:r>
      <w:r>
        <w:t>and includes the amendments made by the other written laws referred to in the following table.  The table also contains information about any reprint.</w:t>
      </w:r>
    </w:p>
    <w:p>
      <w:pPr>
        <w:pStyle w:val="nHeading3"/>
        <w:rPr>
          <w:snapToGrid w:val="0"/>
        </w:rPr>
      </w:pPr>
      <w:bookmarkStart w:id="52" w:name="_Toc437528597"/>
      <w:r>
        <w:rPr>
          <w:snapToGrid w:val="0"/>
        </w:rPr>
        <w:t>Compilation table</w:t>
      </w:r>
      <w:bookmarkEnd w:id="5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By</w:t>
            </w:r>
            <w:r>
              <w:rPr>
                <w:i/>
              </w:rPr>
              <w:noBreakHyphen/>
              <w:t>laws 1992</w:t>
            </w:r>
          </w:p>
        </w:tc>
        <w:tc>
          <w:tcPr>
            <w:tcW w:w="1276" w:type="dxa"/>
          </w:tcPr>
          <w:p>
            <w:pPr>
              <w:pStyle w:val="nTable"/>
              <w:spacing w:after="40"/>
            </w:pPr>
            <w:r>
              <w:t>28 Jul 1992 p. 3680</w:t>
            </w:r>
            <w:r>
              <w:noBreakHyphen/>
              <w:t>91</w:t>
            </w:r>
          </w:p>
        </w:tc>
        <w:tc>
          <w:tcPr>
            <w:tcW w:w="2693" w:type="dxa"/>
          </w:tcPr>
          <w:p>
            <w:pPr>
              <w:pStyle w:val="nTable"/>
              <w:spacing w:after="40"/>
            </w:pPr>
            <w:r>
              <w:t>1 Aug 1992 (see bl. 2)</w:t>
            </w:r>
          </w:p>
        </w:tc>
      </w:tr>
      <w:tr>
        <w:tc>
          <w:tcPr>
            <w:tcW w:w="3118"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1992</w:t>
            </w:r>
          </w:p>
        </w:tc>
        <w:tc>
          <w:tcPr>
            <w:tcW w:w="1276" w:type="dxa"/>
          </w:tcPr>
          <w:p>
            <w:pPr>
              <w:pStyle w:val="nTable"/>
              <w:spacing w:after="40"/>
            </w:pPr>
            <w:r>
              <w:t>8 Dec 1992 p. 5934</w:t>
            </w:r>
          </w:p>
        </w:tc>
        <w:tc>
          <w:tcPr>
            <w:tcW w:w="2693" w:type="dxa"/>
          </w:tcPr>
          <w:p>
            <w:pPr>
              <w:pStyle w:val="nTable"/>
              <w:spacing w:after="40"/>
            </w:pPr>
            <w:r>
              <w:t>1 Jan 1993 (see bl. 2)</w:t>
            </w:r>
          </w:p>
        </w:tc>
      </w:tr>
      <w:tr>
        <w:tc>
          <w:tcPr>
            <w:tcW w:w="3118"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1995</w:t>
            </w:r>
          </w:p>
        </w:tc>
        <w:tc>
          <w:tcPr>
            <w:tcW w:w="1276" w:type="dxa"/>
          </w:tcPr>
          <w:p>
            <w:pPr>
              <w:pStyle w:val="nTable"/>
              <w:spacing w:after="40"/>
            </w:pPr>
            <w:r>
              <w:t>29 Aug 1995 p. 3899</w:t>
            </w:r>
            <w:r>
              <w:noBreakHyphen/>
              <w:t>901</w:t>
            </w:r>
          </w:p>
        </w:tc>
        <w:tc>
          <w:tcPr>
            <w:tcW w:w="2693" w:type="dxa"/>
          </w:tcPr>
          <w:p>
            <w:pPr>
              <w:pStyle w:val="nTable"/>
              <w:spacing w:after="40"/>
            </w:pPr>
            <w:r>
              <w:t>1 Sep 1995 (see bl. 2)</w:t>
            </w:r>
          </w:p>
        </w:tc>
      </w:tr>
      <w:tr>
        <w:tc>
          <w:tcPr>
            <w:tcW w:w="3118"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1998</w:t>
            </w:r>
          </w:p>
        </w:tc>
        <w:tc>
          <w:tcPr>
            <w:tcW w:w="1276" w:type="dxa"/>
          </w:tcPr>
          <w:p>
            <w:pPr>
              <w:pStyle w:val="nTable"/>
              <w:spacing w:after="40"/>
            </w:pPr>
            <w:r>
              <w:t>10 Jul 1998 p. 3634</w:t>
            </w:r>
          </w:p>
        </w:tc>
        <w:tc>
          <w:tcPr>
            <w:tcW w:w="2693" w:type="dxa"/>
          </w:tcPr>
          <w:p>
            <w:pPr>
              <w:pStyle w:val="nTable"/>
              <w:spacing w:after="40"/>
            </w:pPr>
            <w:r>
              <w:t>10 Jul 1998</w:t>
            </w:r>
          </w:p>
        </w:tc>
      </w:tr>
      <w:tr>
        <w:trPr>
          <w:cantSplit/>
        </w:trPr>
        <w:tc>
          <w:tcPr>
            <w:tcW w:w="7087" w:type="dxa"/>
            <w:gridSpan w:val="3"/>
          </w:tcPr>
          <w:p>
            <w:pPr>
              <w:pStyle w:val="nTable"/>
              <w:spacing w:after="40"/>
            </w:pPr>
            <w:r>
              <w:rPr>
                <w:b/>
              </w:rPr>
              <w:t xml:space="preserve">Reprint 1: The </w:t>
            </w:r>
            <w:smartTag w:uri="urn:schemas-microsoft-com:office:smarttags" w:element="place">
              <w:smartTag w:uri="urn:schemas-microsoft-com:office:smarttags" w:element="PlaceName">
                <w:r>
                  <w:rPr>
                    <w:b/>
                    <w:i/>
                  </w:rPr>
                  <w:t>Fremantle</w:t>
                </w:r>
              </w:smartTag>
              <w:r>
                <w:rPr>
                  <w:b/>
                  <w:i/>
                </w:rPr>
                <w:t xml:space="preserve"> </w:t>
              </w:r>
              <w:smartTag w:uri="urn:schemas-microsoft-com:office:smarttags" w:element="PlaceType">
                <w:r>
                  <w:rPr>
                    <w:b/>
                    <w:i/>
                  </w:rPr>
                  <w:t>Hospital</w:t>
                </w:r>
              </w:smartTag>
            </w:smartTag>
            <w:r>
              <w:rPr>
                <w:b/>
                <w:i/>
              </w:rPr>
              <w:t xml:space="preserve"> By</w:t>
            </w:r>
            <w:r>
              <w:rPr>
                <w:b/>
                <w:i/>
              </w:rPr>
              <w:noBreakHyphen/>
              <w:t xml:space="preserve">laws 1992 </w:t>
            </w:r>
            <w:r>
              <w:rPr>
                <w:b/>
              </w:rPr>
              <w:t>as at 25 Jul 2003</w:t>
            </w:r>
            <w:r>
              <w:t xml:space="preserve"> (includes amendments listed above)</w:t>
            </w:r>
          </w:p>
        </w:tc>
      </w:tr>
      <w:tr>
        <w:tc>
          <w:tcPr>
            <w:tcW w:w="3118" w:type="dxa"/>
          </w:tcPr>
          <w:p>
            <w:pPr>
              <w:pStyle w:val="nTable"/>
              <w:spacing w:after="40"/>
              <w:rPr>
                <w:rFonts w:ascii="Times" w:hAnsi="Times"/>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2004</w:t>
            </w:r>
          </w:p>
        </w:tc>
        <w:tc>
          <w:tcPr>
            <w:tcW w:w="1276" w:type="dxa"/>
          </w:tcPr>
          <w:p>
            <w:pPr>
              <w:pStyle w:val="nTable"/>
              <w:spacing w:after="40"/>
              <w:rPr>
                <w:rFonts w:ascii="Times" w:hAnsi="Times"/>
              </w:rPr>
            </w:pPr>
            <w:r>
              <w:rPr>
                <w:rFonts w:ascii="Times" w:hAnsi="Times"/>
              </w:rPr>
              <w:t>29 Jun 2004 p. 2528-9</w:t>
            </w:r>
          </w:p>
        </w:tc>
        <w:tc>
          <w:tcPr>
            <w:tcW w:w="2693" w:type="dxa"/>
          </w:tcPr>
          <w:p>
            <w:pPr>
              <w:pStyle w:val="nTable"/>
              <w:spacing w:after="40"/>
              <w:rPr>
                <w:rFonts w:ascii="Times" w:hAnsi="Times"/>
              </w:rPr>
            </w:pPr>
            <w:r>
              <w:rPr>
                <w:rFonts w:ascii="Times" w:hAnsi="Times"/>
              </w:rPr>
              <w:t>1 Jul 2004 (see bl. 2)</w:t>
            </w:r>
          </w:p>
        </w:tc>
      </w:tr>
      <w:tr>
        <w:tc>
          <w:tcPr>
            <w:tcW w:w="3118" w:type="dxa"/>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2008</w:t>
            </w:r>
          </w:p>
        </w:tc>
        <w:tc>
          <w:tcPr>
            <w:tcW w:w="1276" w:type="dxa"/>
          </w:tcPr>
          <w:p>
            <w:pPr>
              <w:pStyle w:val="nTable"/>
              <w:spacing w:after="40"/>
              <w:rPr>
                <w:rFonts w:ascii="Times" w:hAnsi="Times"/>
              </w:rPr>
            </w:pPr>
            <w:r>
              <w:rPr>
                <w:rFonts w:ascii="Times" w:hAnsi="Times"/>
              </w:rPr>
              <w:t>12 Feb 2008 p. 340</w:t>
            </w:r>
          </w:p>
        </w:tc>
        <w:tc>
          <w:tcPr>
            <w:tcW w:w="2693" w:type="dxa"/>
          </w:tcPr>
          <w:p>
            <w:pPr>
              <w:pStyle w:val="nTable"/>
              <w:spacing w:after="40"/>
              <w:rPr>
                <w:rFonts w:ascii="Times" w:hAnsi="Times"/>
              </w:rPr>
            </w:pPr>
            <w:r>
              <w:rPr>
                <w:rFonts w:ascii="Times" w:hAnsi="Times"/>
                <w:snapToGrid w:val="0"/>
              </w:rPr>
              <w:t>bl. 1 and 2: 12 Feb 2008 (see bl. 2(a));</w:t>
            </w:r>
            <w:r>
              <w:rPr>
                <w:rFonts w:ascii="Times" w:hAnsi="Times"/>
                <w:snapToGrid w:val="0"/>
              </w:rPr>
              <w:br/>
              <w:t>By</w:t>
            </w:r>
            <w:r>
              <w:rPr>
                <w:rFonts w:ascii="Times" w:hAnsi="Times"/>
                <w:snapToGrid w:val="0"/>
              </w:rPr>
              <w:noBreakHyphen/>
              <w:t>laws other than bl. 1 and 2: 13 Feb 2008 (see bl. 2(b))</w:t>
            </w:r>
          </w:p>
        </w:tc>
      </w:tr>
      <w:tr>
        <w:tc>
          <w:tcPr>
            <w:tcW w:w="3118" w:type="dxa"/>
          </w:tcPr>
          <w:p>
            <w:pPr>
              <w:pStyle w:val="nTable"/>
              <w:spacing w:after="40"/>
              <w:rPr>
                <w:rFonts w:ascii="Times" w:hAnsi="Times"/>
                <w:iCs/>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2010</w:t>
            </w:r>
            <w:r>
              <w:rPr>
                <w:rFonts w:ascii="Times" w:hAnsi="Times"/>
                <w:iCs/>
              </w:rPr>
              <w:t xml:space="preserve"> </w:t>
            </w:r>
          </w:p>
        </w:tc>
        <w:tc>
          <w:tcPr>
            <w:tcW w:w="1276" w:type="dxa"/>
          </w:tcPr>
          <w:p>
            <w:pPr>
              <w:pStyle w:val="nTable"/>
              <w:spacing w:after="40"/>
              <w:rPr>
                <w:rFonts w:ascii="Times" w:hAnsi="Times"/>
              </w:rPr>
            </w:pPr>
            <w:r>
              <w:rPr>
                <w:rFonts w:ascii="Times" w:hAnsi="Times"/>
              </w:rPr>
              <w:t>26 Nov 2010 p. 5937-8</w:t>
            </w:r>
          </w:p>
        </w:tc>
        <w:tc>
          <w:tcPr>
            <w:tcW w:w="2693" w:type="dxa"/>
          </w:tcPr>
          <w:p>
            <w:pPr>
              <w:pStyle w:val="nTable"/>
              <w:spacing w:after="40"/>
              <w:rPr>
                <w:rFonts w:ascii="Times" w:hAnsi="Times"/>
              </w:rPr>
            </w:pPr>
            <w:r>
              <w:rPr>
                <w:rFonts w:ascii="Times" w:hAnsi="Times"/>
                <w:snapToGrid w:val="0"/>
              </w:rPr>
              <w:t>bl. 1 and 2: 26 Nov 2010 (see bl. 2(a));</w:t>
            </w:r>
            <w:r>
              <w:rPr>
                <w:rFonts w:ascii="Times" w:hAnsi="Times"/>
                <w:snapToGrid w:val="0"/>
              </w:rPr>
              <w:br/>
              <w:t>By-laws other than bl. 1 and 2: 1 Jan 2011 (see bl. 2(b))</w:t>
            </w:r>
          </w:p>
        </w:tc>
      </w:tr>
      <w:tr>
        <w:tc>
          <w:tcPr>
            <w:tcW w:w="3118" w:type="dxa"/>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2011</w:t>
            </w:r>
          </w:p>
        </w:tc>
        <w:tc>
          <w:tcPr>
            <w:tcW w:w="1276" w:type="dxa"/>
          </w:tcPr>
          <w:p>
            <w:pPr>
              <w:pStyle w:val="nTable"/>
              <w:spacing w:after="40"/>
              <w:rPr>
                <w:rFonts w:ascii="Times" w:hAnsi="Times"/>
              </w:rPr>
            </w:pPr>
            <w:r>
              <w:rPr>
                <w:rFonts w:ascii="Times" w:hAnsi="Times"/>
              </w:rPr>
              <w:t>24 Jun 2011 p. 2504</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bl. 1 and 2: 24 Jun 2011 (see bl. 2(a));</w:t>
            </w:r>
            <w:r>
              <w:rPr>
                <w:rFonts w:ascii="Times" w:hAnsi="Times"/>
                <w:snapToGrid w:val="0"/>
              </w:rPr>
              <w:br/>
              <w:t>By-laws other than bl. 1 and 2: 1 Jul 2011 (see bl. 2(b))</w:t>
            </w:r>
          </w:p>
        </w:tc>
      </w:tr>
      <w:tr>
        <w:tc>
          <w:tcPr>
            <w:tcW w:w="3118" w:type="dxa"/>
            <w:shd w:val="clear" w:color="auto" w:fill="auto"/>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(No. 2) 2011</w:t>
            </w:r>
            <w:r>
              <w:rPr>
                <w:rFonts w:ascii="Times" w:hAnsi="Times"/>
                <w:i/>
                <w:vertAlign w:val="superscript"/>
              </w:rPr>
              <w:t> 2</w:t>
            </w:r>
          </w:p>
        </w:tc>
        <w:tc>
          <w:tcPr>
            <w:tcW w:w="1276" w:type="dxa"/>
            <w:shd w:val="clear" w:color="auto" w:fill="auto"/>
          </w:tcPr>
          <w:p>
            <w:pPr>
              <w:pStyle w:val="nTable"/>
              <w:spacing w:after="40"/>
              <w:rPr>
                <w:rFonts w:ascii="Times" w:hAnsi="Times"/>
              </w:rPr>
            </w:pPr>
            <w:r>
              <w:rPr>
                <w:rFonts w:ascii="Times" w:hAnsi="Times"/>
              </w:rPr>
              <w:t>23 Dec 2011 p. 5425</w:t>
            </w:r>
            <w:r>
              <w:rPr>
                <w:rFonts w:ascii="Times" w:hAnsi="Times"/>
              </w:rPr>
              <w:noBreakHyphen/>
              <w:t>9</w:t>
            </w:r>
          </w:p>
        </w:tc>
        <w:tc>
          <w:tcPr>
            <w:tcW w:w="2693" w:type="dxa"/>
            <w:shd w:val="clear" w:color="auto" w:fill="auto"/>
          </w:tcPr>
          <w:p>
            <w:pPr>
              <w:pStyle w:val="nTable"/>
              <w:spacing w:after="40"/>
              <w:rPr>
                <w:rFonts w:ascii="Times" w:hAnsi="Times"/>
                <w:snapToGrid w:val="0"/>
              </w:rPr>
            </w:pPr>
            <w:r>
              <w:rPr>
                <w:rFonts w:ascii="Times" w:hAnsi="Times"/>
                <w:snapToGrid w:val="0"/>
              </w:rPr>
              <w:t>bl. 1 and 2: 23 Dec 2011 (see bl. 2(a));</w:t>
            </w:r>
            <w:r>
              <w:rPr>
                <w:rFonts w:ascii="Times" w:hAnsi="Times"/>
                <w:snapToGrid w:val="0"/>
              </w:rPr>
              <w:br/>
              <w:t>By-laws other than bl. 1 and 2: 1 Jan 2012 (see bl. 2(b))</w:t>
            </w:r>
          </w:p>
        </w:tc>
      </w:tr>
      <w:tr>
        <w:tc>
          <w:tcPr>
            <w:tcW w:w="7087" w:type="dxa"/>
            <w:gridSpan w:val="3"/>
            <w:shd w:val="clear" w:color="auto" w:fill="auto"/>
          </w:tcPr>
          <w:p>
            <w:pPr>
              <w:pStyle w:val="nTable"/>
              <w:spacing w:after="40"/>
              <w:rPr>
                <w:snapToGrid w:val="0"/>
                <w:spacing w:val="-2"/>
              </w:rPr>
            </w:pPr>
            <w:r>
              <w:rPr>
                <w:b/>
              </w:rPr>
              <w:t xml:space="preserve">Reprint 2: The </w:t>
            </w:r>
            <w:smartTag w:uri="urn:schemas-microsoft-com:office:smarttags" w:element="place">
              <w:smartTag w:uri="urn:schemas-microsoft-com:office:smarttags" w:element="PlaceName">
                <w:r>
                  <w:rPr>
                    <w:b/>
                    <w:i/>
                  </w:rPr>
                  <w:t>Fremantle</w:t>
                </w:r>
              </w:smartTag>
              <w:r>
                <w:rPr>
                  <w:b/>
                  <w:i/>
                </w:rPr>
                <w:t xml:space="preserve"> </w:t>
              </w:r>
              <w:smartTag w:uri="urn:schemas-microsoft-com:office:smarttags" w:element="PlaceType">
                <w:r>
                  <w:rPr>
                    <w:b/>
                    <w:i/>
                  </w:rPr>
                  <w:t>Hospital</w:t>
                </w:r>
              </w:smartTag>
            </w:smartTag>
            <w:r>
              <w:rPr>
                <w:b/>
                <w:i/>
              </w:rPr>
              <w:t xml:space="preserve"> By</w:t>
            </w:r>
            <w:r>
              <w:rPr>
                <w:b/>
                <w:i/>
              </w:rPr>
              <w:noBreakHyphen/>
              <w:t xml:space="preserve">laws 1992 </w:t>
            </w:r>
            <w:r>
              <w:rPr>
                <w:b/>
              </w:rPr>
              <w:t>as at 27 Jul 2012</w:t>
            </w:r>
            <w:r>
              <w:t xml:space="preserve"> (includes amendments listed above)</w:t>
            </w:r>
          </w:p>
        </w:tc>
      </w:tr>
      <w:tr>
        <w:tc>
          <w:tcPr>
            <w:tcW w:w="3118" w:type="dxa"/>
            <w:shd w:val="clear" w:color="auto" w:fill="auto"/>
          </w:tcPr>
          <w:p>
            <w:pPr>
              <w:pStyle w:val="nTable"/>
              <w:keepNext/>
              <w:keepLines/>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2012</w:t>
            </w:r>
          </w:p>
        </w:tc>
        <w:tc>
          <w:tcPr>
            <w:tcW w:w="1276" w:type="dxa"/>
            <w:shd w:val="clear" w:color="auto" w:fill="auto"/>
          </w:tcPr>
          <w:p>
            <w:pPr>
              <w:pStyle w:val="nTable"/>
              <w:keepNext/>
              <w:keepLines/>
              <w:spacing w:after="40"/>
              <w:rPr>
                <w:rFonts w:ascii="Times" w:hAnsi="Times"/>
              </w:rPr>
            </w:pPr>
            <w:r>
              <w:rPr>
                <w:rFonts w:ascii="Times" w:hAnsi="Times"/>
              </w:rPr>
              <w:t>28 Sep 2012 p. 4650-4</w:t>
            </w:r>
          </w:p>
        </w:tc>
        <w:tc>
          <w:tcPr>
            <w:tcW w:w="2693" w:type="dxa"/>
            <w:shd w:val="clear" w:color="auto" w:fill="auto"/>
          </w:tcPr>
          <w:p>
            <w:pPr>
              <w:pStyle w:val="nTable"/>
              <w:keepNext/>
              <w:keepLines/>
              <w:spacing w:after="40"/>
              <w:rPr>
                <w:rFonts w:ascii="Times" w:hAnsi="Times"/>
                <w:snapToGrid w:val="0"/>
              </w:rPr>
            </w:pPr>
            <w:r>
              <w:rPr>
                <w:rFonts w:ascii="Times" w:hAnsi="Times"/>
                <w:snapToGrid w:val="0"/>
              </w:rPr>
              <w:t>bl. 1 and 2: 28 Sep 2012 (see bl. 2(a));</w:t>
            </w:r>
            <w:r>
              <w:rPr>
                <w:rFonts w:ascii="Times" w:hAnsi="Times"/>
                <w:snapToGrid w:val="0"/>
              </w:rPr>
              <w:br/>
              <w:t>By-laws other than bl. 1 and 2: 29 Sep 2012 (see bl. 2(b))</w:t>
            </w:r>
          </w:p>
        </w:tc>
      </w:tr>
      <w:tr>
        <w:tc>
          <w:tcPr>
            <w:tcW w:w="3118" w:type="dxa"/>
            <w:shd w:val="clear" w:color="auto" w:fill="auto"/>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2013</w:t>
            </w:r>
          </w:p>
        </w:tc>
        <w:tc>
          <w:tcPr>
            <w:tcW w:w="1276" w:type="dxa"/>
            <w:shd w:val="clear" w:color="auto" w:fill="auto"/>
          </w:tcPr>
          <w:p>
            <w:pPr>
              <w:pStyle w:val="nTable"/>
              <w:spacing w:after="40"/>
              <w:rPr>
                <w:rFonts w:ascii="Times" w:hAnsi="Times"/>
              </w:rPr>
            </w:pPr>
            <w:r>
              <w:rPr>
                <w:rFonts w:ascii="Times" w:hAnsi="Times"/>
              </w:rPr>
              <w:t>28 Jun 2013 p. 2752</w:t>
            </w:r>
          </w:p>
        </w:tc>
        <w:tc>
          <w:tcPr>
            <w:tcW w:w="2693" w:type="dxa"/>
            <w:shd w:val="clear" w:color="auto" w:fill="auto"/>
          </w:tcPr>
          <w:p>
            <w:pPr>
              <w:pStyle w:val="nTable"/>
              <w:spacing w:after="40"/>
              <w:rPr>
                <w:rFonts w:ascii="Times" w:hAnsi="Times"/>
                <w:b/>
                <w:snapToGrid w:val="0"/>
              </w:rPr>
            </w:pPr>
            <w:r>
              <w:rPr>
                <w:rFonts w:ascii="Times" w:hAnsi="Times"/>
                <w:snapToGrid w:val="0"/>
              </w:rPr>
              <w:t>bl. 1 and 2: 28 Jun 2013 (see bl. 2(a));</w:t>
            </w:r>
            <w:r>
              <w:rPr>
                <w:rFonts w:ascii="Times" w:hAnsi="Times"/>
                <w:snapToGrid w:val="0"/>
              </w:rPr>
              <w:br/>
              <w:t>By-laws other than bl. 1 and 2: 1 Jul 2013 (see bl. 2(b))</w:t>
            </w:r>
          </w:p>
        </w:tc>
      </w:tr>
      <w:tr>
        <w:tc>
          <w:tcPr>
            <w:tcW w:w="3118" w:type="dxa"/>
            <w:shd w:val="clear" w:color="auto" w:fill="auto"/>
          </w:tcPr>
          <w:p>
            <w:pPr>
              <w:pStyle w:val="nTable"/>
              <w:spacing w:after="40"/>
              <w:rPr>
                <w:rFonts w:ascii="Times" w:hAnsi="Times"/>
                <w:i/>
              </w:rPr>
            </w:pPr>
            <w:r>
              <w:rPr>
                <w:i/>
              </w:rPr>
              <w:t>Fremantle Hospital Amendment By</w:t>
            </w:r>
            <w:r>
              <w:rPr>
                <w:i/>
              </w:rPr>
              <w:noBreakHyphen/>
              <w:t xml:space="preserve">laws (No. 2) 2014 </w:t>
            </w:r>
          </w:p>
        </w:tc>
        <w:tc>
          <w:tcPr>
            <w:tcW w:w="1276" w:type="dxa"/>
            <w:shd w:val="clear" w:color="auto" w:fill="auto"/>
          </w:tcPr>
          <w:p>
            <w:pPr>
              <w:pStyle w:val="nTable"/>
              <w:spacing w:after="40"/>
              <w:rPr>
                <w:rFonts w:ascii="Times" w:hAnsi="Times"/>
              </w:rPr>
            </w:pPr>
            <w:r>
              <w:t>13 Jun 2014 p. 1882</w:t>
            </w:r>
            <w:r>
              <w:noBreakHyphen/>
              <w:t>5</w:t>
            </w:r>
          </w:p>
        </w:tc>
        <w:tc>
          <w:tcPr>
            <w:tcW w:w="2693" w:type="dxa"/>
            <w:shd w:val="clear" w:color="auto" w:fill="auto"/>
          </w:tcPr>
          <w:p>
            <w:pPr>
              <w:pStyle w:val="nTable"/>
              <w:spacing w:after="40"/>
              <w:rPr>
                <w:rFonts w:ascii="Times" w:hAnsi="Times"/>
                <w:snapToGrid w:val="0"/>
              </w:rPr>
            </w:pPr>
            <w:r>
              <w:rPr>
                <w:snapToGrid w:val="0"/>
              </w:rPr>
              <w:t>bl</w:t>
            </w:r>
            <w:r>
              <w:rPr>
                <w:rFonts w:ascii="Times" w:hAnsi="Times"/>
                <w:bCs/>
                <w:snapToGrid w:val="0"/>
              </w:rPr>
              <w:t>. 1 and 2: 13 Jun 2014 (see </w:t>
            </w:r>
            <w:r>
              <w:rPr>
                <w:snapToGrid w:val="0"/>
              </w:rPr>
              <w:t>bl</w:t>
            </w:r>
            <w:r>
              <w:rPr>
                <w:rFonts w:ascii="Times" w:hAnsi="Times"/>
                <w:bCs/>
                <w:snapToGrid w:val="0"/>
              </w:rPr>
              <w:t>. 2(a));</w:t>
            </w:r>
            <w:r>
              <w:rPr>
                <w:rFonts w:ascii="Times" w:hAnsi="Times"/>
                <w:bCs/>
                <w:snapToGrid w:val="0"/>
              </w:rPr>
              <w:br/>
              <w:t xml:space="preserve">By-laws other than </w:t>
            </w:r>
            <w:r>
              <w:rPr>
                <w:snapToGrid w:val="0"/>
              </w:rPr>
              <w:t>bl</w:t>
            </w:r>
            <w:r>
              <w:rPr>
                <w:rFonts w:ascii="Times" w:hAnsi="Times"/>
                <w:bCs/>
                <w:snapToGrid w:val="0"/>
              </w:rPr>
              <w:t xml:space="preserve">. 1 and 2: 1 Jul 2014 (see </w:t>
            </w:r>
            <w:r>
              <w:rPr>
                <w:snapToGrid w:val="0"/>
              </w:rPr>
              <w:t>bl</w:t>
            </w:r>
            <w:r>
              <w:rPr>
                <w:rFonts w:ascii="Times" w:hAnsi="Times"/>
                <w:bCs/>
                <w:snapToGrid w:val="0"/>
              </w:rPr>
              <w:t>. 2(b))</w:t>
            </w:r>
            <w:r>
              <w:rPr>
                <w:snapToGrid w:val="0"/>
              </w:rPr>
              <w:t xml:space="preserve"> </w:t>
            </w:r>
          </w:p>
        </w:tc>
      </w:tr>
      <w:tr>
        <w:tc>
          <w:tcPr>
            <w:tcW w:w="3118" w:type="dxa"/>
            <w:shd w:val="clear" w:color="auto" w:fill="auto"/>
          </w:tcPr>
          <w:p>
            <w:pPr>
              <w:pStyle w:val="nTable"/>
              <w:spacing w:after="40"/>
              <w:rPr>
                <w:i/>
              </w:rPr>
            </w:pPr>
            <w:r>
              <w:rPr>
                <w:i/>
              </w:rPr>
              <w:t>Fremantle Hospital Amendment By</w:t>
            </w:r>
            <w:r>
              <w:rPr>
                <w:i/>
              </w:rPr>
              <w:noBreakHyphen/>
              <w:t>laws 2014</w:t>
            </w:r>
          </w:p>
        </w:tc>
        <w:tc>
          <w:tcPr>
            <w:tcW w:w="1276" w:type="dxa"/>
            <w:shd w:val="clear" w:color="auto" w:fill="auto"/>
          </w:tcPr>
          <w:p>
            <w:pPr>
              <w:pStyle w:val="nTable"/>
              <w:spacing w:after="40"/>
            </w:pPr>
            <w:r>
              <w:t>8 Jan 2015 p. 181</w:t>
            </w:r>
            <w:r>
              <w:noBreakHyphen/>
              <w:t>4</w:t>
            </w:r>
          </w:p>
        </w:tc>
        <w:tc>
          <w:tcPr>
            <w:tcW w:w="2693" w:type="dxa"/>
            <w:shd w:val="clear" w:color="auto" w:fill="auto"/>
          </w:tcPr>
          <w:p>
            <w:pPr>
              <w:pStyle w:val="nTable"/>
              <w:spacing w:after="40"/>
              <w:rPr>
                <w:snapToGrid w:val="0"/>
              </w:rPr>
            </w:pPr>
            <w:r>
              <w:rPr>
                <w:snapToGrid w:val="0"/>
              </w:rPr>
              <w:t>bl. 1 and 2: 8 Jan 2015 (see bl. 2(a));</w:t>
            </w:r>
            <w:r>
              <w:rPr>
                <w:snapToGrid w:val="0"/>
              </w:rPr>
              <w:br/>
              <w:t xml:space="preserve">By-laws other than bl. 1 and 2: 27 Apr 2015 (see bl. 2(b) and </w:t>
            </w:r>
            <w:r>
              <w:rPr>
                <w:i/>
                <w:snapToGrid w:val="0"/>
              </w:rPr>
              <w:t>Gazette</w:t>
            </w:r>
            <w:r>
              <w:rPr>
                <w:snapToGrid w:val="0"/>
              </w:rPr>
              <w:t xml:space="preserve"> 17 Apr 2015 p. 1371)</w:t>
            </w:r>
          </w:p>
        </w:tc>
      </w:tr>
      <w:tr>
        <w:tc>
          <w:tcPr>
            <w:tcW w:w="3118" w:type="dxa"/>
            <w:shd w:val="clear" w:color="auto" w:fill="auto"/>
          </w:tcPr>
          <w:p>
            <w:pPr>
              <w:pStyle w:val="nTable"/>
              <w:spacing w:after="40"/>
              <w:rPr>
                <w:i/>
              </w:rPr>
            </w:pPr>
            <w:r>
              <w:rPr>
                <w:i/>
              </w:rPr>
              <w:t>Fremantle Hospital Amendment By</w:t>
            </w:r>
            <w:r>
              <w:rPr>
                <w:i/>
              </w:rPr>
              <w:noBreakHyphen/>
              <w:t>laws 2015</w:t>
            </w:r>
          </w:p>
        </w:tc>
        <w:tc>
          <w:tcPr>
            <w:tcW w:w="1276" w:type="dxa"/>
            <w:shd w:val="clear" w:color="auto" w:fill="auto"/>
          </w:tcPr>
          <w:p>
            <w:pPr>
              <w:pStyle w:val="nTable"/>
              <w:spacing w:after="40"/>
            </w:pPr>
            <w:r>
              <w:t>14 Apr 2015 p. 1334</w:t>
            </w:r>
            <w:r>
              <w:noBreakHyphen/>
              <w:t>7</w:t>
            </w:r>
          </w:p>
        </w:tc>
        <w:tc>
          <w:tcPr>
            <w:tcW w:w="2693" w:type="dxa"/>
            <w:shd w:val="clear" w:color="auto" w:fill="auto"/>
          </w:tcPr>
          <w:p>
            <w:pPr>
              <w:pStyle w:val="nTable"/>
              <w:spacing w:after="40"/>
              <w:rPr>
                <w:snapToGrid w:val="0"/>
              </w:rPr>
            </w:pPr>
            <w:r>
              <w:rPr>
                <w:snapToGrid w:val="0"/>
              </w:rPr>
              <w:t>bl</w:t>
            </w:r>
            <w:r>
              <w:rPr>
                <w:rFonts w:ascii="Times" w:hAnsi="Times"/>
                <w:bCs/>
                <w:snapToGrid w:val="0"/>
              </w:rPr>
              <w:t>. 1 and 2: 14 Apr 2015 (see </w:t>
            </w:r>
            <w:r>
              <w:rPr>
                <w:snapToGrid w:val="0"/>
              </w:rPr>
              <w:t>bl</w:t>
            </w:r>
            <w:r>
              <w:rPr>
                <w:rFonts w:ascii="Times" w:hAnsi="Times"/>
                <w:bCs/>
                <w:snapToGrid w:val="0"/>
              </w:rPr>
              <w:t>. 2(a));</w:t>
            </w:r>
            <w:r>
              <w:rPr>
                <w:rFonts w:ascii="Times" w:hAnsi="Times"/>
                <w:bCs/>
                <w:snapToGrid w:val="0"/>
              </w:rPr>
              <w:br/>
              <w:t xml:space="preserve">By-laws other than </w:t>
            </w:r>
            <w:r>
              <w:rPr>
                <w:snapToGrid w:val="0"/>
              </w:rPr>
              <w:t>bl</w:t>
            </w:r>
            <w:r>
              <w:rPr>
                <w:rFonts w:ascii="Times" w:hAnsi="Times"/>
                <w:bCs/>
                <w:snapToGrid w:val="0"/>
              </w:rPr>
              <w:t xml:space="preserve">. 1 and 2: 15 Apr 2015 (see </w:t>
            </w:r>
            <w:r>
              <w:rPr>
                <w:snapToGrid w:val="0"/>
              </w:rPr>
              <w:t>bl</w:t>
            </w:r>
            <w:r>
              <w:rPr>
                <w:rFonts w:ascii="Times" w:hAnsi="Times"/>
                <w:bCs/>
                <w:snapToGrid w:val="0"/>
              </w:rPr>
              <w:t>. 2(b))</w:t>
            </w:r>
          </w:p>
        </w:tc>
      </w:tr>
      <w:tr>
        <w:tc>
          <w:tcPr>
            <w:tcW w:w="3118" w:type="dxa"/>
            <w:shd w:val="clear" w:color="auto" w:fill="auto"/>
          </w:tcPr>
          <w:p>
            <w:pPr>
              <w:pStyle w:val="nTable"/>
              <w:spacing w:after="40"/>
              <w:rPr>
                <w:i/>
              </w:rPr>
            </w:pPr>
            <w:r>
              <w:rPr>
                <w:i/>
              </w:rPr>
              <w:t>Fremantle Hospital Amendment By</w:t>
            </w:r>
            <w:r>
              <w:rPr>
                <w:i/>
              </w:rPr>
              <w:noBreakHyphen/>
              <w:t>laws (No. 2) 2015</w:t>
            </w:r>
          </w:p>
        </w:tc>
        <w:tc>
          <w:tcPr>
            <w:tcW w:w="1276" w:type="dxa"/>
            <w:shd w:val="clear" w:color="auto" w:fill="auto"/>
          </w:tcPr>
          <w:p>
            <w:pPr>
              <w:pStyle w:val="nTable"/>
              <w:spacing w:after="40"/>
            </w:pPr>
            <w:r>
              <w:t>19 Jun 2015 p. 2111</w:t>
            </w:r>
            <w:r>
              <w:noBreakHyphen/>
              <w:t>12</w:t>
            </w:r>
          </w:p>
        </w:tc>
        <w:tc>
          <w:tcPr>
            <w:tcW w:w="2693" w:type="dxa"/>
            <w:shd w:val="clear" w:color="auto" w:fill="auto"/>
          </w:tcPr>
          <w:p>
            <w:pPr>
              <w:pStyle w:val="nTable"/>
              <w:spacing w:after="40"/>
              <w:rPr>
                <w:snapToGrid w:val="0"/>
              </w:rPr>
            </w:pPr>
            <w:r>
              <w:rPr>
                <w:snapToGrid w:val="0"/>
              </w:rPr>
              <w:t>bl</w:t>
            </w:r>
            <w:r>
              <w:rPr>
                <w:rFonts w:ascii="Times" w:hAnsi="Times"/>
                <w:bCs/>
                <w:snapToGrid w:val="0"/>
              </w:rPr>
              <w:t>. 1 and 2: 19 Jun 2015 (see </w:t>
            </w:r>
            <w:r>
              <w:rPr>
                <w:snapToGrid w:val="0"/>
              </w:rPr>
              <w:t>bl</w:t>
            </w:r>
            <w:r>
              <w:rPr>
                <w:rFonts w:ascii="Times" w:hAnsi="Times"/>
                <w:bCs/>
                <w:snapToGrid w:val="0"/>
              </w:rPr>
              <w:t>. 2(a));</w:t>
            </w:r>
            <w:r>
              <w:rPr>
                <w:rFonts w:ascii="Times" w:hAnsi="Times"/>
                <w:bCs/>
                <w:snapToGrid w:val="0"/>
              </w:rPr>
              <w:br/>
              <w:t xml:space="preserve">By-laws other than </w:t>
            </w:r>
            <w:r>
              <w:rPr>
                <w:snapToGrid w:val="0"/>
              </w:rPr>
              <w:t>bl</w:t>
            </w:r>
            <w:r>
              <w:rPr>
                <w:rFonts w:ascii="Times" w:hAnsi="Times"/>
                <w:bCs/>
                <w:snapToGrid w:val="0"/>
              </w:rPr>
              <w:t xml:space="preserve">. 1 and 2: 1 Jul 2015 (see </w:t>
            </w:r>
            <w:r>
              <w:rPr>
                <w:snapToGrid w:val="0"/>
              </w:rPr>
              <w:t>bl</w:t>
            </w:r>
            <w:r>
              <w:rPr>
                <w:rFonts w:ascii="Times" w:hAnsi="Times"/>
                <w:bCs/>
                <w:snapToGrid w:val="0"/>
              </w:rPr>
              <w:t>. 2(b))</w:t>
            </w:r>
          </w:p>
        </w:tc>
      </w:tr>
      <w:tr>
        <w:tc>
          <w:tcPr>
            <w:tcW w:w="7087" w:type="dxa"/>
            <w:gridSpan w:val="3"/>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Fremantle Hospital By-laws 1992</w:t>
            </w:r>
            <w:r>
              <w:rPr>
                <w:b/>
                <w:snapToGrid w:val="0"/>
              </w:rPr>
              <w:t xml:space="preserve"> as at 4 Dec 2015</w:t>
            </w:r>
            <w:r>
              <w:rPr>
                <w:snapToGrid w:val="0"/>
              </w:rPr>
              <w:t xml:space="preserve"> (includes amendments listed above)</w:t>
            </w:r>
          </w:p>
        </w:tc>
      </w:tr>
    </w:tbl>
    <w:p>
      <w:pPr>
        <w:pStyle w:val="nSubsection"/>
      </w:pPr>
      <w:r>
        <w:rPr>
          <w:vertAlign w:val="superscript"/>
        </w:rPr>
        <w:t>2</w:t>
      </w:r>
      <w:r>
        <w:tab/>
      </w:r>
      <w:r>
        <w:rPr>
          <w:rFonts w:ascii="Times" w:hAnsi="Times"/>
          <w:sz w:val="19"/>
        </w:rPr>
        <w:t xml:space="preserve">Disallowed on 11 Sep 2012, see </w:t>
      </w:r>
      <w:r>
        <w:rPr>
          <w:rFonts w:ascii="Times" w:hAnsi="Times"/>
          <w:i/>
          <w:sz w:val="19"/>
        </w:rPr>
        <w:t>Gazette</w:t>
      </w:r>
      <w:r>
        <w:rPr>
          <w:rFonts w:ascii="Times" w:hAnsi="Times"/>
          <w:sz w:val="19"/>
        </w:rPr>
        <w:t xml:space="preserve"> 18 Sep 2012 p. 4411.</w:t>
      </w:r>
    </w:p>
    <w:p>
      <w:pPr>
        <w:spacing w:before="40" w:after="40"/>
      </w:pPr>
    </w:p>
    <w:p>
      <w:pPr>
        <w:spacing w:before="40" w:after="40"/>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54" w:name="_Toc434919842"/>
      <w:bookmarkStart w:id="55" w:name="_Toc437528598"/>
      <w:r>
        <w:rPr>
          <w:sz w:val="28"/>
        </w:rPr>
        <w:t>Defined terms</w:t>
      </w:r>
      <w:bookmarkEnd w:id="54"/>
      <w:bookmarkEnd w:id="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19</w:t>
      </w:r>
    </w:p>
    <w:p>
      <w:pPr>
        <w:pStyle w:val="DefinedTerms"/>
      </w:pPr>
      <w:r>
        <w:t>authorised person</w:t>
      </w:r>
      <w:r>
        <w:tab/>
        <w:t>3(1)</w:t>
      </w:r>
    </w:p>
    <w:p>
      <w:pPr>
        <w:pStyle w:val="DefinedTerms"/>
      </w:pPr>
      <w:r>
        <w:t>Board</w:t>
      </w:r>
      <w:r>
        <w:tab/>
        <w:t>3(1)</w:t>
      </w:r>
    </w:p>
    <w:p>
      <w:pPr>
        <w:pStyle w:val="DefinedTerms"/>
      </w:pPr>
      <w:r>
        <w:t>chief executive officer</w:t>
      </w:r>
      <w:r>
        <w:tab/>
        <w:t>3(1)</w:t>
      </w:r>
    </w:p>
    <w:p>
      <w:pPr>
        <w:pStyle w:val="DefinedTerms"/>
      </w:pPr>
      <w:r>
        <w:t>driver</w:t>
      </w:r>
      <w:r>
        <w:tab/>
        <w:t>3(1)</w:t>
      </w:r>
    </w:p>
    <w:p>
      <w:pPr>
        <w:pStyle w:val="DefinedTerms"/>
      </w:pPr>
      <w:r>
        <w:t>infringement notice</w:t>
      </w:r>
      <w:r>
        <w:tab/>
        <w:t>19</w:t>
      </w:r>
    </w:p>
    <w:p>
      <w:pPr>
        <w:pStyle w:val="DefinedTerms"/>
      </w:pPr>
      <w:r>
        <w:t>modified penalty</w:t>
      </w:r>
      <w:r>
        <w:tab/>
        <w:t>19</w:t>
      </w:r>
    </w:p>
    <w:p>
      <w:pPr>
        <w:pStyle w:val="DefinedTerms"/>
      </w:pPr>
      <w:r>
        <w:t>parking facility</w:t>
      </w:r>
      <w:r>
        <w:tab/>
        <w:t>3(1)</w:t>
      </w:r>
    </w:p>
    <w:p>
      <w:pPr>
        <w:pStyle w:val="DefinedTerms"/>
      </w:pPr>
      <w:r>
        <w:t>parking space</w:t>
      </w:r>
      <w:r>
        <w:tab/>
        <w:t>3(1)</w:t>
      </w:r>
    </w:p>
    <w:p>
      <w:pPr>
        <w:pStyle w:val="DefinedTerms"/>
      </w:pPr>
      <w:r>
        <w:t>permission</w:t>
      </w:r>
      <w:r>
        <w:tab/>
        <w:t>3(2)</w:t>
      </w:r>
    </w:p>
    <w:p>
      <w:pPr>
        <w:pStyle w:val="DefinedTerms"/>
      </w:pPr>
      <w:r>
        <w:t>permit</w:t>
      </w:r>
      <w:r>
        <w:tab/>
        <w:t>3(1)</w:t>
      </w:r>
    </w:p>
    <w:p>
      <w:pPr>
        <w:pStyle w:val="DefinedTerms"/>
      </w:pPr>
      <w:r>
        <w:t>prohibited item</w:t>
      </w:r>
      <w:r>
        <w:tab/>
        <w:t>6(1)</w:t>
      </w:r>
    </w:p>
    <w:p>
      <w:pPr>
        <w:pStyle w:val="DefinedTerms"/>
      </w:pPr>
      <w:r>
        <w:t>responsible person</w:t>
      </w:r>
      <w:r>
        <w:tab/>
        <w:t>3(1)</w:t>
      </w:r>
    </w:p>
    <w:p>
      <w:pPr>
        <w:pStyle w:val="DefinedTerms"/>
      </w:pPr>
      <w:r>
        <w:t>roadway</w:t>
      </w:r>
      <w:r>
        <w:tab/>
        <w:t>3(1)</w:t>
      </w:r>
    </w:p>
    <w:p>
      <w:pPr>
        <w:pStyle w:val="DefinedTerms"/>
      </w:pPr>
      <w:r>
        <w:t>sign</w:t>
      </w:r>
      <w:r>
        <w:tab/>
        <w:t>3(1)</w:t>
      </w:r>
    </w:p>
    <w:p>
      <w:pPr>
        <w:pStyle w:val="DefinedTerms"/>
      </w:pPr>
      <w:r>
        <w:t>site</w:t>
      </w:r>
      <w:r>
        <w:tab/>
        <w:t>3(1)</w:t>
      </w:r>
    </w:p>
    <w:p>
      <w:pPr>
        <w:pStyle w:val="DefinedTerms"/>
      </w:pPr>
      <w:r>
        <w:t>specified</w:t>
      </w:r>
      <w:r>
        <w:tab/>
        <w:t>5(4), 16(2), 17(8)</w:t>
      </w:r>
    </w:p>
    <w:p>
      <w:pPr>
        <w:pStyle w:val="DefinedTerms"/>
      </w:pPr>
      <w:r>
        <w:t>speed restriction sign</w:t>
      </w:r>
      <w:r>
        <w:tab/>
        <w:t>3(1)</w:t>
      </w:r>
    </w:p>
    <w:p>
      <w:pPr>
        <w:pStyle w:val="DefinedTerms"/>
      </w:pPr>
      <w:r>
        <w:t>ticket vending machine</w:t>
      </w:r>
      <w:r>
        <w:tab/>
        <w:t>3(1)</w:t>
      </w:r>
    </w:p>
    <w:p>
      <w:pPr>
        <w:pStyle w:val="DefinedTerms"/>
      </w:pPr>
      <w:r>
        <w:t>vehicle</w:t>
      </w:r>
      <w:r>
        <w:tab/>
        <w:t>3(1)</w:t>
      </w:r>
    </w:p>
    <w:p>
      <w:pPr>
        <w:pStyle w:val="DefinedTerms"/>
      </w:pPr>
      <w:r>
        <w:t>visitor’s ticket</w:t>
      </w:r>
      <w:r>
        <w:tab/>
        <w:t>3(1)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8954"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895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1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" stroked="f" strokeweight=".5pt">
                <v:textbox>
                  <w:txbxContent>
                    <w:p w:rsidR="003712A4" w:rsidRDefault="003712A4">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7" w:name="Schedule"/>
    <w:bookmarkEnd w:id="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Hospital By-laws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Fremantle Hospital By-laws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 w:name="DefinedTerms"/>
    <w:bookmarkEnd w:id="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 w:name="Coversheet"/>
    <w:bookmarkEnd w:id="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Hospital By-laws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Hospital By-laws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6"/>
  </w:num>
  <w:num w:numId="37">
    <w:abstractNumId w:val="18"/>
  </w:num>
  <w:num w:numId="38">
    <w:abstractNumId w:val="1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31134629"/>
    <w:docVar w:name="WAFER_20140123151900" w:val="RemoveTocBookmarks,RemoveUnusedBookmarks,RemoveLanguageTags,UsedStyles,ResetPageSize,UpdateArrangement"/>
    <w:docVar w:name="WAFER_20140123151900_GUID" w:val="f87e7cf4-2894-43ca-adaf-379ce12bc44b"/>
    <w:docVar w:name="WAFER_20140123152217" w:val="RemoveTocBookmarks,RunningHeaders"/>
    <w:docVar w:name="WAFER_20140123152217_GUID" w:val="e57096c5-f0c4-4c98-b0b5-4f78e49d893e"/>
    <w:docVar w:name="WAFER_20140612162700" w:val="RemoveTocBookmarks,RemoveUnusedBookmarks,RemoveLanguageTags,UsedStyles,ResetPageSize,UpdateArrangement"/>
    <w:docVar w:name="WAFER_20140612162700_GUID" w:val="41774ba9-d989-4469-993f-4ad7fdcbe9ed"/>
    <w:docVar w:name="WAFER_20140612162712" w:val="RemoveTocBookmarks,RemoveUnusedBookmarks,RemoveLanguageTags,UsedStyles,ResetPageSize,UpdateArrangement"/>
    <w:docVar w:name="WAFER_20140612162712_GUID" w:val="85a0ae95-ccba-42d8-895b-c06192f3614a"/>
    <w:docVar w:name="WAFER_20140618145020" w:val="RemoveTocBookmarks,RemoveUnusedBookmarks,RemoveLanguageTags,UsedStyles,ResetPageSize,UpdateArrangement"/>
    <w:docVar w:name="WAFER_20140618145020_GUID" w:val="d3277976-0155-45f5-9754-cfc9ea6e5664"/>
    <w:docVar w:name="WAFER_20140630171043" w:val="RemoveTocBookmarks,RunningHeaders"/>
    <w:docVar w:name="WAFER_20140630171043_GUID" w:val="365cc190-18d2-49d2-b352-fc3849f2054a"/>
    <w:docVar w:name="WAFER_20150109114700" w:val="RemoveTocBookmarks,RunningHeaders"/>
    <w:docVar w:name="WAFER_20150109114700_GUID" w:val="94b6370d-c2d9-4e19-8bc0-8d4299e00e05"/>
    <w:docVar w:name="WAFER_20150413123602" w:val="ResetPageSize,UpdateArrangement,UpdateNTable"/>
    <w:docVar w:name="WAFER_20150413123602_GUID" w:val="cd5856e0-bf3c-40cb-b33d-b95560e3977d"/>
    <w:docVar w:name="WAFER_20150804150334" w:val="RemoveTocBookmarks,RemoveUnusedBookmarks,RemoveLanguageTags,UsedStyles,ResetPageSize,RemoveCustomizations"/>
    <w:docVar w:name="WAFER_20150804150334_GUID" w:val="745591fc-ff82-4b1d-9c9c-747b16697013"/>
    <w:docVar w:name="WAFER_20151110112605" w:val="UpdateStyles,UsedStyles"/>
    <w:docVar w:name="WAFER_20151110112605_GUID" w:val="34729c84-69eb-4a2f-a3c3-8520e9a4f49a"/>
    <w:docVar w:name="WAFER_20151231134629" w:val="RemoveTrackChanges"/>
    <w:docVar w:name="WAFER_20151231134629_GUID" w:val="ea288e3f-58bd-43cd-992d-dba4745ac0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783C0-3853-457E-86A1-9C00D429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6198</Words>
  <Characters>29258</Characters>
  <Application>Microsoft Office Word</Application>
  <DocSecurity>0</DocSecurity>
  <Lines>975</Lines>
  <Paragraphs>681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Hospital By-laws 1992 - 03-00-00</dc:title>
  <dc:subject/>
  <dc:creator/>
  <cp:keywords/>
  <dc:description/>
  <cp:lastModifiedBy>svcMRProcess</cp:lastModifiedBy>
  <cp:revision>4</cp:revision>
  <cp:lastPrinted>2015-12-16T02:57:00Z</cp:lastPrinted>
  <dcterms:created xsi:type="dcterms:W3CDTF">2020-03-08T17:08:00Z</dcterms:created>
  <dcterms:modified xsi:type="dcterms:W3CDTF">2020-03-08T17:08:00Z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1992 pp.3680-91</vt:lpwstr>
  </property>
  <property fmtid="{D5CDD505-2E9C-101B-9397-08002B2CF9AE}" pid="3" name="DocumentType">
    <vt:lpwstr>Reg</vt:lpwstr>
  </property>
  <property fmtid="{D5CDD505-2E9C-101B-9397-08002B2CF9AE}" pid="4" name="OwlsUID">
    <vt:i4>4456</vt:i4>
  </property>
  <property fmtid="{D5CDD505-2E9C-101B-9397-08002B2CF9AE}" pid="5" name="CommencementDate">
    <vt:lpwstr>20151204</vt:lpwstr>
  </property>
  <property fmtid="{D5CDD505-2E9C-101B-9397-08002B2CF9AE}" pid="6" name="AsAtDate">
    <vt:lpwstr>04 Dec 2015</vt:lpwstr>
  </property>
  <property fmtid="{D5CDD505-2E9C-101B-9397-08002B2CF9AE}" pid="7" name="Suffix">
    <vt:lpwstr>03-00-00</vt:lpwstr>
  </property>
  <property fmtid="{D5CDD505-2E9C-101B-9397-08002B2CF9AE}" pid="8" name="ReprintedAsAt">
    <vt:filetime>2015-12-03T16:00:00Z</vt:filetime>
  </property>
  <property fmtid="{D5CDD505-2E9C-101B-9397-08002B2CF9AE}" pid="9" name="ReprintNo">
    <vt:lpwstr>3</vt:lpwstr>
  </property>
</Properties>
</file>