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_Toc437606617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_Toc437606618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_Toc437606619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_Toc437606620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_Toc437606621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_Toc437606622 \h </w:instrText>
      </w:r>
      <w:r>
        <w:fldChar w:fldCharType="separate"/>
      </w:r>
      <w:r>
        <w:t>3</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_Toc437606623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_Toc437606624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w:t>
      </w:r>
      <w:r>
        <w:tab/>
      </w:r>
      <w:r>
        <w:fldChar w:fldCharType="begin"/>
      </w:r>
      <w:r>
        <w:instrText xml:space="preserve"> PAGEREF _Toc437606625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_Toc437606626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_Toc437606627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_Toc437606628 \h </w:instrText>
      </w:r>
      <w:r>
        <w:fldChar w:fldCharType="separate"/>
      </w:r>
      <w:r>
        <w:t>6</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_Toc437606629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_Toc437606630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_Toc437606631 \h </w:instrText>
      </w:r>
      <w:r>
        <w:fldChar w:fldCharType="separate"/>
      </w:r>
      <w:r>
        <w:t>7</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_Toc437606632 \h </w:instrText>
      </w:r>
      <w:r>
        <w:fldChar w:fldCharType="separate"/>
      </w:r>
      <w:r>
        <w:t>7</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_Toc437606633 \h </w:instrText>
      </w:r>
      <w:r>
        <w:fldChar w:fldCharType="separate"/>
      </w:r>
      <w:r>
        <w:t>8</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_Toc437606634 \h </w:instrText>
      </w:r>
      <w:r>
        <w:fldChar w:fldCharType="separate"/>
      </w:r>
      <w:r>
        <w:t>8</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_Toc437606635 \h </w:instrText>
      </w:r>
      <w:r>
        <w:fldChar w:fldCharType="separate"/>
      </w:r>
      <w:r>
        <w:t>9</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_Toc437606636 \h </w:instrText>
      </w:r>
      <w:r>
        <w:fldChar w:fldCharType="separate"/>
      </w:r>
      <w:r>
        <w:t>9</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_Toc437606637 \h </w:instrText>
      </w:r>
      <w:r>
        <w:fldChar w:fldCharType="separate"/>
      </w:r>
      <w:r>
        <w:t>9</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_Toc437606638 \h </w:instrText>
      </w:r>
      <w:r>
        <w:fldChar w:fldCharType="separate"/>
      </w:r>
      <w:r>
        <w:t>9</w:t>
      </w:r>
      <w:r>
        <w:fldChar w:fldCharType="end"/>
      </w:r>
    </w:p>
    <w:p>
      <w:pPr>
        <w:pStyle w:val="TOC8"/>
        <w:rPr>
          <w:rFonts w:asciiTheme="minorHAnsi" w:eastAsiaTheme="minorEastAsia" w:hAnsiTheme="minorHAnsi" w:cstheme="minorBidi"/>
          <w:szCs w:val="22"/>
        </w:rPr>
      </w:pPr>
      <w:r>
        <w:lastRenderedPageBreak/>
        <w:t>23.</w:t>
      </w:r>
      <w:r>
        <w:tab/>
        <w:t>Person who may not be refused approval to breed cats (s. 37(5))</w:t>
      </w:r>
      <w:r>
        <w:tab/>
      </w:r>
      <w:r>
        <w:fldChar w:fldCharType="begin"/>
      </w:r>
      <w:r>
        <w:instrText xml:space="preserve"> PAGEREF _Toc437606639 \h </w:instrText>
      </w:r>
      <w:r>
        <w:fldChar w:fldCharType="separate"/>
      </w:r>
      <w:r>
        <w:t>10</w:t>
      </w:r>
      <w:r>
        <w:fldChar w:fldCharType="end"/>
      </w:r>
    </w:p>
    <w:p>
      <w:pPr>
        <w:pStyle w:val="TOC8"/>
        <w:rPr>
          <w:rFonts w:asciiTheme="minorHAnsi" w:eastAsiaTheme="minorEastAsia" w:hAnsiTheme="minorHAnsi" w:cstheme="minorBidi"/>
          <w:szCs w:val="22"/>
        </w:rPr>
      </w:pPr>
      <w:r>
        <w:t>24.</w:t>
      </w:r>
      <w:r>
        <w:tab/>
        <w:t>Duration of approval to breed cats (s. 37(6))</w:t>
      </w:r>
      <w:r>
        <w:tab/>
      </w:r>
      <w:r>
        <w:fldChar w:fldCharType="begin"/>
      </w:r>
      <w:r>
        <w:instrText xml:space="preserve"> PAGEREF _Toc437606640 \h </w:instrText>
      </w:r>
      <w:r>
        <w:fldChar w:fldCharType="separate"/>
      </w:r>
      <w:r>
        <w:t>10</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_Toc437606641 \h </w:instrText>
      </w:r>
      <w:r>
        <w:fldChar w:fldCharType="separate"/>
      </w:r>
      <w:r>
        <w:t>10</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_Toc437606642 \h </w:instrText>
      </w:r>
      <w:r>
        <w:fldChar w:fldCharType="separate"/>
      </w:r>
      <w:r>
        <w:t>11</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_Toc437606643 \h </w:instrText>
      </w:r>
      <w:r>
        <w:fldChar w:fldCharType="separate"/>
      </w:r>
      <w:r>
        <w:t>11</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_Toc437606644 \h </w:instrText>
      </w:r>
      <w:r>
        <w:fldChar w:fldCharType="separate"/>
      </w:r>
      <w:r>
        <w:t>11</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_Toc437606645 \h </w:instrText>
      </w:r>
      <w:r>
        <w:fldChar w:fldCharType="separate"/>
      </w:r>
      <w:r>
        <w:t>11</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_Toc437606646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_Toc437606650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_Toc437606652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PrincipalActReg"/>
      </w:pPr>
      <w:r>
        <w:t>Cat Act 2011</w:t>
      </w:r>
    </w:p>
    <w:p>
      <w:pPr>
        <w:pStyle w:val="NameofActReg"/>
      </w:pPr>
      <w:r>
        <w:t>Cat Regulations 2012</w:t>
      </w:r>
    </w:p>
    <w:p>
      <w:pPr>
        <w:pStyle w:val="Heading5"/>
      </w:pPr>
      <w:bookmarkStart w:id="3" w:name="_Toc437606617"/>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437606618"/>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6" w:name="_Toc437606619"/>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tab/>
        <w:t>[Regulation 3 amended in Gazette 20 May 2014 p. 1607.]</w:t>
      </w:r>
    </w:p>
    <w:p>
      <w:pPr>
        <w:pStyle w:val="Heading5"/>
      </w:pPr>
      <w:bookmarkStart w:id="7" w:name="_Toc437606620"/>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8" w:name="_Toc437606621"/>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in Gazette 23 Aug 2013 p. 4004.]</w:t>
      </w:r>
    </w:p>
    <w:p>
      <w:pPr>
        <w:pStyle w:val="Heading5"/>
      </w:pPr>
      <w:bookmarkStart w:id="9" w:name="_Toc437606622"/>
      <w:r>
        <w:rPr>
          <w:rStyle w:val="CharSectno"/>
        </w:rPr>
        <w:t>6</w:t>
      </w:r>
      <w:r>
        <w:t>.</w:t>
      </w:r>
      <w:r>
        <w:tab/>
        <w:t>Microchip database companies (s. 3(1))</w:t>
      </w:r>
      <w:bookmarkEnd w:id="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Indenta"/>
        <w:spacing w:before="70"/>
      </w:pPr>
      <w:r>
        <w:tab/>
        <w:t>(e)</w:t>
      </w:r>
      <w:r>
        <w:tab/>
        <w:t>The Lost Dogs Home Inc., trading as “National Pet Register”.</w:t>
      </w:r>
    </w:p>
    <w:p>
      <w:pPr>
        <w:pStyle w:val="Footnotesection"/>
        <w:spacing w:before="80"/>
      </w:pPr>
      <w:r>
        <w:tab/>
        <w:t>[Regulation 6 amended in Gazette 20 May 2014 p. 1607.]</w:t>
      </w:r>
    </w:p>
    <w:p>
      <w:pPr>
        <w:pStyle w:val="Heading5"/>
      </w:pPr>
      <w:bookmarkStart w:id="10" w:name="_Toc437606623"/>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in Gazette 20 May 2014 p. 1607</w:t>
      </w:r>
      <w:r>
        <w:noBreakHyphen/>
        <w:t>8.]</w:t>
      </w:r>
    </w:p>
    <w:p>
      <w:pPr>
        <w:pStyle w:val="Heading5"/>
      </w:pPr>
      <w:bookmarkStart w:id="11" w:name="_Toc437606624"/>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437606625"/>
      <w:r>
        <w:rPr>
          <w:rStyle w:val="CharSectno"/>
        </w:rPr>
        <w:t>9</w:t>
      </w:r>
      <w:r>
        <w:t>.</w:t>
      </w:r>
      <w:r>
        <w:tab/>
        <w:t>Cats exempt from registration (s. 5(2)(c) and 9(2))</w:t>
      </w:r>
      <w:bookmarkEnd w:id="12"/>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Australian Customs and Border Protection Service;</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Heading5"/>
      </w:pPr>
      <w:bookmarkStart w:id="13" w:name="_Toc437606626"/>
      <w:r>
        <w:rPr>
          <w:rStyle w:val="CharSectno"/>
        </w:rPr>
        <w:t>10</w:t>
      </w:r>
      <w:r>
        <w:t>.</w:t>
      </w:r>
      <w:r>
        <w:tab/>
        <w:t>Cats exempt from wearing tag (s. 6(2))</w:t>
      </w:r>
      <w:bookmarkEnd w:id="13"/>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14" w:name="_Toc437606627"/>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in Gazette 23 Aug 2013 p. 4005.]</w:t>
      </w:r>
    </w:p>
    <w:p>
      <w:pPr>
        <w:pStyle w:val="Heading5"/>
      </w:pPr>
      <w:bookmarkStart w:id="15" w:name="_Toc437606628"/>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in Gazette 23 Aug 2013 p. 4005</w:t>
      </w:r>
      <w:r>
        <w:noBreakHyphen/>
        <w:t>6.]</w:t>
      </w:r>
    </w:p>
    <w:p>
      <w:pPr>
        <w:pStyle w:val="Heading5"/>
      </w:pPr>
      <w:bookmarkStart w:id="16" w:name="_Toc437606629"/>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437606630"/>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437606631"/>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437606632"/>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437606633"/>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437606634"/>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437606635"/>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437606636"/>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437606637"/>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in Gazette 23 Aug 2013 p. 4006.]</w:t>
      </w:r>
    </w:p>
    <w:p>
      <w:pPr>
        <w:pStyle w:val="Heading5"/>
      </w:pPr>
      <w:bookmarkStart w:id="25" w:name="_Toc437606638"/>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437606639"/>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27" w:name="_Toc437606640"/>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437606641"/>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437606642"/>
      <w:r>
        <w:rPr>
          <w:rStyle w:val="CharSectno"/>
        </w:rPr>
        <w:t>26</w:t>
      </w:r>
      <w:r>
        <w:t>.</w:t>
      </w:r>
      <w:r>
        <w:tab/>
        <w:t>Warrant (s. 58)</w:t>
      </w:r>
      <w:bookmarkEnd w:id="29"/>
    </w:p>
    <w:p>
      <w:pPr>
        <w:pStyle w:val="Subsection"/>
      </w:pPr>
      <w:r>
        <w:tab/>
      </w:r>
      <w:r>
        <w:tab/>
        <w:t>The form of a warrant is Form 5.</w:t>
      </w:r>
    </w:p>
    <w:p>
      <w:pPr>
        <w:pStyle w:val="Heading5"/>
      </w:pPr>
      <w:bookmarkStart w:id="30" w:name="_Toc437606643"/>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437606644"/>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437606645"/>
      <w:r>
        <w:rPr>
          <w:rStyle w:val="CharSectno"/>
        </w:rPr>
        <w:t>29</w:t>
      </w:r>
      <w:r>
        <w:t>.</w:t>
      </w:r>
      <w:r>
        <w:tab/>
        <w:t>Objection (s. 69(2))</w:t>
      </w:r>
      <w:bookmarkEnd w:id="32"/>
    </w:p>
    <w:p>
      <w:pPr>
        <w:pStyle w:val="Subsection"/>
      </w:pPr>
      <w:r>
        <w:tab/>
      </w:r>
      <w:r>
        <w:tab/>
        <w:t>The form of an objection is Form 8.</w:t>
      </w:r>
    </w:p>
    <w:p>
      <w:pPr>
        <w:pStyle w:val="Heading5"/>
      </w:pPr>
      <w:bookmarkStart w:id="33" w:name="_Toc437606646"/>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4"/>
          <w:headerReference w:type="default" r:id="rId25"/>
          <w:headerReference w:type="first" r:id="rId26"/>
          <w:pgSz w:w="11907" w:h="16840" w:code="9"/>
          <w:pgMar w:top="2376" w:right="2404" w:bottom="3544" w:left="2404" w:header="709" w:footer="3379" w:gutter="0"/>
          <w:pgNumType w:start="1"/>
          <w:cols w:space="720"/>
          <w:noEndnote/>
          <w:titlePg/>
          <w:docGrid w:linePitch="326"/>
        </w:sectPr>
      </w:pPr>
    </w:p>
    <w:p>
      <w:pPr>
        <w:pStyle w:val="yScheduleHeading"/>
      </w:pPr>
      <w:bookmarkStart w:id="34" w:name="_Toc436729968"/>
      <w:bookmarkStart w:id="35" w:name="_Toc436730518"/>
      <w:bookmarkStart w:id="36" w:name="_Toc436733468"/>
      <w:bookmarkStart w:id="37" w:name="_Toc437606647"/>
      <w:r>
        <w:rPr>
          <w:rStyle w:val="CharSchNo"/>
        </w:rPr>
        <w:t>Schedule 1</w:t>
      </w:r>
      <w:r>
        <w:rPr>
          <w:rStyle w:val="CharSDivNo"/>
        </w:rPr>
        <w:t> </w:t>
      </w:r>
      <w:r>
        <w:t>—</w:t>
      </w:r>
      <w:r>
        <w:rPr>
          <w:rStyle w:val="CharSDivText"/>
        </w:rPr>
        <w:t> </w:t>
      </w:r>
      <w:r>
        <w:rPr>
          <w:rStyle w:val="CharSchText"/>
        </w:rPr>
        <w:t>Forms</w:t>
      </w:r>
      <w:bookmarkEnd w:id="34"/>
      <w:bookmarkEnd w:id="35"/>
      <w:bookmarkEnd w:id="36"/>
      <w:bookmarkEnd w:id="3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in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rPr>
          <w:b/>
        </w:rPr>
      </w:pPr>
      <w:r>
        <w:rPr>
          <w:rStyle w:val="CharSClsNo"/>
          <w:b/>
        </w:rPr>
        <w:t>Form 5</w:t>
      </w:r>
      <w:r>
        <w:rPr>
          <w:b/>
        </w:rPr>
        <w:t> — Warrant to enter, search and seize</w:t>
      </w:r>
    </w:p>
    <w:p>
      <w:pPr>
        <w:pStyle w:val="yMiscellaneousHeading"/>
      </w:pPr>
      <w:r>
        <w:rPr>
          <w:i/>
        </w:rPr>
        <w:t>Cat Act 2011</w:t>
      </w:r>
      <w:r>
        <w:t xml:space="preserve"> s. 58</w:t>
      </w:r>
    </w:p>
    <w:p>
      <w:pPr>
        <w:pStyle w:val="yShoulderClause"/>
        <w:keepNext/>
        <w:keepLines/>
        <w:spacing w:before="0" w:after="120"/>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Subsection"/>
        <w:spacing w:before="130"/>
      </w:pPr>
      <w:r>
        <w:tab/>
        <w:t>Place</w:t>
      </w:r>
      <w:r>
        <w:tab/>
      </w:r>
      <w:r>
        <w:tab/>
        <w:t>_____________________________________________________</w:t>
      </w:r>
    </w:p>
    <w:p>
      <w:pPr>
        <w:pStyle w:val="ySubsection"/>
        <w:spacing w:before="130"/>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spacing w:before="130"/>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spacing w:before="130"/>
      </w:pPr>
      <w:r>
        <w:t xml:space="preserve">and to seize — </w:t>
      </w:r>
    </w:p>
    <w:p>
      <w:pPr>
        <w:pStyle w:val="ySubsection"/>
        <w:numPr>
          <w:ilvl w:val="0"/>
          <w:numId w:val="20"/>
        </w:numPr>
        <w:spacing w:before="130"/>
      </w:pPr>
      <w:r>
        <w:t>any cats</w:t>
      </w:r>
    </w:p>
    <w:p>
      <w:pPr>
        <w:pStyle w:val="ySubsection"/>
        <w:numPr>
          <w:ilvl w:val="0"/>
          <w:numId w:val="20"/>
        </w:numPr>
        <w:spacing w:before="130"/>
      </w:pPr>
      <w:r>
        <w:t xml:space="preserve">any of the following types of cat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cats in the following circumstances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items that may afford evidence of the commission of an offence under the </w:t>
      </w:r>
      <w:r>
        <w:rPr>
          <w:i/>
        </w:rPr>
        <w:t>Cat Act 2011</w:t>
      </w:r>
      <w:r>
        <w:t>.</w:t>
      </w:r>
    </w:p>
    <w:p>
      <w:pPr>
        <w:pStyle w:val="ySubsection"/>
        <w:spacing w:before="130"/>
      </w:pPr>
      <w:r>
        <w:t xml:space="preserve">THIS WARRANT CEASES to have effect — </w:t>
      </w:r>
    </w:p>
    <w:p>
      <w:pPr>
        <w:pStyle w:val="ySubsection"/>
        <w:spacing w:before="130"/>
      </w:pPr>
      <w:r>
        <w:tab/>
        <w:t>Date</w:t>
      </w:r>
      <w:r>
        <w:tab/>
      </w:r>
      <w:r>
        <w:tab/>
        <w:t>_____________________________________________________</w:t>
      </w:r>
    </w:p>
    <w:p>
      <w:pPr>
        <w:pStyle w:val="ySubsection"/>
        <w:spacing w:before="130"/>
      </w:pPr>
      <w:r>
        <w:tab/>
        <w:t>Time</w:t>
      </w:r>
      <w:r>
        <w:tab/>
      </w:r>
      <w:r>
        <w:tab/>
        <w:t>_____________________________________________________</w:t>
      </w:r>
    </w:p>
    <w:p>
      <w:pPr>
        <w:pStyle w:val="ySubsection"/>
        <w:spacing w:before="130"/>
      </w:pPr>
      <w:r>
        <w:t>I, _______________________________ Justice of the Peace of ____________</w:t>
      </w:r>
    </w:p>
    <w:p>
      <w:pPr>
        <w:pStyle w:val="ySubsection"/>
        <w:spacing w:before="130"/>
      </w:pPr>
      <w:r>
        <w:t>_____________________________________________________ am satisfied,</w:t>
      </w:r>
    </w:p>
    <w:p>
      <w:pPr>
        <w:pStyle w:val="ySubsection"/>
        <w:spacing w:before="130"/>
      </w:pPr>
      <w:r>
        <w:t xml:space="preserve">by an application supported by evidence on oath, that — </w:t>
      </w:r>
    </w:p>
    <w:p>
      <w:pPr>
        <w:pStyle w:val="ySubsection"/>
        <w:numPr>
          <w:ilvl w:val="0"/>
          <w:numId w:val="19"/>
        </w:numPr>
        <w:spacing w:before="13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spacing w:before="130"/>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0" w:after="120"/>
        <w:ind w:left="601"/>
        <w:rPr>
          <w:b/>
          <w:bCs/>
        </w:rPr>
      </w:pPr>
      <w:r>
        <w:rPr>
          <w:b/>
          <w:bCs/>
        </w:rP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in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7"/>
          <w:headerReference w:type="default" r:id="rId28"/>
          <w:headerReference w:type="first" r:id="rId29"/>
          <w:pgSz w:w="11907" w:h="16840" w:code="9"/>
          <w:pgMar w:top="2376" w:right="2404" w:bottom="3544" w:left="2404" w:header="709" w:footer="3379" w:gutter="0"/>
          <w:cols w:space="720"/>
          <w:noEndnote/>
          <w:docGrid w:linePitch="326"/>
        </w:sectPr>
      </w:pPr>
    </w:p>
    <w:p>
      <w:pPr>
        <w:pStyle w:val="yScheduleHeading"/>
      </w:pPr>
      <w:bookmarkStart w:id="39" w:name="_Toc436729969"/>
      <w:bookmarkStart w:id="40" w:name="_Toc436730519"/>
      <w:bookmarkStart w:id="41" w:name="_Toc436733469"/>
      <w:bookmarkStart w:id="42" w:name="_Toc437606648"/>
      <w:r>
        <w:rPr>
          <w:rStyle w:val="CharSchNo"/>
        </w:rPr>
        <w:t>Schedule 2</w:t>
      </w:r>
      <w:r>
        <w:rPr>
          <w:rStyle w:val="CharSDivNo"/>
        </w:rPr>
        <w:t> </w:t>
      </w:r>
      <w:r>
        <w:t>—</w:t>
      </w:r>
      <w:r>
        <w:rPr>
          <w:rStyle w:val="CharSDivText"/>
        </w:rPr>
        <w:t> </w:t>
      </w:r>
      <w:r>
        <w:rPr>
          <w:rStyle w:val="CharSchText"/>
        </w:rPr>
        <w:t>Modified penalties</w:t>
      </w:r>
      <w:bookmarkEnd w:id="39"/>
      <w:bookmarkEnd w:id="40"/>
      <w:bookmarkEnd w:id="41"/>
      <w:bookmarkEnd w:id="4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30"/>
          <w:pgSz w:w="11907" w:h="16840" w:code="9"/>
          <w:pgMar w:top="2376" w:right="2404" w:bottom="3544" w:left="2404" w:header="709" w:footer="3379" w:gutter="0"/>
          <w:cols w:space="720"/>
          <w:noEndnote/>
          <w:docGrid w:linePitch="326"/>
        </w:sectPr>
      </w:pPr>
    </w:p>
    <w:p>
      <w:pPr>
        <w:pStyle w:val="yScheduleHeading"/>
      </w:pPr>
      <w:bookmarkStart w:id="43" w:name="_Toc436729970"/>
      <w:bookmarkStart w:id="44" w:name="_Toc436730520"/>
      <w:bookmarkStart w:id="45" w:name="_Toc436733470"/>
      <w:bookmarkStart w:id="46" w:name="_Toc437606649"/>
      <w:r>
        <w:rPr>
          <w:rStyle w:val="CharSchNo"/>
        </w:rPr>
        <w:t>Schedule 3</w:t>
      </w:r>
      <w:r>
        <w:t> — </w:t>
      </w:r>
      <w:r>
        <w:rPr>
          <w:rStyle w:val="CharSchText"/>
        </w:rPr>
        <w:t>Fees</w:t>
      </w:r>
      <w:bookmarkEnd w:id="43"/>
      <w:bookmarkEnd w:id="44"/>
      <w:bookmarkEnd w:id="45"/>
      <w:bookmarkEnd w:id="46"/>
    </w:p>
    <w:p>
      <w:pPr>
        <w:pStyle w:val="yShoulderClause"/>
      </w:pPr>
      <w:r>
        <w:t>[r. 11 and 21]</w:t>
      </w:r>
    </w:p>
    <w:p>
      <w:pPr>
        <w:pStyle w:val="yFootnoteheading"/>
      </w:pPr>
      <w:r>
        <w:tab/>
        <w:t>[Heading inserted in Gazette 23 Aug 2013 p. 4006.]</w:t>
      </w:r>
    </w:p>
    <w:p>
      <w:pPr>
        <w:pStyle w:val="yHeading5"/>
      </w:pPr>
      <w:bookmarkStart w:id="47" w:name="_Toc437606650"/>
      <w:r>
        <w:rPr>
          <w:rStyle w:val="CharSClsNo"/>
        </w:rPr>
        <w:t>1</w:t>
      </w:r>
      <w:r>
        <w:t>.</w:t>
      </w:r>
      <w:r>
        <w:tab/>
        <w:t>Fees payable</w:t>
      </w:r>
      <w:bookmarkEnd w:id="47"/>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 amended in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nHeading2"/>
      </w:pPr>
      <w:bookmarkStart w:id="48" w:name="_Toc436729972"/>
      <w:bookmarkStart w:id="49" w:name="_Toc436730522"/>
      <w:bookmarkStart w:id="50" w:name="_Toc436733472"/>
      <w:bookmarkStart w:id="51" w:name="_Toc437606651"/>
      <w:r>
        <w:t>Notes</w:t>
      </w:r>
      <w:bookmarkEnd w:id="48"/>
      <w:bookmarkEnd w:id="49"/>
      <w:bookmarkEnd w:id="50"/>
      <w:bookmarkEnd w:id="51"/>
    </w:p>
    <w:p>
      <w:pPr>
        <w:pStyle w:val="nSubsection"/>
      </w:pPr>
      <w:r>
        <w:rPr>
          <w:vertAlign w:val="superscript"/>
        </w:rPr>
        <w:t>1</w:t>
      </w:r>
      <w:r>
        <w:tab/>
        <w:t xml:space="preserve">This reprint is a compilation as at 4 December 2015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52" w:name="_Toc437606652"/>
      <w:r>
        <w:t>Compilation table</w:t>
      </w:r>
      <w:bookmarkEnd w:id="5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bl>
    <w:p/>
    <w:p>
      <w:pPr>
        <w:sectPr>
          <w:headerReference w:type="even" r:id="rId34"/>
          <w:headerReference w:type="default" r:id="rId35"/>
          <w:headerReference w:type="first" r:id="rId36"/>
          <w:pgSz w:w="11907" w:h="16840" w:code="9"/>
          <w:pgMar w:top="2376" w:right="2404" w:bottom="3544" w:left="2404" w:header="720" w:footer="3379" w:gutter="0"/>
          <w:cols w:space="720"/>
          <w:noEndnote/>
          <w:docGrid w:linePitch="326"/>
        </w:sectPr>
      </w:pPr>
    </w:p>
    <w:p>
      <w:pPr>
        <w:pStyle w:val="nHeading2"/>
        <w:rPr>
          <w:sz w:val="28"/>
        </w:rPr>
      </w:pPr>
      <w:bookmarkStart w:id="54" w:name="_Toc436729974"/>
      <w:bookmarkStart w:id="55" w:name="_Toc436730524"/>
      <w:bookmarkStart w:id="56" w:name="_Toc436733474"/>
      <w:bookmarkStart w:id="57" w:name="_Toc437606653"/>
      <w:r>
        <w:rPr>
          <w:sz w:val="28"/>
        </w:rPr>
        <w:t>Defined terms</w:t>
      </w:r>
      <w:bookmarkEnd w:id="54"/>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6A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RciegPQC&#10;AACBBgAADgAAAAAAAAAAAAAAAAAuAgAAZHJzL2Uyb0RvYy54bWxQSwECLQAUAAYACAAAACEA0Rxg&#10;z9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2DC5-B263-4154-A634-FFBD7D49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5378</Words>
  <Characters>32324</Characters>
  <Application>Microsoft Office Word</Application>
  <DocSecurity>0</DocSecurity>
  <Lines>1114</Lines>
  <Paragraphs>837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2012 - 01-a0-00</dc:title>
  <dc:subject/>
  <dc:creator/>
  <cp:keywords/>
  <dc:description/>
  <cp:lastModifiedBy>svcMRProcess</cp:lastModifiedBy>
  <cp:revision>4</cp:revision>
  <cp:lastPrinted>2015-12-11T06:15:00Z</cp:lastPrinted>
  <dcterms:created xsi:type="dcterms:W3CDTF">2015-12-31T06:23:00Z</dcterms:created>
  <dcterms:modified xsi:type="dcterms:W3CDTF">2015-12-31T06:23:00Z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04 Dec 2015</vt:lpwstr>
  </property>
  <property fmtid="{D5CDD505-2E9C-101B-9397-08002B2CF9AE}" pid="7" name="Suffix">
    <vt:lpwstr>01-a0-00</vt:lpwstr>
  </property>
  <property fmtid="{D5CDD505-2E9C-101B-9397-08002B2CF9AE}" pid="8" name="CommencementDate">
    <vt:lpwstr>20151204</vt:lpwstr>
  </property>
</Properties>
</file>