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Fremantle Hospital By-laws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_Toc437528560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_Toc437528561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_Toc437528562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_Toc437528563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rPr>
          <w:snapToGrid w:val="0"/>
        </w:rPr>
        <w:t>.</w:t>
      </w:r>
      <w:r>
        <w:rPr>
          <w:snapToGrid w:val="0"/>
        </w:rPr>
        <w:tab/>
        <w:t>No entry without reasonable excuse</w:t>
      </w:r>
      <w:r>
        <w:tab/>
      </w:r>
      <w:r>
        <w:fldChar w:fldCharType="begin"/>
      </w:r>
      <w:r>
        <w:instrText xml:space="preserve"> PAGEREF _Toc437528565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Directions as to use of certain areas</w:t>
      </w:r>
      <w:r>
        <w:tab/>
      </w:r>
      <w:r>
        <w:fldChar w:fldCharType="begin"/>
      </w:r>
      <w:r>
        <w:instrText xml:space="preserve"> PAGEREF _Toc437528566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_Toc437528567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_Toc437528568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_Toc437528569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Driving and use of vehicles</w:t>
      </w:r>
    </w:p>
    <w:p>
      <w:pPr>
        <w:pStyle w:val="TOC8"/>
        <w:rPr>
          <w:rFonts w:asciiTheme="minorHAnsi" w:eastAsiaTheme="minorEastAsia" w:hAnsiTheme="minorHAnsi" w:cstheme="minorBidi"/>
          <w:szCs w:val="22"/>
        </w:rPr>
      </w:pPr>
      <w:r>
        <w:t>9</w:t>
      </w:r>
      <w:r>
        <w:rPr>
          <w:snapToGrid w:val="0"/>
        </w:rPr>
        <w:t>.</w:t>
      </w:r>
      <w:r>
        <w:rPr>
          <w:snapToGrid w:val="0"/>
        </w:rPr>
        <w:tab/>
        <w:t>Driving of vehicles</w:t>
      </w:r>
      <w:r>
        <w:tab/>
      </w:r>
      <w:r>
        <w:fldChar w:fldCharType="begin"/>
      </w:r>
      <w:r>
        <w:instrText xml:space="preserve"> PAGEREF _Toc437528572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Driver to obey reasonable direction</w:t>
      </w:r>
      <w:r>
        <w:tab/>
      </w:r>
      <w:r>
        <w:fldChar w:fldCharType="begin"/>
      </w:r>
      <w:r>
        <w:instrText xml:space="preserve"> PAGEREF _Toc437528573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Speed limits</w:t>
      </w:r>
      <w:r>
        <w:tab/>
      </w:r>
      <w:r>
        <w:fldChar w:fldCharType="begin"/>
      </w:r>
      <w:r>
        <w:instrText xml:space="preserve"> PAGEREF _Toc437528574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Giving way</w:t>
      </w:r>
      <w:r>
        <w:tab/>
      </w:r>
      <w:r>
        <w:fldChar w:fldCharType="begin"/>
      </w:r>
      <w:r>
        <w:instrText xml:space="preserve"> PAGEREF _Toc437528575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instruction or repairs on site</w:t>
      </w:r>
      <w:r>
        <w:tab/>
      </w:r>
      <w:r>
        <w:fldChar w:fldCharType="begin"/>
      </w:r>
      <w:r>
        <w:instrText xml:space="preserve"> PAGEREF _Toc437528576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14</w:t>
      </w:r>
      <w:r>
        <w:rPr>
          <w:snapToGrid w:val="0"/>
        </w:rPr>
        <w:t>.</w:t>
      </w:r>
      <w:r>
        <w:rPr>
          <w:snapToGrid w:val="0"/>
        </w:rPr>
        <w:tab/>
        <w:t>Parking to be in parking spaces only</w:t>
      </w:r>
      <w:r>
        <w:tab/>
      </w:r>
      <w:r>
        <w:fldChar w:fldCharType="begin"/>
      </w:r>
      <w:r>
        <w:instrText xml:space="preserve"> PAGEREF _Toc437528578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Signs to be obeyed</w:t>
      </w:r>
      <w:r>
        <w:tab/>
      </w:r>
      <w:r>
        <w:fldChar w:fldCharType="begin"/>
      </w:r>
      <w:r>
        <w:instrText xml:space="preserve"> PAGEREF _Toc437528579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Parking in parking spaces</w:t>
      </w:r>
      <w:r>
        <w:tab/>
      </w:r>
      <w:r>
        <w:fldChar w:fldCharType="begin"/>
      </w:r>
      <w:r>
        <w:instrText xml:space="preserve"> PAGEREF _Toc437528580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Permit</w:t>
      </w:r>
      <w:r>
        <w:tab/>
      </w:r>
      <w:r>
        <w:fldChar w:fldCharType="begin"/>
      </w:r>
      <w:r>
        <w:instrText xml:space="preserve"> PAGEREF _Toc437528581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Refund of permit fees</w:t>
      </w:r>
      <w:r>
        <w:tab/>
      </w:r>
      <w:r>
        <w:fldChar w:fldCharType="begin"/>
      </w:r>
      <w:r>
        <w:instrText xml:space="preserve"> PAGEREF _Toc437528582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_Toc437528584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Infringement notices</w:t>
      </w:r>
      <w:r>
        <w:tab/>
      </w:r>
      <w:r>
        <w:fldChar w:fldCharType="begin"/>
      </w:r>
      <w:r>
        <w:instrText xml:space="preserve"> PAGEREF _Toc437528585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Withdrawal of infringement notice</w:t>
      </w:r>
      <w:r>
        <w:tab/>
      </w:r>
      <w:r>
        <w:fldChar w:fldCharType="begin"/>
      </w:r>
      <w:r>
        <w:instrText xml:space="preserve"> PAGEREF _Toc437528586 \h </w:instrText>
      </w:r>
      <w:r>
        <w:fldChar w:fldCharType="separate"/>
      </w:r>
      <w:r>
        <w:t>14</w:t>
      </w:r>
      <w:r>
        <w:fldChar w:fldCharType="end"/>
      </w:r>
    </w:p>
    <w:p>
      <w:pPr>
        <w:pStyle w:val="TOC8"/>
        <w:rPr>
          <w:rFonts w:asciiTheme="minorHAnsi" w:eastAsiaTheme="minorEastAsia" w:hAnsiTheme="minorHAnsi" w:cstheme="minorBidi"/>
          <w:szCs w:val="22"/>
        </w:rPr>
      </w:pPr>
      <w:r>
        <w:t>22.</w:t>
      </w:r>
      <w:r>
        <w:tab/>
        <w:t>Authorised persons to produce certificate</w:t>
      </w:r>
      <w:r>
        <w:tab/>
      </w:r>
      <w:r>
        <w:fldChar w:fldCharType="begin"/>
      </w:r>
      <w:r>
        <w:instrText xml:space="preserve"> PAGEREF _Toc437528587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Authorised persons only to endorse and alter infringement notices</w:t>
      </w:r>
      <w:r>
        <w:tab/>
      </w:r>
      <w:r>
        <w:fldChar w:fldCharType="begin"/>
      </w:r>
      <w:r>
        <w:instrText xml:space="preserve"> PAGEREF _Toc437528588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Restriction on removal of infringement notices</w:t>
      </w:r>
      <w:r>
        <w:tab/>
      </w:r>
      <w:r>
        <w:fldChar w:fldCharType="begin"/>
      </w:r>
      <w:r>
        <w:instrText xml:space="preserve"> PAGEREF _Toc437528589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rPr>
          <w:snapToGrid w:val="0"/>
        </w:rPr>
        <w:t>.</w:t>
      </w:r>
      <w:r>
        <w:rPr>
          <w:snapToGrid w:val="0"/>
        </w:rPr>
        <w:tab/>
        <w:t>Removal of vehicles</w:t>
      </w:r>
      <w:r>
        <w:tab/>
      </w:r>
      <w:r>
        <w:fldChar w:fldCharType="begin"/>
      </w:r>
      <w:r>
        <w:instrText xml:space="preserve"> PAGEREF _Toc437528591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Responsible person may be treated as driver or person in charge of vehicle</w:t>
      </w:r>
      <w:r>
        <w:tab/>
      </w:r>
      <w:r>
        <w:fldChar w:fldCharType="begin"/>
      </w:r>
      <w:r>
        <w:instrText xml:space="preserve"> PAGEREF _Toc437528592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Other offences</w:t>
      </w:r>
      <w:r>
        <w:tab/>
      </w:r>
      <w:r>
        <w:fldChar w:fldCharType="begin"/>
      </w:r>
      <w:r>
        <w:instrText xml:space="preserve"> PAGEREF _Toc437528593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_Toc437528597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3" w:name="_Toc434919803"/>
      <w:bookmarkStart w:id="4" w:name="_Toc437528559"/>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37528560"/>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6" w:name="_Toc437528561"/>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7" w:name="_Toc437528562"/>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Fremantle Hospital;</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 8 Jan 2015 p. 181</w:t>
      </w:r>
      <w:r>
        <w:noBreakHyphen/>
        <w:t>2; 14 Apr 2015 p. 1334; 19 Jun 2015 p. 2112.]</w:t>
      </w:r>
    </w:p>
    <w:p>
      <w:pPr>
        <w:pStyle w:val="Heading5"/>
      </w:pPr>
      <w:bookmarkStart w:id="8" w:name="_Toc437528563"/>
      <w:r>
        <w:rPr>
          <w:rStyle w:val="CharSectno"/>
        </w:rPr>
        <w:t>4A</w:t>
      </w:r>
      <w:r>
        <w:t>.</w:t>
      </w:r>
      <w:r>
        <w:tab/>
        <w:t>Appointment of authorised persons</w:t>
      </w:r>
      <w:bookmarkEnd w:id="8"/>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w:t>
      </w:r>
      <w:r>
        <w:noBreakHyphen/>
        <w:t>law 4A inserted in Gazette 14 Apr 2015 p. 1334</w:t>
      </w:r>
      <w:r>
        <w:noBreakHyphen/>
        <w:t>5.]</w:t>
      </w:r>
    </w:p>
    <w:p>
      <w:pPr>
        <w:pStyle w:val="Heading2"/>
      </w:pPr>
      <w:bookmarkStart w:id="9" w:name="_Toc434919808"/>
      <w:bookmarkStart w:id="10" w:name="_Toc437528564"/>
      <w:r>
        <w:rPr>
          <w:rStyle w:val="CharPartNo"/>
        </w:rPr>
        <w:t>Part 2</w:t>
      </w:r>
      <w:r>
        <w:rPr>
          <w:rStyle w:val="CharDivNo"/>
        </w:rPr>
        <w:t> </w:t>
      </w:r>
      <w:r>
        <w:t>—</w:t>
      </w:r>
      <w:r>
        <w:rPr>
          <w:rStyle w:val="CharDivText"/>
        </w:rPr>
        <w:t> </w:t>
      </w:r>
      <w:r>
        <w:rPr>
          <w:rStyle w:val="CharPartText"/>
        </w:rPr>
        <w:t>Trespass and order</w:t>
      </w:r>
      <w:bookmarkEnd w:id="9"/>
      <w:bookmarkEnd w:id="10"/>
    </w:p>
    <w:p>
      <w:pPr>
        <w:pStyle w:val="Heading5"/>
        <w:rPr>
          <w:snapToGrid w:val="0"/>
        </w:rPr>
      </w:pPr>
      <w:bookmarkStart w:id="11" w:name="_Toc437528565"/>
      <w:r>
        <w:rPr>
          <w:rStyle w:val="CharSectno"/>
        </w:rPr>
        <w:t>4</w:t>
      </w:r>
      <w:r>
        <w:rPr>
          <w:snapToGrid w:val="0"/>
        </w:rPr>
        <w:t>.</w:t>
      </w:r>
      <w:r>
        <w:rPr>
          <w:snapToGrid w:val="0"/>
        </w:rPr>
        <w:tab/>
        <w:t>No entry without reasonable excuse</w:t>
      </w:r>
      <w:bookmarkEnd w:id="11"/>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4 amended in Gazette 14 Apr 2015 p. 1336.]</w:t>
      </w:r>
    </w:p>
    <w:p>
      <w:pPr>
        <w:pStyle w:val="Heading5"/>
        <w:rPr>
          <w:snapToGrid w:val="0"/>
        </w:rPr>
      </w:pPr>
      <w:bookmarkStart w:id="12" w:name="_Toc437528566"/>
      <w:r>
        <w:rPr>
          <w:rStyle w:val="CharSectno"/>
        </w:rPr>
        <w:t>5</w:t>
      </w:r>
      <w:r>
        <w:rPr>
          <w:snapToGrid w:val="0"/>
        </w:rPr>
        <w:t>.</w:t>
      </w:r>
      <w:r>
        <w:rPr>
          <w:snapToGrid w:val="0"/>
        </w:rPr>
        <w:tab/>
        <w:t>Directions as to use of certain areas</w:t>
      </w:r>
      <w:bookmarkEnd w:id="12"/>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5 amended in Gazette 14 Apr 2015 p. 1336.]</w:t>
      </w:r>
    </w:p>
    <w:p>
      <w:pPr>
        <w:pStyle w:val="Heading5"/>
      </w:pPr>
      <w:bookmarkStart w:id="13" w:name="_Toc437528567"/>
      <w:r>
        <w:rPr>
          <w:rStyle w:val="CharSectno"/>
        </w:rPr>
        <w:t>6</w:t>
      </w:r>
      <w:r>
        <w:t>.</w:t>
      </w:r>
      <w:r>
        <w:tab/>
        <w:t>Prohibited items</w:t>
      </w:r>
      <w:bookmarkEnd w:id="13"/>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6 inserted in Gazette 14 Apr 2015 p. 1335.]</w:t>
      </w:r>
    </w:p>
    <w:p>
      <w:pPr>
        <w:pStyle w:val="Heading5"/>
      </w:pPr>
      <w:bookmarkStart w:id="14" w:name="_Toc437528568"/>
      <w:r>
        <w:rPr>
          <w:rStyle w:val="CharSectno"/>
        </w:rPr>
        <w:t>7</w:t>
      </w:r>
      <w:r>
        <w:t>.</w:t>
      </w:r>
      <w:r>
        <w:tab/>
        <w:t>Smoking</w:t>
      </w:r>
      <w:bookmarkEnd w:id="14"/>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7 inserted in Gazette 12 Feb 2008 p. 340; amended in Gazette 14 Apr 2015 p. 1336.]</w:t>
      </w:r>
    </w:p>
    <w:p>
      <w:pPr>
        <w:pStyle w:val="Heading5"/>
      </w:pPr>
      <w:bookmarkStart w:id="15" w:name="_Toc437528569"/>
      <w:r>
        <w:rPr>
          <w:rStyle w:val="CharSectno"/>
        </w:rPr>
        <w:t>8</w:t>
      </w:r>
      <w:r>
        <w:t>.</w:t>
      </w:r>
      <w:r>
        <w:tab/>
        <w:t>Persons may be directed to leave site</w:t>
      </w:r>
      <w:bookmarkEnd w:id="15"/>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w:t>
      </w:r>
      <w:r>
        <w:noBreakHyphen/>
        <w:t>law 8 inserted in Gazette 14 Apr 2015 p. 1335</w:t>
      </w:r>
      <w:r>
        <w:noBreakHyphen/>
        <w:t>6.]</w:t>
      </w:r>
    </w:p>
    <w:p>
      <w:pPr>
        <w:pStyle w:val="Heading2"/>
      </w:pPr>
      <w:bookmarkStart w:id="16" w:name="_Toc434919814"/>
      <w:bookmarkStart w:id="17" w:name="_Toc437528570"/>
      <w:r>
        <w:rPr>
          <w:rStyle w:val="CharPartNo"/>
        </w:rPr>
        <w:t>Part 3</w:t>
      </w:r>
      <w:r>
        <w:t> — </w:t>
      </w:r>
      <w:r>
        <w:rPr>
          <w:rStyle w:val="CharPartText"/>
        </w:rPr>
        <w:t>Traffic control</w:t>
      </w:r>
      <w:bookmarkEnd w:id="16"/>
      <w:bookmarkEnd w:id="17"/>
    </w:p>
    <w:p>
      <w:pPr>
        <w:pStyle w:val="Heading3"/>
      </w:pPr>
      <w:bookmarkStart w:id="18" w:name="_Toc434919815"/>
      <w:bookmarkStart w:id="19" w:name="_Toc437528571"/>
      <w:r>
        <w:rPr>
          <w:rStyle w:val="CharDivNo"/>
        </w:rPr>
        <w:t>Division 1</w:t>
      </w:r>
      <w:r>
        <w:rPr>
          <w:snapToGrid w:val="0"/>
        </w:rPr>
        <w:t> — </w:t>
      </w:r>
      <w:r>
        <w:rPr>
          <w:rStyle w:val="CharDivText"/>
        </w:rPr>
        <w:t>Driving and use of vehicles</w:t>
      </w:r>
      <w:bookmarkEnd w:id="18"/>
      <w:bookmarkEnd w:id="19"/>
    </w:p>
    <w:p>
      <w:pPr>
        <w:pStyle w:val="Heading5"/>
        <w:rPr>
          <w:snapToGrid w:val="0"/>
        </w:rPr>
      </w:pPr>
      <w:bookmarkStart w:id="20" w:name="_Toc437528572"/>
      <w:r>
        <w:rPr>
          <w:rStyle w:val="CharSectno"/>
        </w:rPr>
        <w:t>9</w:t>
      </w:r>
      <w:r>
        <w:rPr>
          <w:snapToGrid w:val="0"/>
        </w:rPr>
        <w:t>.</w:t>
      </w:r>
      <w:r>
        <w:rPr>
          <w:snapToGrid w:val="0"/>
        </w:rPr>
        <w:tab/>
        <w:t>Driving of vehicles</w:t>
      </w:r>
      <w:bookmarkEnd w:id="20"/>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r>
      <w:r>
        <w:t>Penalty for an offence under sub</w:t>
      </w:r>
      <w:r>
        <w:noBreakHyphen/>
        <w:t>bylaw (1), (2) or (3): a fine of</w:t>
      </w:r>
      <w:r>
        <w:rPr>
          <w:snapToGrid w:val="0"/>
        </w:rPr>
        <w:t> $50.</w:t>
      </w:r>
    </w:p>
    <w:p>
      <w:pPr>
        <w:pStyle w:val="Footnotesection"/>
      </w:pPr>
      <w:r>
        <w:tab/>
        <w:t>[By</w:t>
      </w:r>
      <w:r>
        <w:noBreakHyphen/>
        <w:t>law 9 amended in Gazette 14 Apr 2015 p. 1336.]</w:t>
      </w:r>
    </w:p>
    <w:p>
      <w:pPr>
        <w:pStyle w:val="Heading5"/>
        <w:rPr>
          <w:snapToGrid w:val="0"/>
        </w:rPr>
      </w:pPr>
      <w:bookmarkStart w:id="21" w:name="_Toc437528573"/>
      <w:r>
        <w:rPr>
          <w:rStyle w:val="CharSectno"/>
        </w:rPr>
        <w:t>10</w:t>
      </w:r>
      <w:r>
        <w:rPr>
          <w:snapToGrid w:val="0"/>
        </w:rPr>
        <w:t>.</w:t>
      </w:r>
      <w:r>
        <w:rPr>
          <w:snapToGrid w:val="0"/>
        </w:rPr>
        <w:tab/>
        <w:t>Driver to obey reasonable direction</w:t>
      </w:r>
      <w:bookmarkEnd w:id="21"/>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10 amended in Gazette 14 Apr 2015 p. 1336.]</w:t>
      </w:r>
    </w:p>
    <w:p>
      <w:pPr>
        <w:pStyle w:val="Heading5"/>
        <w:rPr>
          <w:snapToGrid w:val="0"/>
        </w:rPr>
      </w:pPr>
      <w:bookmarkStart w:id="22" w:name="_Toc437528574"/>
      <w:r>
        <w:rPr>
          <w:rStyle w:val="CharSectno"/>
        </w:rPr>
        <w:t>11</w:t>
      </w:r>
      <w:r>
        <w:rPr>
          <w:snapToGrid w:val="0"/>
        </w:rPr>
        <w:t>.</w:t>
      </w:r>
      <w:r>
        <w:rPr>
          <w:snapToGrid w:val="0"/>
        </w:rPr>
        <w:tab/>
        <w:t>Speed limits</w:t>
      </w:r>
      <w:bookmarkEnd w:id="22"/>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km/h;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r>
        <w:tab/>
        <w:t>[By</w:t>
      </w:r>
      <w:r>
        <w:noBreakHyphen/>
        <w:t>law 11 amended in Gazette 14 Apr 2015 p. 1336</w:t>
      </w:r>
      <w:r>
        <w:noBreakHyphen/>
        <w:t>7.]</w:t>
      </w:r>
    </w:p>
    <w:p>
      <w:pPr>
        <w:pStyle w:val="Heading5"/>
        <w:rPr>
          <w:snapToGrid w:val="0"/>
        </w:rPr>
      </w:pPr>
      <w:bookmarkStart w:id="23" w:name="_Toc437528575"/>
      <w:r>
        <w:rPr>
          <w:rStyle w:val="CharSectno"/>
        </w:rPr>
        <w:t>12</w:t>
      </w:r>
      <w:r>
        <w:rPr>
          <w:snapToGrid w:val="0"/>
        </w:rPr>
        <w:t>.</w:t>
      </w:r>
      <w:r>
        <w:rPr>
          <w:snapToGrid w:val="0"/>
        </w:rPr>
        <w:tab/>
        <w:t>Giving way</w:t>
      </w:r>
      <w:bookmarkEnd w:id="23"/>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12 amended in Gazette 14 Apr 2015 p. 1336</w:t>
      </w:r>
      <w:r>
        <w:noBreakHyphen/>
        <w:t>7.]</w:t>
      </w:r>
    </w:p>
    <w:p>
      <w:pPr>
        <w:pStyle w:val="Heading5"/>
        <w:rPr>
          <w:snapToGrid w:val="0"/>
        </w:rPr>
      </w:pPr>
      <w:bookmarkStart w:id="24" w:name="_Toc437528576"/>
      <w:r>
        <w:rPr>
          <w:rStyle w:val="CharSectno"/>
        </w:rPr>
        <w:t>13</w:t>
      </w:r>
      <w:r>
        <w:rPr>
          <w:snapToGrid w:val="0"/>
        </w:rPr>
        <w:t>.</w:t>
      </w:r>
      <w:r>
        <w:rPr>
          <w:snapToGrid w:val="0"/>
        </w:rPr>
        <w:tab/>
        <w:t>No instruction or repairs on site</w:t>
      </w:r>
      <w:bookmarkEnd w:id="2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13 amended in Gazette 14 Apr 2015 p. 1336</w:t>
      </w:r>
      <w:r>
        <w:noBreakHyphen/>
        <w:t>7.]</w:t>
      </w:r>
    </w:p>
    <w:p>
      <w:pPr>
        <w:pStyle w:val="Heading3"/>
      </w:pPr>
      <w:bookmarkStart w:id="25" w:name="_Toc434919821"/>
      <w:bookmarkStart w:id="26" w:name="_Toc437528577"/>
      <w:r>
        <w:rPr>
          <w:rStyle w:val="CharDivNo"/>
        </w:rPr>
        <w:t>Division 2</w:t>
      </w:r>
      <w:r>
        <w:rPr>
          <w:snapToGrid w:val="0"/>
        </w:rPr>
        <w:t> — </w:t>
      </w:r>
      <w:r>
        <w:rPr>
          <w:rStyle w:val="CharDivText"/>
        </w:rPr>
        <w:t>Parking</w:t>
      </w:r>
      <w:bookmarkEnd w:id="25"/>
      <w:bookmarkEnd w:id="26"/>
    </w:p>
    <w:p>
      <w:pPr>
        <w:pStyle w:val="Heading5"/>
        <w:rPr>
          <w:snapToGrid w:val="0"/>
        </w:rPr>
      </w:pPr>
      <w:bookmarkStart w:id="27" w:name="_Toc437528578"/>
      <w:r>
        <w:rPr>
          <w:rStyle w:val="CharSectno"/>
        </w:rPr>
        <w:t>14</w:t>
      </w:r>
      <w:r>
        <w:rPr>
          <w:snapToGrid w:val="0"/>
        </w:rPr>
        <w:t>.</w:t>
      </w:r>
      <w:r>
        <w:rPr>
          <w:snapToGrid w:val="0"/>
        </w:rPr>
        <w:tab/>
        <w:t>Parking to be in parking spaces only</w:t>
      </w:r>
      <w:bookmarkEnd w:id="27"/>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14 amended in Gazette 14 Apr 2015 p. 1336</w:t>
      </w:r>
      <w:r>
        <w:noBreakHyphen/>
        <w:t>7.]</w:t>
      </w:r>
    </w:p>
    <w:p>
      <w:pPr>
        <w:pStyle w:val="Heading5"/>
        <w:rPr>
          <w:snapToGrid w:val="0"/>
        </w:rPr>
      </w:pPr>
      <w:bookmarkStart w:id="28" w:name="_Toc437528579"/>
      <w:r>
        <w:rPr>
          <w:rStyle w:val="CharSectno"/>
        </w:rPr>
        <w:t>15</w:t>
      </w:r>
      <w:r>
        <w:rPr>
          <w:snapToGrid w:val="0"/>
        </w:rPr>
        <w:t>.</w:t>
      </w:r>
      <w:r>
        <w:rPr>
          <w:snapToGrid w:val="0"/>
        </w:rPr>
        <w:tab/>
        <w:t>Signs to be obeyed</w:t>
      </w:r>
      <w:bookmarkEnd w:id="28"/>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15 amended in Gazette 14 Apr 2015 p. 1336</w:t>
      </w:r>
      <w:r>
        <w:noBreakHyphen/>
        <w:t>7.]</w:t>
      </w:r>
    </w:p>
    <w:p>
      <w:pPr>
        <w:pStyle w:val="Heading5"/>
        <w:rPr>
          <w:snapToGrid w:val="0"/>
        </w:rPr>
      </w:pPr>
      <w:bookmarkStart w:id="29" w:name="_Toc437528580"/>
      <w:r>
        <w:rPr>
          <w:rStyle w:val="CharSectno"/>
        </w:rPr>
        <w:t>16</w:t>
      </w:r>
      <w:r>
        <w:rPr>
          <w:snapToGrid w:val="0"/>
        </w:rPr>
        <w:t>.</w:t>
      </w:r>
      <w:r>
        <w:rPr>
          <w:snapToGrid w:val="0"/>
        </w:rPr>
        <w:tab/>
        <w:t>Parking in parking spaces</w:t>
      </w:r>
      <w:bookmarkEnd w:id="29"/>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 xml:space="preserve">Penalty: </w:t>
      </w:r>
      <w:r>
        <w:t>a fine of $50.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 14 Apr 2015 p. 1336</w:t>
      </w:r>
      <w:r>
        <w:noBreakHyphen/>
        <w:t>7.]</w:t>
      </w:r>
    </w:p>
    <w:p>
      <w:pPr>
        <w:pStyle w:val="Heading5"/>
        <w:rPr>
          <w:snapToGrid w:val="0"/>
        </w:rPr>
      </w:pPr>
      <w:bookmarkStart w:id="30" w:name="_Toc437528581"/>
      <w:r>
        <w:rPr>
          <w:rStyle w:val="CharSectno"/>
        </w:rPr>
        <w:t>17</w:t>
      </w:r>
      <w:r>
        <w:rPr>
          <w:snapToGrid w:val="0"/>
        </w:rPr>
        <w:t>.</w:t>
      </w:r>
      <w:r>
        <w:rPr>
          <w:snapToGrid w:val="0"/>
        </w:rPr>
        <w:tab/>
        <w:t>Permit</w:t>
      </w:r>
      <w:bookmarkEnd w:id="30"/>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$3.70 for each day on which the permit holder is permitted to park a vehicle at Fremantle Hospital (up to a maximum of $18.50 per week).</w:t>
      </w:r>
    </w:p>
    <w:p>
      <w:pPr>
        <w:pStyle w:val="Ednotesubsection"/>
      </w:pPr>
      <w:r>
        <w:tab/>
        <w:t>[(3B)</w:t>
      </w:r>
      <w:r>
        <w:tab/>
        <w:t>deleted]</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keepLines/>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w:t>
      </w:r>
      <w:r>
        <w:noBreakHyphen/>
        <w:t>law 17 amended in Gazette 29 Aug 1995 p. 3900; 23 Dec 2011 p. 5425</w:t>
      </w:r>
      <w:r>
        <w:noBreakHyphen/>
        <w:t>6 (disallowed in Gazette 18 Sep 2012 p. 4411); 28 Sep 2012 p. 4650-1; 28 Jun 2013 p. 2752; 13 Jun 2014 p. 1882; 14 Apr 2015 p. 1336; 19 Jun 2015 p. 2112.]</w:t>
      </w:r>
    </w:p>
    <w:p>
      <w:pPr>
        <w:pStyle w:val="Heading5"/>
        <w:rPr>
          <w:snapToGrid w:val="0"/>
        </w:rPr>
      </w:pPr>
      <w:bookmarkStart w:id="31" w:name="_Toc437528582"/>
      <w:r>
        <w:rPr>
          <w:rStyle w:val="CharSectno"/>
        </w:rPr>
        <w:t>18</w:t>
      </w:r>
      <w:r>
        <w:rPr>
          <w:snapToGrid w:val="0"/>
        </w:rPr>
        <w:t>.</w:t>
      </w:r>
      <w:r>
        <w:rPr>
          <w:snapToGrid w:val="0"/>
        </w:rPr>
        <w:tab/>
        <w:t>Refund of permit fees</w:t>
      </w:r>
      <w:bookmarkEnd w:id="31"/>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32" w:name="_Toc434919827"/>
      <w:bookmarkStart w:id="33" w:name="_Toc437528583"/>
      <w:r>
        <w:rPr>
          <w:rStyle w:val="CharPartNo"/>
        </w:rPr>
        <w:t>Part 4</w:t>
      </w:r>
      <w:r>
        <w:rPr>
          <w:rStyle w:val="CharDivNo"/>
        </w:rPr>
        <w:t> </w:t>
      </w:r>
      <w:r>
        <w:t>—</w:t>
      </w:r>
      <w:r>
        <w:rPr>
          <w:rStyle w:val="CharDivText"/>
        </w:rPr>
        <w:t> </w:t>
      </w:r>
      <w:r>
        <w:rPr>
          <w:rStyle w:val="CharPartText"/>
        </w:rPr>
        <w:t>Infringement notices</w:t>
      </w:r>
      <w:bookmarkEnd w:id="32"/>
      <w:bookmarkEnd w:id="33"/>
    </w:p>
    <w:p>
      <w:pPr>
        <w:pStyle w:val="Heading5"/>
        <w:rPr>
          <w:snapToGrid w:val="0"/>
        </w:rPr>
      </w:pPr>
      <w:bookmarkStart w:id="34" w:name="_Toc437528584"/>
      <w:r>
        <w:rPr>
          <w:rStyle w:val="CharSectno"/>
        </w:rPr>
        <w:t>19</w:t>
      </w:r>
      <w:r>
        <w:rPr>
          <w:snapToGrid w:val="0"/>
        </w:rPr>
        <w:t>.</w:t>
      </w:r>
      <w:r>
        <w:rPr>
          <w:snapToGrid w:val="0"/>
        </w:rPr>
        <w:tab/>
        <w:t>Terms used</w:t>
      </w:r>
      <w:bookmarkEnd w:id="34"/>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r>
        <w:tab/>
        <w:t>[By-law 19 amended in Gazette 8 Jan 2015 p. 182.]</w:t>
      </w:r>
    </w:p>
    <w:p>
      <w:pPr>
        <w:pStyle w:val="Heading5"/>
        <w:rPr>
          <w:snapToGrid w:val="0"/>
        </w:rPr>
      </w:pPr>
      <w:bookmarkStart w:id="35" w:name="_Toc437528585"/>
      <w:r>
        <w:rPr>
          <w:rStyle w:val="CharSectno"/>
        </w:rPr>
        <w:t>20</w:t>
      </w:r>
      <w:r>
        <w:rPr>
          <w:snapToGrid w:val="0"/>
        </w:rPr>
        <w:t>.</w:t>
      </w:r>
      <w:r>
        <w:rPr>
          <w:snapToGrid w:val="0"/>
        </w:rPr>
        <w:tab/>
        <w:t>Infringement notices</w:t>
      </w:r>
      <w:bookmarkEnd w:id="35"/>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keepLines/>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36" w:name="_Toc437528586"/>
      <w:r>
        <w:rPr>
          <w:rStyle w:val="CharSectno"/>
        </w:rPr>
        <w:t>21</w:t>
      </w:r>
      <w:r>
        <w:rPr>
          <w:snapToGrid w:val="0"/>
        </w:rPr>
        <w:t>.</w:t>
      </w:r>
      <w:r>
        <w:rPr>
          <w:snapToGrid w:val="0"/>
        </w:rPr>
        <w:tab/>
        <w:t>Withdrawal of infringement notice</w:t>
      </w:r>
      <w:bookmarkEnd w:id="36"/>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37" w:name="_Toc437528587"/>
      <w:r>
        <w:rPr>
          <w:rStyle w:val="CharSectno"/>
        </w:rPr>
        <w:t>22</w:t>
      </w:r>
      <w:r>
        <w:t>.</w:t>
      </w:r>
      <w:r>
        <w:tab/>
        <w:t>Authorised persons to produce certificate</w:t>
      </w:r>
      <w:bookmarkEnd w:id="37"/>
    </w:p>
    <w:p>
      <w:pPr>
        <w:pStyle w:val="Subsection"/>
      </w:pPr>
      <w:r>
        <w:tab/>
      </w:r>
      <w:r>
        <w:tab/>
        <w:t>The person whom an authorised person has given, or is about to give, an infringement notice may require the authorised person to produce the certificate referred to in by</w:t>
      </w:r>
      <w:r>
        <w:noBreakHyphen/>
        <w:t>law 4A(3).</w:t>
      </w:r>
    </w:p>
    <w:p>
      <w:pPr>
        <w:pStyle w:val="Footnotesection"/>
      </w:pPr>
      <w:r>
        <w:tab/>
        <w:t>[By</w:t>
      </w:r>
      <w:r>
        <w:noBreakHyphen/>
        <w:t>law 22 inserted in Gazette 14 Apr 2015 p. 1336.]</w:t>
      </w:r>
    </w:p>
    <w:p>
      <w:pPr>
        <w:pStyle w:val="Heading5"/>
        <w:rPr>
          <w:snapToGrid w:val="0"/>
        </w:rPr>
      </w:pPr>
      <w:bookmarkStart w:id="38" w:name="_Toc437528588"/>
      <w:r>
        <w:rPr>
          <w:rStyle w:val="CharSectno"/>
        </w:rPr>
        <w:t>23</w:t>
      </w:r>
      <w:r>
        <w:rPr>
          <w:snapToGrid w:val="0"/>
        </w:rPr>
        <w:t>.</w:t>
      </w:r>
      <w:r>
        <w:rPr>
          <w:snapToGrid w:val="0"/>
        </w:rPr>
        <w:tab/>
        <w:t>Authorised persons only to endorse and alter infringement notices</w:t>
      </w:r>
      <w:bookmarkEnd w:id="38"/>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23 amended in Gazette 14 Apr 2015 p. 1336</w:t>
      </w:r>
      <w:r>
        <w:noBreakHyphen/>
        <w:t>7.]</w:t>
      </w:r>
    </w:p>
    <w:p>
      <w:pPr>
        <w:pStyle w:val="Heading5"/>
        <w:rPr>
          <w:snapToGrid w:val="0"/>
        </w:rPr>
      </w:pPr>
      <w:bookmarkStart w:id="39" w:name="_Toc437528589"/>
      <w:r>
        <w:rPr>
          <w:rStyle w:val="CharSectno"/>
        </w:rPr>
        <w:t>24</w:t>
      </w:r>
      <w:r>
        <w:rPr>
          <w:snapToGrid w:val="0"/>
        </w:rPr>
        <w:t>.</w:t>
      </w:r>
      <w:r>
        <w:rPr>
          <w:snapToGrid w:val="0"/>
        </w:rPr>
        <w:tab/>
        <w:t>Restriction on removal of infringement notices</w:t>
      </w:r>
      <w:bookmarkEnd w:id="39"/>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24 amended in Gazette 8 Jan 2015 p. 182; 14 Apr 2015 p. 1336</w:t>
      </w:r>
      <w:r>
        <w:noBreakHyphen/>
        <w:t>7.]</w:t>
      </w:r>
    </w:p>
    <w:p>
      <w:pPr>
        <w:pStyle w:val="Heading2"/>
      </w:pPr>
      <w:bookmarkStart w:id="40" w:name="_Toc434919834"/>
      <w:bookmarkStart w:id="41" w:name="_Toc437528590"/>
      <w:r>
        <w:rPr>
          <w:rStyle w:val="CharPartNo"/>
        </w:rPr>
        <w:t>Part 5</w:t>
      </w:r>
      <w:r>
        <w:rPr>
          <w:rStyle w:val="CharDivNo"/>
        </w:rPr>
        <w:t> </w:t>
      </w:r>
      <w:r>
        <w:t>—</w:t>
      </w:r>
      <w:r>
        <w:rPr>
          <w:rStyle w:val="CharDivText"/>
        </w:rPr>
        <w:t> </w:t>
      </w:r>
      <w:r>
        <w:rPr>
          <w:rStyle w:val="CharPartText"/>
        </w:rPr>
        <w:t>General</w:t>
      </w:r>
      <w:bookmarkEnd w:id="40"/>
      <w:bookmarkEnd w:id="41"/>
    </w:p>
    <w:p>
      <w:pPr>
        <w:pStyle w:val="Heading5"/>
        <w:rPr>
          <w:snapToGrid w:val="0"/>
        </w:rPr>
      </w:pPr>
      <w:bookmarkStart w:id="42" w:name="_Toc437528591"/>
      <w:r>
        <w:rPr>
          <w:rStyle w:val="CharSectno"/>
        </w:rPr>
        <w:t>25</w:t>
      </w:r>
      <w:r>
        <w:rPr>
          <w:snapToGrid w:val="0"/>
        </w:rPr>
        <w:t>.</w:t>
      </w:r>
      <w:r>
        <w:rPr>
          <w:snapToGrid w:val="0"/>
        </w:rPr>
        <w:tab/>
        <w:t>Removal of vehicles</w:t>
      </w:r>
      <w:bookmarkEnd w:id="42"/>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 8 Jan 2015 p. 182</w:t>
      </w:r>
      <w:r>
        <w:noBreakHyphen/>
        <w:t>3.]</w:t>
      </w:r>
    </w:p>
    <w:p>
      <w:pPr>
        <w:pStyle w:val="Heading5"/>
        <w:rPr>
          <w:snapToGrid w:val="0"/>
        </w:rPr>
      </w:pPr>
      <w:bookmarkStart w:id="43" w:name="_Toc437528592"/>
      <w:r>
        <w:rPr>
          <w:rStyle w:val="CharSectno"/>
        </w:rPr>
        <w:t>26</w:t>
      </w:r>
      <w:r>
        <w:rPr>
          <w:snapToGrid w:val="0"/>
        </w:rPr>
        <w:t>.</w:t>
      </w:r>
      <w:r>
        <w:rPr>
          <w:snapToGrid w:val="0"/>
        </w:rPr>
        <w:tab/>
        <w:t>Responsible person may be treated as driver or person in charge of vehicle</w:t>
      </w:r>
      <w:bookmarkEnd w:id="43"/>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w:t>
      </w:r>
      <w:r>
        <w:noBreakHyphen/>
        <w:t>law 26 amended in Gazette 8 Jan 2015 p. 183.]</w:t>
      </w:r>
    </w:p>
    <w:p>
      <w:pPr>
        <w:pStyle w:val="Heading5"/>
        <w:pageBreakBefore/>
        <w:spacing w:before="0"/>
        <w:rPr>
          <w:snapToGrid w:val="0"/>
        </w:rPr>
      </w:pPr>
      <w:bookmarkStart w:id="44" w:name="_Toc437528593"/>
      <w:r>
        <w:rPr>
          <w:rStyle w:val="CharSectno"/>
        </w:rPr>
        <w:t>27</w:t>
      </w:r>
      <w:r>
        <w:rPr>
          <w:snapToGrid w:val="0"/>
        </w:rPr>
        <w:t>.</w:t>
      </w:r>
      <w:r>
        <w:rPr>
          <w:snapToGrid w:val="0"/>
        </w:rPr>
        <w:tab/>
        <w:t>Other offences</w:t>
      </w:r>
      <w:bookmarkEnd w:id="4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27 amended in Gazette 14 Apr 2015 p. 1336</w:t>
      </w:r>
      <w:r>
        <w:noBreakHyphen/>
        <w:t>7.]</w:t>
      </w:r>
    </w:p>
    <w:p>
      <w:pPr>
        <w:pStyle w:val="Ednotepart"/>
      </w:pPr>
      <w:r>
        <w:t>[Part 6 omitted under the Reprints Act 1984 s. 7(4)(f).]</w:t>
      </w:r>
    </w:p>
    <w:p>
      <w:pPr>
        <w:pStyle w:val="yEdnoteschedule"/>
      </w:pPr>
      <w:r>
        <w:t>[Schedule 1 deleted in Gazette 28 Sep 2012 p. 4652.]</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5" w:name="_Toc434919838"/>
      <w:bookmarkStart w:id="46" w:name="_Toc437528594"/>
      <w:r>
        <w:rPr>
          <w:rStyle w:val="CharSchNo"/>
        </w:rPr>
        <w:t>Schedule 2 </w:t>
      </w:r>
      <w:r>
        <w:t>— </w:t>
      </w:r>
      <w:r>
        <w:rPr>
          <w:rStyle w:val="CharSchText"/>
        </w:rPr>
        <w:t>Infringement notices and modified penalties</w:t>
      </w:r>
      <w:bookmarkEnd w:id="45"/>
      <w:bookmarkEnd w:id="46"/>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p>
        </w:tc>
        <w:tc>
          <w:tcPr>
            <w:tcW w:w="4085" w:type="dxa"/>
          </w:tcPr>
          <w:p>
            <w:pPr>
              <w:pStyle w:val="yTableNAm"/>
            </w:pPr>
          </w:p>
        </w:tc>
        <w:tc>
          <w:tcPr>
            <w:tcW w:w="1160" w:type="dxa"/>
          </w:tcPr>
          <w:p>
            <w:pPr>
              <w:pStyle w:val="yTableNAm"/>
            </w:pPr>
            <w:r>
              <w:t>$</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bookmarkStart w:id="48" w:name="_Toc434919839"/>
    </w:p>
    <w:p>
      <w:pPr>
        <w:pStyle w:val="yScheduleHeading"/>
      </w:pPr>
      <w:bookmarkStart w:id="49" w:name="_Toc437528595"/>
      <w:r>
        <w:rPr>
          <w:rStyle w:val="CharSchNo"/>
        </w:rPr>
        <w:t>Schedule 3</w:t>
      </w:r>
      <w:r>
        <w:t> — </w:t>
      </w:r>
      <w:r>
        <w:rPr>
          <w:rStyle w:val="CharSchText"/>
        </w:rPr>
        <w:t>Forms</w:t>
      </w:r>
      <w:bookmarkEnd w:id="48"/>
      <w:bookmarkEnd w:id="49"/>
    </w:p>
    <w:p>
      <w:pPr>
        <w:pStyle w:val="yShoulderClause"/>
      </w:pPr>
      <w:r>
        <w:t>[bl. 20(3) and 21]</w:t>
      </w:r>
    </w:p>
    <w:p>
      <w:pPr>
        <w:pStyle w:val="yFootnoteheading"/>
      </w:pPr>
      <w:r>
        <w:tab/>
        <w:t>[Heading inserted in Gazette 13 Jun 2014 p. 1883.]</w:t>
      </w:r>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spacing w:after="120"/>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nil"/>
              <w:right w:val="nil"/>
            </w:tcBorders>
          </w:tcPr>
          <w:p>
            <w:pPr>
              <w:pStyle w:val="yTableNAm"/>
              <w:rPr>
                <w:b/>
              </w:rPr>
            </w:pPr>
          </w:p>
        </w:tc>
      </w:tr>
      <w:tr>
        <w:trPr>
          <w:cantSplit/>
        </w:trPr>
        <w:tc>
          <w:tcPr>
            <w:tcW w:w="6938" w:type="dxa"/>
            <w:gridSpan w:val="6"/>
            <w:tcBorders>
              <w:top w:val="nil"/>
              <w:left w:val="nil"/>
              <w:bottom w:val="single" w:sz="4" w:space="0" w:color="auto"/>
              <w:right w:val="nil"/>
            </w:tcBorders>
          </w:tcPr>
          <w:p>
            <w:pPr>
              <w:pStyle w:val="yTableNAm"/>
              <w:keepNext/>
              <w:keepLines/>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keepLines/>
            </w:pPr>
            <w:r>
              <w:t>Reg No.</w:t>
            </w:r>
          </w:p>
        </w:tc>
        <w:tc>
          <w:tcPr>
            <w:tcW w:w="3168" w:type="dxa"/>
            <w:gridSpan w:val="3"/>
            <w:tcBorders>
              <w:top w:val="single" w:sz="4" w:space="0" w:color="auto"/>
              <w:bottom w:val="single" w:sz="4" w:space="0" w:color="auto"/>
            </w:tcBorders>
          </w:tcPr>
          <w:p>
            <w:pPr>
              <w:pStyle w:val="yTableNAm"/>
              <w:keepNext/>
              <w:keepLines/>
            </w:pPr>
            <w:r>
              <w:t>State</w:t>
            </w:r>
          </w:p>
        </w:tc>
      </w:tr>
      <w:tr>
        <w:trPr>
          <w:cantSplit/>
        </w:trPr>
        <w:tc>
          <w:tcPr>
            <w:tcW w:w="3770" w:type="dxa"/>
            <w:gridSpan w:val="3"/>
            <w:tcBorders>
              <w:top w:val="single" w:sz="4" w:space="0" w:color="auto"/>
              <w:left w:val="nil"/>
              <w:bottom w:val="single" w:sz="4" w:space="0" w:color="auto"/>
            </w:tcBorders>
          </w:tcPr>
          <w:p>
            <w:pPr>
              <w:pStyle w:val="zyTableNAm"/>
              <w:keepNext/>
              <w:keepLines/>
            </w:pPr>
          </w:p>
        </w:tc>
        <w:tc>
          <w:tcPr>
            <w:tcW w:w="3168" w:type="dxa"/>
            <w:gridSpan w:val="3"/>
            <w:tcBorders>
              <w:top w:val="single" w:sz="4" w:space="0" w:color="auto"/>
              <w:bottom w:val="single" w:sz="4" w:space="0" w:color="auto"/>
              <w:right w:val="nil"/>
            </w:tcBorders>
          </w:tcPr>
          <w:p>
            <w:pPr>
              <w:pStyle w:val="yTableNAm"/>
              <w:keepNext/>
              <w:keepLines/>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1883</w:t>
      </w:r>
      <w:r>
        <w:noBreakHyphen/>
        <w:t>5; amended in Gazette 8 Jan 2015 p. 183</w:t>
      </w:r>
      <w:r>
        <w:noBreakHyphen/>
        <w:t>4.]</w:t>
      </w:r>
    </w:p>
    <w:p>
      <w:pPr>
        <w:pStyle w:val="yMiscellaneousHeading"/>
        <w:pageBreakBefore/>
        <w:spacing w:before="0"/>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50" w:name="_Toc434919840"/>
      <w:bookmarkStart w:id="51" w:name="_Toc437528596"/>
      <w:r>
        <w:t>Notes</w:t>
      </w:r>
      <w:bookmarkEnd w:id="50"/>
      <w:bookmarkEnd w:id="51"/>
    </w:p>
    <w:p>
      <w:pPr>
        <w:pStyle w:val="nSubsection"/>
      </w:pPr>
      <w:r>
        <w:rPr>
          <w:vertAlign w:val="superscript"/>
        </w:rPr>
        <w:t>1</w:t>
      </w:r>
      <w:r>
        <w:tab/>
        <w:t xml:space="preserve">This reprint is a compilation as at 4 December 2015 of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 xml:space="preserve">laws 1992 </w:t>
      </w:r>
      <w:r>
        <w:t>and includes the amendments made by the other written laws referred to in the following table.  The table also contains information about any reprint.</w:t>
      </w:r>
    </w:p>
    <w:p>
      <w:pPr>
        <w:pStyle w:val="nHeading3"/>
        <w:rPr>
          <w:snapToGrid w:val="0"/>
        </w:rPr>
      </w:pPr>
      <w:bookmarkStart w:id="52" w:name="_Toc437528597"/>
      <w:r>
        <w:rPr>
          <w:snapToGrid w:val="0"/>
        </w:rPr>
        <w:t>Compilation table</w:t>
      </w:r>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laws 1992</w:t>
            </w:r>
          </w:p>
        </w:tc>
        <w:tc>
          <w:tcPr>
            <w:tcW w:w="1276" w:type="dxa"/>
          </w:tcPr>
          <w:p>
            <w:pPr>
              <w:pStyle w:val="nTable"/>
              <w:spacing w:after="40"/>
            </w:pPr>
            <w:r>
              <w:t>28 Jul 1992 p. 3680</w:t>
            </w:r>
            <w:r>
              <w:noBreakHyphen/>
              <w:t>91</w:t>
            </w:r>
          </w:p>
        </w:tc>
        <w:tc>
          <w:tcPr>
            <w:tcW w:w="2693" w:type="dxa"/>
          </w:tcPr>
          <w:p>
            <w:pPr>
              <w:pStyle w:val="nTable"/>
              <w:spacing w:after="40"/>
            </w:pPr>
            <w:r>
              <w:t>1 Aug 1992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1992</w:t>
            </w:r>
          </w:p>
        </w:tc>
        <w:tc>
          <w:tcPr>
            <w:tcW w:w="1276" w:type="dxa"/>
          </w:tcPr>
          <w:p>
            <w:pPr>
              <w:pStyle w:val="nTable"/>
              <w:spacing w:after="40"/>
            </w:pPr>
            <w:r>
              <w:t>8 Dec 1992 p. 5934</w:t>
            </w:r>
          </w:p>
        </w:tc>
        <w:tc>
          <w:tcPr>
            <w:tcW w:w="2693" w:type="dxa"/>
          </w:tcPr>
          <w:p>
            <w:pPr>
              <w:pStyle w:val="nTable"/>
              <w:spacing w:after="40"/>
            </w:pPr>
            <w:r>
              <w:t>1 Jan 1993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1995</w:t>
            </w:r>
          </w:p>
        </w:tc>
        <w:tc>
          <w:tcPr>
            <w:tcW w:w="1276" w:type="dxa"/>
          </w:tcPr>
          <w:p>
            <w:pPr>
              <w:pStyle w:val="nTable"/>
              <w:spacing w:after="40"/>
            </w:pPr>
            <w:r>
              <w:t>29 Aug 1995 p. 3899</w:t>
            </w:r>
            <w:r>
              <w:noBreakHyphen/>
              <w:t>901</w:t>
            </w:r>
          </w:p>
        </w:tc>
        <w:tc>
          <w:tcPr>
            <w:tcW w:w="2693" w:type="dxa"/>
          </w:tcPr>
          <w:p>
            <w:pPr>
              <w:pStyle w:val="nTable"/>
              <w:spacing w:after="40"/>
            </w:pPr>
            <w:r>
              <w:t>1 Sep 1995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1998</w:t>
            </w:r>
          </w:p>
        </w:tc>
        <w:tc>
          <w:tcPr>
            <w:tcW w:w="1276" w:type="dxa"/>
          </w:tcPr>
          <w:p>
            <w:pPr>
              <w:pStyle w:val="nTable"/>
              <w:spacing w:after="40"/>
            </w:pPr>
            <w:r>
              <w:t>10 Jul 1998 p. 3634</w:t>
            </w:r>
          </w:p>
        </w:tc>
        <w:tc>
          <w:tcPr>
            <w:tcW w:w="2693" w:type="dxa"/>
          </w:tcPr>
          <w:p>
            <w:pPr>
              <w:pStyle w:val="nTable"/>
              <w:spacing w:after="40"/>
            </w:pPr>
            <w:r>
              <w:t>10 Jul 1998</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25 Jul 2003</w:t>
            </w:r>
            <w:r>
              <w:t xml:space="preserve"> (includes amendments listed above)</w:t>
            </w:r>
          </w:p>
        </w:tc>
      </w:tr>
      <w:tr>
        <w:tc>
          <w:tcPr>
            <w:tcW w:w="3118" w:type="dxa"/>
          </w:tcPr>
          <w:p>
            <w:pPr>
              <w:pStyle w:val="nTable"/>
              <w:spacing w:after="40"/>
              <w:rPr>
                <w:rFonts w:ascii="Times" w:hAnsi="Time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2004</w:t>
            </w:r>
          </w:p>
        </w:tc>
        <w:tc>
          <w:tcPr>
            <w:tcW w:w="1276" w:type="dxa"/>
          </w:tcPr>
          <w:p>
            <w:pPr>
              <w:pStyle w:val="nTable"/>
              <w:spacing w:after="40"/>
              <w:rPr>
                <w:rFonts w:ascii="Times" w:hAnsi="Times"/>
              </w:rPr>
            </w:pPr>
            <w:r>
              <w:rPr>
                <w:rFonts w:ascii="Times" w:hAnsi="Times"/>
              </w:rPr>
              <w:t>29 Jun 2004 p. 2528-9</w:t>
            </w:r>
          </w:p>
        </w:tc>
        <w:tc>
          <w:tcPr>
            <w:tcW w:w="2693" w:type="dxa"/>
          </w:tcPr>
          <w:p>
            <w:pPr>
              <w:pStyle w:val="nTable"/>
              <w:spacing w:after="40"/>
              <w:rPr>
                <w:rFonts w:ascii="Times" w:hAnsi="Times"/>
              </w:rPr>
            </w:pPr>
            <w:r>
              <w:rPr>
                <w:rFonts w:ascii="Times" w:hAnsi="Times"/>
              </w:rPr>
              <w:t>1 Jul 2004 (see bl. 2)</w:t>
            </w:r>
          </w:p>
        </w:tc>
      </w:tr>
      <w:tr>
        <w:tc>
          <w:tcPr>
            <w:tcW w:w="3118"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2008</w:t>
            </w:r>
          </w:p>
        </w:tc>
        <w:tc>
          <w:tcPr>
            <w:tcW w:w="1276" w:type="dxa"/>
          </w:tcPr>
          <w:p>
            <w:pPr>
              <w:pStyle w:val="nTable"/>
              <w:spacing w:after="40"/>
              <w:rPr>
                <w:rFonts w:ascii="Times" w:hAnsi="Times"/>
              </w:rPr>
            </w:pPr>
            <w:r>
              <w:rPr>
                <w:rFonts w:ascii="Times" w:hAnsi="Times"/>
              </w:rPr>
              <w:t>12 Feb 2008 p. 340</w:t>
            </w:r>
          </w:p>
        </w:tc>
        <w:tc>
          <w:tcPr>
            <w:tcW w:w="2693" w:type="dxa"/>
          </w:tcPr>
          <w:p>
            <w:pPr>
              <w:pStyle w:val="nTable"/>
              <w:spacing w:after="40"/>
              <w:rPr>
                <w:rFonts w:ascii="Times" w:hAnsi="Times"/>
              </w:rPr>
            </w:pPr>
            <w:r>
              <w:rPr>
                <w:rFonts w:ascii="Times" w:hAnsi="Times"/>
                <w:snapToGrid w:val="0"/>
              </w:rPr>
              <w:t>bl. 1 and 2: 12 Feb 2008 (see bl. 2(a));</w:t>
            </w:r>
            <w:r>
              <w:rPr>
                <w:rFonts w:ascii="Times" w:hAnsi="Times"/>
                <w:snapToGrid w:val="0"/>
              </w:rPr>
              <w:br/>
              <w:t>By</w:t>
            </w:r>
            <w:r>
              <w:rPr>
                <w:rFonts w:ascii="Times" w:hAnsi="Times"/>
                <w:snapToGrid w:val="0"/>
              </w:rPr>
              <w:noBreakHyphen/>
              <w:t>laws other than bl. 1 and 2: 13 Feb 2008 (see bl. 2(b))</w:t>
            </w:r>
          </w:p>
        </w:tc>
      </w:tr>
      <w:tr>
        <w:tc>
          <w:tcPr>
            <w:tcW w:w="3118" w:type="dxa"/>
          </w:tcPr>
          <w:p>
            <w:pPr>
              <w:pStyle w:val="nTable"/>
              <w:spacing w:after="40"/>
              <w:rPr>
                <w:rFonts w:ascii="Times" w:hAnsi="Times"/>
                <w:iC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2010</w:t>
            </w:r>
            <w:r>
              <w:rPr>
                <w:rFonts w:ascii="Times" w:hAnsi="Times"/>
                <w:iCs/>
              </w:rPr>
              <w:t xml:space="preserve"> </w:t>
            </w:r>
          </w:p>
        </w:tc>
        <w:tc>
          <w:tcPr>
            <w:tcW w:w="1276" w:type="dxa"/>
          </w:tcPr>
          <w:p>
            <w:pPr>
              <w:pStyle w:val="nTable"/>
              <w:spacing w:after="40"/>
              <w:rPr>
                <w:rFonts w:ascii="Times" w:hAnsi="Times"/>
              </w:rPr>
            </w:pPr>
            <w:r>
              <w:rPr>
                <w:rFonts w:ascii="Times" w:hAnsi="Times"/>
              </w:rPr>
              <w:t>26 Nov 2010 p. 5937-8</w:t>
            </w:r>
          </w:p>
        </w:tc>
        <w:tc>
          <w:tcPr>
            <w:tcW w:w="2693" w:type="dxa"/>
          </w:tcPr>
          <w:p>
            <w:pPr>
              <w:pStyle w:val="nTable"/>
              <w:spacing w:after="40"/>
              <w:rPr>
                <w:rFonts w:ascii="Times" w:hAnsi="Times"/>
              </w:rPr>
            </w:pPr>
            <w:r>
              <w:rPr>
                <w:rFonts w:ascii="Times" w:hAnsi="Times"/>
                <w:snapToGrid w:val="0"/>
              </w:rPr>
              <w:t>bl. 1 and 2: 26 Nov 2010 (see bl. 2(a));</w:t>
            </w:r>
            <w:r>
              <w:rPr>
                <w:rFonts w:ascii="Times" w:hAnsi="Times"/>
                <w:snapToGrid w:val="0"/>
              </w:rPr>
              <w:br/>
              <w:t>By-laws other than bl. 1 and 2: 1 Jan 2011 (see bl. 2(b))</w:t>
            </w:r>
          </w:p>
        </w:tc>
      </w:tr>
      <w:tr>
        <w:tc>
          <w:tcPr>
            <w:tcW w:w="3118"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2011</w:t>
            </w:r>
          </w:p>
        </w:tc>
        <w:tc>
          <w:tcPr>
            <w:tcW w:w="1276" w:type="dxa"/>
          </w:tcPr>
          <w:p>
            <w:pPr>
              <w:pStyle w:val="nTable"/>
              <w:spacing w:after="40"/>
              <w:rPr>
                <w:rFonts w:ascii="Times" w:hAnsi="Times"/>
              </w:rPr>
            </w:pPr>
            <w:r>
              <w:rPr>
                <w:rFonts w:ascii="Times" w:hAnsi="Times"/>
              </w:rPr>
              <w:t>24 Jun 2011 p. 2504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bl. 1 and 2: 24 Jun 2011 (see bl. 2(a));</w:t>
            </w:r>
            <w:r>
              <w:rPr>
                <w:rFonts w:ascii="Times" w:hAnsi="Times"/>
                <w:snapToGrid w:val="0"/>
              </w:rPr>
              <w:br/>
              <w:t>By-laws other than bl. 1 and 2: 1 Jul 2011 (see bl. 2(b))</w:t>
            </w:r>
          </w:p>
        </w:tc>
      </w:tr>
      <w:tr>
        <w:tc>
          <w:tcPr>
            <w:tcW w:w="3118"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(No. 2) 2011</w:t>
            </w:r>
            <w:r>
              <w:rPr>
                <w:rFonts w:ascii="Times" w:hAnsi="Times"/>
                <w:i/>
                <w:vertAlign w:val="superscript"/>
              </w:rPr>
              <w:t> 2</w:t>
            </w:r>
          </w:p>
        </w:tc>
        <w:tc>
          <w:tcPr>
            <w:tcW w:w="1276" w:type="dxa"/>
            <w:shd w:val="clear" w:color="auto" w:fill="auto"/>
          </w:tcPr>
          <w:p>
            <w:pPr>
              <w:pStyle w:val="nTable"/>
              <w:spacing w:after="40"/>
              <w:rPr>
                <w:rFonts w:ascii="Times" w:hAnsi="Times"/>
              </w:rPr>
            </w:pPr>
            <w:r>
              <w:rPr>
                <w:rFonts w:ascii="Times" w:hAnsi="Times"/>
              </w:rPr>
              <w:t>23 Dec 2011 p. 5425</w:t>
            </w:r>
            <w:r>
              <w:rPr>
                <w:rFonts w:ascii="Times" w:hAnsi="Times"/>
              </w:rPr>
              <w:noBreakHyphen/>
              <w:t>9</w:t>
            </w:r>
          </w:p>
        </w:tc>
        <w:tc>
          <w:tcPr>
            <w:tcW w:w="2693" w:type="dxa"/>
            <w:shd w:val="clear" w:color="auto" w:fill="auto"/>
          </w:tcPr>
          <w:p>
            <w:pPr>
              <w:pStyle w:val="nTable"/>
              <w:spacing w:after="40"/>
              <w:rPr>
                <w:rFonts w:ascii="Times" w:hAnsi="Times"/>
                <w:snapToGrid w:val="0"/>
              </w:rPr>
            </w:pPr>
            <w:r>
              <w:rPr>
                <w:rFonts w:ascii="Times" w:hAnsi="Times"/>
                <w:snapToGrid w:val="0"/>
              </w:rPr>
              <w:t>bl. 1 and 2: 23 Dec 2011 (see bl. 2(a));</w:t>
            </w:r>
            <w:r>
              <w:rPr>
                <w:rFonts w:ascii="Times" w:hAnsi="Times"/>
                <w:snapToGrid w:val="0"/>
              </w:rPr>
              <w:br/>
              <w:t>By-laws other than bl. 1 and 2: 1 Jan 2012 (see bl. 2(b))</w:t>
            </w:r>
          </w:p>
        </w:tc>
      </w:tr>
      <w:tr>
        <w:tc>
          <w:tcPr>
            <w:tcW w:w="7087" w:type="dxa"/>
            <w:gridSpan w:val="3"/>
            <w:shd w:val="clear" w:color="auto" w:fill="auto"/>
          </w:tcPr>
          <w:p>
            <w:pPr>
              <w:pStyle w:val="nTable"/>
              <w:spacing w:after="40"/>
              <w:rPr>
                <w:snapToGrid w:val="0"/>
                <w:spacing w:val="-2"/>
              </w:rPr>
            </w:pPr>
            <w:r>
              <w:rPr>
                <w:b/>
              </w:rPr>
              <w:t xml:space="preserve">Reprint 2: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27 Jul 2012</w:t>
            </w:r>
            <w:r>
              <w:t xml:space="preserve"> (includes amendments listed above)</w:t>
            </w:r>
          </w:p>
        </w:tc>
      </w:tr>
      <w:tr>
        <w:tc>
          <w:tcPr>
            <w:tcW w:w="3118" w:type="dxa"/>
            <w:shd w:val="clear" w:color="auto" w:fill="auto"/>
          </w:tcPr>
          <w:p>
            <w:pPr>
              <w:pStyle w:val="nTable"/>
              <w:keepNext/>
              <w:keepLines/>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2012</w:t>
            </w:r>
          </w:p>
        </w:tc>
        <w:tc>
          <w:tcPr>
            <w:tcW w:w="1276" w:type="dxa"/>
            <w:shd w:val="clear" w:color="auto" w:fill="auto"/>
          </w:tcPr>
          <w:p>
            <w:pPr>
              <w:pStyle w:val="nTable"/>
              <w:keepNext/>
              <w:keepLines/>
              <w:spacing w:after="40"/>
              <w:rPr>
                <w:rFonts w:ascii="Times" w:hAnsi="Times"/>
              </w:rPr>
            </w:pPr>
            <w:r>
              <w:rPr>
                <w:rFonts w:ascii="Times" w:hAnsi="Times"/>
              </w:rPr>
              <w:t>28 Sep 2012 p. 4650-4</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bl. 1 and 2: 28 Sep 2012 (see bl. 2(a));</w:t>
            </w:r>
            <w:r>
              <w:rPr>
                <w:rFonts w:ascii="Times" w:hAnsi="Times"/>
                <w:snapToGrid w:val="0"/>
              </w:rPr>
              <w:br/>
              <w:t>By-laws other than bl. 1 and 2: 29 Sep 2012 (see bl. 2(b))</w:t>
            </w:r>
          </w:p>
        </w:tc>
      </w:tr>
      <w:tr>
        <w:tc>
          <w:tcPr>
            <w:tcW w:w="3118"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2013</w:t>
            </w:r>
          </w:p>
        </w:tc>
        <w:tc>
          <w:tcPr>
            <w:tcW w:w="1276" w:type="dxa"/>
            <w:shd w:val="clear" w:color="auto" w:fill="auto"/>
          </w:tcPr>
          <w:p>
            <w:pPr>
              <w:pStyle w:val="nTable"/>
              <w:spacing w:after="40"/>
              <w:rPr>
                <w:rFonts w:ascii="Times" w:hAnsi="Times"/>
              </w:rPr>
            </w:pPr>
            <w:r>
              <w:rPr>
                <w:rFonts w:ascii="Times" w:hAnsi="Times"/>
              </w:rPr>
              <w:t>28 Jun 2013 p. 2752</w:t>
            </w:r>
          </w:p>
        </w:tc>
        <w:tc>
          <w:tcPr>
            <w:tcW w:w="2693" w:type="dxa"/>
            <w:shd w:val="clear" w:color="auto" w:fill="auto"/>
          </w:tcPr>
          <w:p>
            <w:pPr>
              <w:pStyle w:val="nTable"/>
              <w:spacing w:after="40"/>
              <w:rPr>
                <w:rFonts w:ascii="Times" w:hAnsi="Times"/>
                <w:b/>
                <w:snapToGrid w:val="0"/>
              </w:rPr>
            </w:pPr>
            <w:r>
              <w:rPr>
                <w:rFonts w:ascii="Times" w:hAnsi="Times"/>
                <w:snapToGrid w:val="0"/>
              </w:rPr>
              <w:t>bl. 1 and 2: 28 Jun 2013 (see bl. 2(a));</w:t>
            </w:r>
            <w:r>
              <w:rPr>
                <w:rFonts w:ascii="Times" w:hAnsi="Times"/>
                <w:snapToGrid w:val="0"/>
              </w:rPr>
              <w:br/>
              <w:t>By-laws other than bl. 1 and 2: 1 Jul 2013 (see bl. 2(b))</w:t>
            </w:r>
          </w:p>
        </w:tc>
      </w:tr>
      <w:tr>
        <w:tc>
          <w:tcPr>
            <w:tcW w:w="3118" w:type="dxa"/>
            <w:shd w:val="clear" w:color="auto" w:fill="auto"/>
          </w:tcPr>
          <w:p>
            <w:pPr>
              <w:pStyle w:val="nTable"/>
              <w:spacing w:after="40"/>
              <w:rPr>
                <w:rFonts w:ascii="Times" w:hAnsi="Times"/>
                <w:i/>
              </w:rPr>
            </w:pPr>
            <w:r>
              <w:rPr>
                <w:i/>
              </w:rPr>
              <w:t>Fremantle Hospital Amendment By</w:t>
            </w:r>
            <w:r>
              <w:rPr>
                <w:i/>
              </w:rPr>
              <w:noBreakHyphen/>
              <w:t xml:space="preserve">laws (No. 2) 2014 </w:t>
            </w:r>
          </w:p>
        </w:tc>
        <w:tc>
          <w:tcPr>
            <w:tcW w:w="1276" w:type="dxa"/>
            <w:shd w:val="clear" w:color="auto" w:fill="auto"/>
          </w:tcPr>
          <w:p>
            <w:pPr>
              <w:pStyle w:val="nTable"/>
              <w:spacing w:after="40"/>
              <w:rPr>
                <w:rFonts w:ascii="Times" w:hAnsi="Times"/>
              </w:rPr>
            </w:pPr>
            <w:r>
              <w:t>13 Jun 2014 p. 1882</w:t>
            </w:r>
            <w:r>
              <w:noBreakHyphen/>
              <w:t>5</w:t>
            </w:r>
          </w:p>
        </w:tc>
        <w:tc>
          <w:tcPr>
            <w:tcW w:w="2693" w:type="dxa"/>
            <w:shd w:val="clear" w:color="auto" w:fill="auto"/>
          </w:tcPr>
          <w:p>
            <w:pPr>
              <w:pStyle w:val="nTable"/>
              <w:spacing w:after="40"/>
              <w:rPr>
                <w:rFonts w:ascii="Times" w:hAnsi="Times"/>
                <w:snapToGrid w:val="0"/>
              </w:rPr>
            </w:pPr>
            <w:r>
              <w:rPr>
                <w:snapToGrid w:val="0"/>
              </w:rPr>
              <w:t>bl</w:t>
            </w:r>
            <w:r>
              <w:rPr>
                <w:rFonts w:ascii="Times" w:hAnsi="Times"/>
                <w:bCs/>
                <w:snapToGrid w:val="0"/>
              </w:rPr>
              <w:t>. 1 and 2: 13 Jun 2014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 Jul 2014 (see </w:t>
            </w:r>
            <w:r>
              <w:rPr>
                <w:snapToGrid w:val="0"/>
              </w:rPr>
              <w:t>bl</w:t>
            </w:r>
            <w:r>
              <w:rPr>
                <w:rFonts w:ascii="Times" w:hAnsi="Times"/>
                <w:bCs/>
                <w:snapToGrid w:val="0"/>
              </w:rPr>
              <w:t>. 2(b))</w:t>
            </w:r>
            <w:r>
              <w:rPr>
                <w:snapToGrid w:val="0"/>
              </w:rPr>
              <w:t xml:space="preserve"> </w:t>
            </w:r>
          </w:p>
        </w:tc>
      </w:tr>
      <w:tr>
        <w:tc>
          <w:tcPr>
            <w:tcW w:w="3118" w:type="dxa"/>
            <w:shd w:val="clear" w:color="auto" w:fill="auto"/>
          </w:tcPr>
          <w:p>
            <w:pPr>
              <w:pStyle w:val="nTable"/>
              <w:spacing w:after="40"/>
              <w:rPr>
                <w:i/>
              </w:rPr>
            </w:pPr>
            <w:r>
              <w:rPr>
                <w:i/>
              </w:rPr>
              <w:t>Fremantle Hospital Amendment By</w:t>
            </w:r>
            <w:r>
              <w:rPr>
                <w:i/>
              </w:rPr>
              <w:noBreakHyphen/>
              <w:t>laws 2014</w:t>
            </w:r>
          </w:p>
        </w:tc>
        <w:tc>
          <w:tcPr>
            <w:tcW w:w="1276" w:type="dxa"/>
            <w:shd w:val="clear" w:color="auto" w:fill="auto"/>
          </w:tcPr>
          <w:p>
            <w:pPr>
              <w:pStyle w:val="nTable"/>
              <w:spacing w:after="40"/>
            </w:pPr>
            <w:r>
              <w:t>8 Jan 2015 p. 181</w:t>
            </w:r>
            <w:r>
              <w:noBreakHyphen/>
              <w:t>4</w:t>
            </w:r>
          </w:p>
        </w:tc>
        <w:tc>
          <w:tcPr>
            <w:tcW w:w="2693" w:type="dxa"/>
            <w:shd w:val="clear" w:color="auto" w:fill="auto"/>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rPr>
            </w:pPr>
            <w:r>
              <w:rPr>
                <w:i/>
              </w:rPr>
              <w:t>Fremantle Hospital Amendment By</w:t>
            </w:r>
            <w:r>
              <w:rPr>
                <w:i/>
              </w:rPr>
              <w:noBreakHyphen/>
              <w:t>laws 2015</w:t>
            </w:r>
          </w:p>
        </w:tc>
        <w:tc>
          <w:tcPr>
            <w:tcW w:w="1276" w:type="dxa"/>
            <w:shd w:val="clear" w:color="auto" w:fill="auto"/>
          </w:tcPr>
          <w:p>
            <w:pPr>
              <w:pStyle w:val="nTable"/>
              <w:spacing w:after="40"/>
            </w:pPr>
            <w:r>
              <w:t>14 Apr 2015 p. 1334</w:t>
            </w:r>
            <w:r>
              <w:noBreakHyphen/>
              <w:t>7</w:t>
            </w:r>
          </w:p>
        </w:tc>
        <w:tc>
          <w:tcPr>
            <w:tcW w:w="2693" w:type="dxa"/>
            <w:shd w:val="clear" w:color="auto" w:fill="auto"/>
          </w:tcPr>
          <w:p>
            <w:pPr>
              <w:pStyle w:val="nTable"/>
              <w:spacing w:after="40"/>
              <w:rPr>
                <w:snapToGrid w:val="0"/>
              </w:rPr>
            </w:pPr>
            <w:r>
              <w:rPr>
                <w:snapToGrid w:val="0"/>
              </w:rPr>
              <w:t>bl</w:t>
            </w:r>
            <w:r>
              <w:rPr>
                <w:rFonts w:ascii="Times" w:hAnsi="Times"/>
                <w:bCs/>
                <w:snapToGrid w:val="0"/>
              </w:rPr>
              <w:t>. 1 and 2: 14 Apr 2015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15 Apr 2015 (see </w:t>
            </w:r>
            <w:r>
              <w:rPr>
                <w:snapToGrid w:val="0"/>
              </w:rPr>
              <w:t>bl</w:t>
            </w:r>
            <w:r>
              <w:rPr>
                <w:rFonts w:ascii="Times" w:hAnsi="Times"/>
                <w:bCs/>
                <w:snapToGrid w:val="0"/>
              </w:rPr>
              <w:t>. 2(b))</w:t>
            </w:r>
          </w:p>
        </w:tc>
      </w:tr>
      <w:tr>
        <w:tc>
          <w:tcPr>
            <w:tcW w:w="3118" w:type="dxa"/>
            <w:shd w:val="clear" w:color="auto" w:fill="auto"/>
          </w:tcPr>
          <w:p>
            <w:pPr>
              <w:pStyle w:val="nTable"/>
              <w:spacing w:after="40"/>
              <w:rPr>
                <w:i/>
              </w:rPr>
            </w:pPr>
            <w:r>
              <w:rPr>
                <w:i/>
              </w:rPr>
              <w:t>Fremantle Hospital Amendment By</w:t>
            </w:r>
            <w:r>
              <w:rPr>
                <w:i/>
              </w:rPr>
              <w:noBreakHyphen/>
              <w:t>laws (No. 2) 2015</w:t>
            </w:r>
          </w:p>
        </w:tc>
        <w:tc>
          <w:tcPr>
            <w:tcW w:w="1276" w:type="dxa"/>
            <w:shd w:val="clear" w:color="auto" w:fill="auto"/>
          </w:tcPr>
          <w:p>
            <w:pPr>
              <w:pStyle w:val="nTable"/>
              <w:spacing w:after="40"/>
            </w:pPr>
            <w:r>
              <w:t>19 Jun 2015 p. 2111</w:t>
            </w:r>
            <w:r>
              <w:noBreakHyphen/>
              <w:t>12</w:t>
            </w:r>
          </w:p>
        </w:tc>
        <w:tc>
          <w:tcPr>
            <w:tcW w:w="2693" w:type="dxa"/>
            <w:shd w:val="clear" w:color="auto" w:fill="auto"/>
          </w:tcPr>
          <w:p>
            <w:pPr>
              <w:pStyle w:val="nTable"/>
              <w:spacing w:after="40"/>
              <w:rPr>
                <w:snapToGrid w:val="0"/>
              </w:rPr>
            </w:pPr>
            <w:r>
              <w:rPr>
                <w:snapToGrid w:val="0"/>
              </w:rPr>
              <w:t>bl</w:t>
            </w:r>
            <w:r>
              <w:rPr>
                <w:rFonts w:ascii="Times" w:hAnsi="Times"/>
                <w:bCs/>
                <w:snapToGrid w:val="0"/>
              </w:rPr>
              <w:t>. 1 and 2: 19 Jun 2015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 Jul 2015 (see </w:t>
            </w:r>
            <w:r>
              <w:rPr>
                <w:snapToGrid w:val="0"/>
              </w:rPr>
              <w:t>bl</w:t>
            </w:r>
            <w:r>
              <w:rPr>
                <w:rFonts w:ascii="Times" w:hAnsi="Times"/>
                <w:bCs/>
                <w:snapToGrid w:val="0"/>
              </w:rPr>
              <w:t>. 2(b))</w:t>
            </w:r>
          </w:p>
        </w:tc>
      </w:tr>
      <w:tr>
        <w:tc>
          <w:tcPr>
            <w:tcW w:w="7087" w:type="dxa"/>
            <w:gridSpan w:val="3"/>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Fremantle Hospital By-laws 1992</w:t>
            </w:r>
            <w:r>
              <w:rPr>
                <w:b/>
                <w:snapToGrid w:val="0"/>
              </w:rPr>
              <w:t xml:space="preserve"> as at 4 Dec 2015</w:t>
            </w:r>
            <w:r>
              <w:rPr>
                <w:snapToGrid w:val="0"/>
              </w:rPr>
              <w:t xml:space="preserve"> (includes amendments listed above)</w:t>
            </w:r>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spacing w:before="40" w:after="40"/>
      </w:pPr>
    </w:p>
    <w:p>
      <w:pPr>
        <w:spacing w:before="40" w:after="40"/>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54" w:name="_Toc434919842"/>
      <w:bookmarkStart w:id="55" w:name="_Toc437528598"/>
      <w:r>
        <w:rPr>
          <w:sz w:val="28"/>
        </w:rPr>
        <w:t>Defined terms</w:t>
      </w:r>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19</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prohibited item</w:t>
      </w:r>
      <w:r>
        <w:tab/>
        <w:t>6(1)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5(4), 16(2), 17(8)</w:t>
      </w:r>
    </w:p>
    <w:p>
      <w:pPr>
        <w:pStyle w:val="DefinedTerms"/>
      </w:pPr>
      <w:r>
        <w:t>speed restriction sign</w:t>
      </w:r>
      <w:r>
        <w:tab/>
        <w:t>3(1)</w:t>
      </w:r>
    </w:p>
    <w:p>
      <w:pPr>
        <w:pStyle w:val="DefinedTerms"/>
      </w:pPr>
      <w:r>
        <w:t>ticket vending machine</w:t>
      </w:r>
      <w:r>
        <w:tab/>
        <w:t>3(1)</w:t>
      </w:r>
    </w:p>
    <w:p>
      <w:pPr>
        <w:pStyle w:val="DefinedTerms"/>
      </w:pPr>
      <w:r>
        <w:t>vehicle</w:t>
      </w:r>
      <w:r>
        <w:tab/>
        <w:t>3(1)</w:t>
      </w:r>
    </w:p>
    <w:p>
      <w:pPr>
        <w:pStyle w:val="DefinedTerms"/>
      </w:pPr>
      <w:r>
        <w:t>visitor’s ticket</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954"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iq9QIAAIEGAAAOAAAAZHJzL2Uyb0RvYy54bWysVVtv2jAUfp+0/2D5nSZhgRLUUNFWTJNQ&#10;W62d+mwcB6w6dmYbCJv233d8Qii0e1in8eAc+9y/c+HisqkU2QjrpNE5Tc5iSoTmppB6mdNvj7Pe&#10;iBLnmS6YMlrkdCccvZx8/HCxrceib1ZGFcISMKLdeFvndOV9PY4ix1eiYu7M1EIDszS2Yh6udhkV&#10;lm3BeqWifhwPo62xRW0NF87B603LpBO0X5aC+7uydMITlVOIzeNp8VyEM5pcsPHSsnol+T4M9g9R&#10;VExqcHowdcM8I2sr35iqJLfGmdKfcVNFpiwlF5gDZJPEr7J5WLFaYC4AjqsPMLn/Z5bfbu4tkUVO&#10;+5RoVkGJpmu/Mlb6XQBnW7sxyDzUIOWbK9NAkbt3B48h56a0VfhCNgT4APPuAK1oPOFBqT/KBikl&#10;HFj9dJAkMWIfvWjX1vnPwlQkEDm1UDpElG3mzkMkINqJBGfOKFnMpFJ4scvFtbJkw6DMM/yFIEHl&#10;RExpss3p8NMgRsvaBP1WTulgR2DHtP7g1ngg8R2ywGr+zJJ+Gl/1s95sODrvpbN00MvO41EvTrKr&#10;bBinWXoz+xWsJ+l4JYtC6LnUouusJP27yu17vO0J7K2TwE+SCqAccl8oxp/fph6dhoPIQHbdF7OM&#10;QqnbkiLld0qE3JX+KkroEKxseMDZFAeXjHOhPTYF4I3SQaoEaN+juJcPqm0V3qN80EDPRvuDciW1&#10;sVjtV2EXz13IZSsPYBzlHUjfLBocjbTr+IUpdjAI1kCDQpu7ms8kwD9nzt8zC4sDHmEZ+js4SmWg&#10;2cyeogRm6sef3oM8dAVwKdnCIsqp+75mVlCivmiY9CxJ07C58JIOzvtwscecxTFHr6trA0OQYHRI&#10;BnmvOrK0pnqCnTkNXoHFNAffOfUdee3b9Qg7l4vpFIVgV9XMz/VDzYPpgHJou8fmidl6P7AeGurW&#10;dCuLjV/NbSsbNLWBDWNKiUMdcG5R3eMPew7bcr+TwyI9vqPUyz/H5DcAAAD//wMAUEsDBBQABgAI&#10;AAAAIQBPJRpG2wAAAAQBAAAPAAAAZHJzL2Rvd25yZXYueG1sTI/BTsMwEETvSPyDtUjcqE0jqijE&#10;qSokTlUPBCgc3XhJosbrYDtt+HsWLnBZaTSjmbflenaDOGGIvScNtwsFAqnxtqdWw8vz400OIiZD&#10;1gyeUMMXRlhXlxelKaw/0xOe6tQKLqFYGA1dSmMhZWw6dCYu/IjE3ocPziSWoZU2mDOXu0EulVpJ&#10;Z3rihc6M+NBhc6wnp+F919/t9tvNW16rqX79nLfHbB+0vr6aN/cgEs7pLww/+IwOFTMd/EQ2ikED&#10;P5J+L3tLlYE4aMjylQJZlfI/fPUNAAD//wMAUEsBAi0AFAAGAAgAAAAhALaDOJL+AAAA4QEAABMA&#10;AAAAAAAAAAAAAAAAAAAAAFtDb250ZW50X1R5cGVzXS54bWxQSwECLQAUAAYACAAAACEAOP0h/9YA&#10;AACUAQAACwAAAAAAAAAAAAAAAAAvAQAAX3JlbHMvLnJlbHNQSwECLQAUAAYACAAAACEA0tJ4qvUC&#10;AACBBgAADgAAAAAAAAAAAAAAAAAuAgAAZHJzL2Uyb0RvYy54bWxQSwECLQAUAAYACAAAACEATyUa&#10;Rt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18"/>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2605"/>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 w:name="WAFER_20150109114700" w:val="RemoveTocBookmarks,RunningHeaders"/>
    <w:docVar w:name="WAFER_20150109114700_GUID" w:val="94b6370d-c2d9-4e19-8bc0-8d4299e00e05"/>
    <w:docVar w:name="WAFER_20150413123602" w:val="ResetPageSize,UpdateArrangement,UpdateNTable"/>
    <w:docVar w:name="WAFER_20150413123602_GUID" w:val="cd5856e0-bf3c-40cb-b33d-b95560e3977d"/>
    <w:docVar w:name="WAFER_20150804150334" w:val="RemoveTocBookmarks,RemoveUnusedBookmarks,RemoveLanguageTags,UsedStyles,ResetPageSize,RemoveCustomizations"/>
    <w:docVar w:name="WAFER_20150804150334_GUID" w:val="745591fc-ff82-4b1d-9c9c-747b16697013"/>
    <w:docVar w:name="WAFER_20151110112605" w:val="UpdateStyles,UsedStyles"/>
    <w:docVar w:name="WAFER_20151110112605_GUID" w:val="34729c84-69eb-4a2f-a3c3-8520e9a4f4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18EC-964E-4661-8BBC-753DBD80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5769</Words>
  <Characters>27234</Characters>
  <Application>Microsoft Office Word</Application>
  <DocSecurity>0</DocSecurity>
  <Lines>939</Lines>
  <Paragraphs>660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1992 - 03-a0-00</dc:title>
  <dc:subject/>
  <dc:creator/>
  <cp:keywords/>
  <dc:description/>
  <cp:lastModifiedBy>svcMRProcess</cp:lastModifiedBy>
  <cp:revision>4</cp:revision>
  <cp:lastPrinted>2015-12-16T02:57:00Z</cp:lastPrinted>
  <dcterms:created xsi:type="dcterms:W3CDTF">2018-09-12T01:18:00Z</dcterms:created>
  <dcterms:modified xsi:type="dcterms:W3CDTF">2018-09-12T01:19:00Z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DocumentType">
    <vt:lpwstr>Reg</vt:lpwstr>
  </property>
  <property fmtid="{D5CDD505-2E9C-101B-9397-08002B2CF9AE}" pid="4" name="OwlsUID">
    <vt:i4>4456</vt:i4>
  </property>
  <property fmtid="{D5CDD505-2E9C-101B-9397-08002B2CF9AE}" pid="5" name="AsAtDate">
    <vt:lpwstr>04 Dec 2015</vt:lpwstr>
  </property>
  <property fmtid="{D5CDD505-2E9C-101B-9397-08002B2CF9AE}" pid="6" name="Suffix">
    <vt:lpwstr>03-a0-00</vt:lpwstr>
  </property>
  <property fmtid="{D5CDD505-2E9C-101B-9397-08002B2CF9AE}" pid="7" name="ReprintedAsAt">
    <vt:filetime>2015-12-03T16:00:00Z</vt:filetime>
  </property>
  <property fmtid="{D5CDD505-2E9C-101B-9397-08002B2CF9AE}" pid="8" name="ReprintNo">
    <vt:lpwstr>3</vt:lpwstr>
  </property>
  <property fmtid="{D5CDD505-2E9C-101B-9397-08002B2CF9AE}" pid="9" name="CommencementDate">
    <vt:lpwstr>20151204</vt:lpwstr>
  </property>
</Properties>
</file>