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Misuse of Drugs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_Toc421523629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_Toc421523630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 used: Form</w:t>
      </w:r>
      <w:r>
        <w:tab/>
      </w:r>
      <w:r>
        <w:fldChar w:fldCharType="begin"/>
      </w:r>
      <w:r>
        <w:instrText xml:space="preserve"> PAGEREF _Toc421523631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_Toc421523632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_Toc421523633 \h </w:instrText>
      </w:r>
      <w:r>
        <w:fldChar w:fldCharType="separate"/>
      </w:r>
      <w:r>
        <w:t>1</w:t>
      </w:r>
      <w:r>
        <w:fldChar w:fldCharType="end"/>
      </w:r>
    </w:p>
    <w:p>
      <w:pPr>
        <w:pStyle w:val="TOC8"/>
        <w:rPr>
          <w:rFonts w:asciiTheme="minorHAnsi" w:eastAsiaTheme="minorEastAsia" w:hAnsiTheme="minorHAnsi" w:cstheme="minorBidi"/>
          <w:szCs w:val="22"/>
        </w:rPr>
      </w:pPr>
      <w:r>
        <w:t>4A.</w:t>
      </w:r>
      <w:r>
        <w:tab/>
        <w:t>Persons authorised to possess prohibited drugs etc.</w:t>
      </w:r>
      <w:r>
        <w:tab/>
      </w:r>
      <w:r>
        <w:fldChar w:fldCharType="begin"/>
      </w:r>
      <w:r>
        <w:instrText xml:space="preserve"> PAGEREF _Toc421523634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_Toc421523635 \h </w:instrText>
      </w:r>
      <w:r>
        <w:fldChar w:fldCharType="separate"/>
      </w:r>
      <w:r>
        <w:t>3</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_Toc421523636 \h </w:instrText>
      </w:r>
      <w:r>
        <w:fldChar w:fldCharType="separate"/>
      </w:r>
      <w:r>
        <w:t>4</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_Toc421523637 \h </w:instrText>
      </w:r>
      <w:r>
        <w:fldChar w:fldCharType="separate"/>
      </w:r>
      <w:r>
        <w:t>4</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_Toc421523638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_Toc421523639 \h </w:instrText>
      </w:r>
      <w:r>
        <w:fldChar w:fldCharType="separate"/>
      </w:r>
      <w:r>
        <w:t>5</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_Toc421523640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etc. (Act s. 15 and 17)</w:t>
      </w:r>
      <w:r>
        <w:tab/>
      </w:r>
      <w:r>
        <w:fldChar w:fldCharType="begin"/>
      </w:r>
      <w:r>
        <w:instrText xml:space="preserve"> PAGEREF _Toc421523641 \h </w:instrText>
      </w:r>
      <w:r>
        <w:fldChar w:fldCharType="separate"/>
      </w:r>
      <w:r>
        <w:t>6</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_Toc421523642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_Toc421523643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plants etc., manner of (Act s. 27(1) or (4))</w:t>
      </w:r>
      <w:r>
        <w:tab/>
      </w:r>
      <w:r>
        <w:fldChar w:fldCharType="begin"/>
      </w:r>
      <w:r>
        <w:instrText xml:space="preserve"> PAGEREF _Toc421523644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_Toc421523645 \h </w:instrText>
      </w:r>
      <w:r>
        <w:fldChar w:fldCharType="separate"/>
      </w:r>
      <w:r>
        <w:t>8</w:t>
      </w:r>
      <w:r>
        <w:fldChar w:fldCharType="end"/>
      </w:r>
    </w:p>
    <w:p>
      <w:pPr>
        <w:pStyle w:val="TOC8"/>
        <w:rPr>
          <w:rFonts w:asciiTheme="minorHAnsi" w:eastAsiaTheme="minorEastAsia" w:hAnsiTheme="minorHAnsi" w:cstheme="minorBidi"/>
          <w:szCs w:val="22"/>
        </w:rPr>
      </w:pPr>
      <w:r>
        <w:t>7B.</w:t>
      </w:r>
      <w:r>
        <w:tab/>
        <w:t>Analysis etc. at request of accused (Act s. 27A)</w:t>
      </w:r>
      <w:r>
        <w:tab/>
      </w:r>
      <w:r>
        <w:fldChar w:fldCharType="begin"/>
      </w:r>
      <w:r>
        <w:instrText xml:space="preserve"> PAGEREF _Toc421523646 \h </w:instrText>
      </w:r>
      <w:r>
        <w:fldChar w:fldCharType="separate"/>
      </w:r>
      <w:r>
        <w:t>8</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_Toc421523647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etc., forms for (Act s. 38)</w:t>
      </w:r>
      <w:r>
        <w:tab/>
      </w:r>
      <w:r>
        <w:fldChar w:fldCharType="begin"/>
      </w:r>
      <w:r>
        <w:instrText xml:space="preserve"> PAGEREF _Toc421523648 \h </w:instrText>
      </w:r>
      <w:r>
        <w:fldChar w:fldCharType="separate"/>
      </w:r>
      <w:r>
        <w:t>12</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_Toc421523649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Fees (Act s. 41(1)(a))</w:t>
      </w:r>
      <w:r>
        <w:tab/>
      </w:r>
      <w:r>
        <w:fldChar w:fldCharType="begin"/>
      </w:r>
      <w:r>
        <w:instrText xml:space="preserve"> PAGEREF _Toc421523650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_Toc421523660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421523629"/>
      <w:r>
        <w:rPr>
          <w:rStyle w:val="CharSectno"/>
        </w:rPr>
        <w:t>1</w:t>
      </w:r>
      <w:r>
        <w:rPr>
          <w:snapToGrid w:val="0"/>
        </w:rPr>
        <w:t xml:space="preserve">. </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21523630"/>
      <w:r>
        <w:rPr>
          <w:rStyle w:val="CharSectno"/>
        </w:rPr>
        <w:t>2</w:t>
      </w:r>
      <w:r>
        <w:rPr>
          <w:snapToGrid w:val="0"/>
        </w:rPr>
        <w:t xml:space="preserve">. </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421523631"/>
      <w:r>
        <w:rPr>
          <w:rStyle w:val="CharSectno"/>
        </w:rPr>
        <w:t>3</w:t>
      </w:r>
      <w:r>
        <w:rPr>
          <w:snapToGrid w:val="0"/>
        </w:rPr>
        <w:t xml:space="preserve">. </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6" w:name="_Toc421523632"/>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7" w:name="_Toc421523633"/>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8" w:name="_Toc421523634"/>
      <w:r>
        <w:rPr>
          <w:rStyle w:val="CharSectno"/>
        </w:rPr>
        <w:t>4A</w:t>
      </w:r>
      <w:r>
        <w:t>.</w:t>
      </w:r>
      <w:r>
        <w:tab/>
        <w:t>Persons authorised to possess prohibited drugs etc.</w:t>
      </w:r>
      <w:bookmarkEnd w:id="8"/>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9" w:name="_Toc421523635"/>
      <w:r>
        <w:rPr>
          <w:rStyle w:val="CharSectno"/>
        </w:rPr>
        <w:t>4B</w:t>
      </w:r>
      <w:r>
        <w:t>.</w:t>
      </w:r>
      <w:r>
        <w:tab/>
        <w:t>Drug paraphernalia: prescribed things and circumstances (Act s. 7B(5))</w:t>
      </w:r>
      <w:bookmarkEnd w:id="9"/>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10" w:name="_Toc421523636"/>
      <w:r>
        <w:rPr>
          <w:rStyle w:val="CharSectno"/>
        </w:rPr>
        <w:t>5AA</w:t>
      </w:r>
      <w:r>
        <w:t>.</w:t>
      </w:r>
      <w:r>
        <w:tab/>
        <w:t>Minor cannabis related offences, forms for</w:t>
      </w:r>
      <w:bookmarkEnd w:id="10"/>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1" w:name="_Toc421523637"/>
      <w:r>
        <w:rPr>
          <w:rStyle w:val="CharSectno"/>
        </w:rPr>
        <w:t>5</w:t>
      </w:r>
      <w:r>
        <w:t>.</w:t>
      </w:r>
      <w:r>
        <w:tab/>
        <w:t>Category 1 items (Act Part IV)</w:t>
      </w:r>
      <w:bookmarkEnd w:id="11"/>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2" w:name="_Toc421523638"/>
      <w:r>
        <w:rPr>
          <w:rStyle w:val="CharSectno"/>
        </w:rPr>
        <w:t>5A</w:t>
      </w:r>
      <w:r>
        <w:t>.</w:t>
      </w:r>
      <w:r>
        <w:tab/>
        <w:t>Category 2 items (Act Part IV)</w:t>
      </w:r>
      <w:bookmarkEnd w:id="12"/>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3" w:name="_Toc421523639"/>
      <w:r>
        <w:rPr>
          <w:rStyle w:val="CharSectno"/>
        </w:rPr>
        <w:t>5B</w:t>
      </w:r>
      <w:r>
        <w:t>.</w:t>
      </w:r>
      <w:r>
        <w:tab/>
        <w:t>Classes of person prescribed (Act s. 13(1)(b))</w:t>
      </w:r>
      <w:bookmarkEnd w:id="13"/>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4" w:name="_Toc421523640"/>
      <w:r>
        <w:rPr>
          <w:rStyle w:val="CharSectno"/>
        </w:rPr>
        <w:t>5C</w:t>
      </w:r>
      <w:r>
        <w:t>.</w:t>
      </w:r>
      <w:r>
        <w:tab/>
        <w:t>Quantities prescribed (Act s. 14(1))</w:t>
      </w:r>
      <w:bookmarkEnd w:id="14"/>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5" w:name="_Toc421523641"/>
      <w:r>
        <w:rPr>
          <w:rStyle w:val="CharSectno"/>
        </w:rPr>
        <w:t>5D</w:t>
      </w:r>
      <w:r>
        <w:t>.</w:t>
      </w:r>
      <w:r>
        <w:tab/>
        <w:t>Declarations, prescribed forms for etc. (Act s. 15 and 17)</w:t>
      </w:r>
      <w:bookmarkEnd w:id="15"/>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6" w:name="_Toc421523642"/>
      <w:r>
        <w:rPr>
          <w:rStyle w:val="CharSectno"/>
        </w:rPr>
        <w:t>5E</w:t>
      </w:r>
      <w:r>
        <w:t>.</w:t>
      </w:r>
      <w:r>
        <w:tab/>
        <w:t>Evidence of identity (Act s. 15 and 17)</w:t>
      </w:r>
      <w:bookmarkEnd w:id="16"/>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rPr>
          <w:rStyle w:val="CharSectno"/>
        </w:rPr>
      </w:pPr>
      <w:r>
        <w:t>[</w:t>
      </w:r>
      <w:r>
        <w:rPr>
          <w:b/>
        </w:rPr>
        <w:t>6A.</w:t>
      </w:r>
      <w:r>
        <w:rPr>
          <w:b/>
        </w:rPr>
        <w:tab/>
      </w:r>
      <w:r>
        <w:t>Deleted in Gazette 28 Aug 2012 p. 4142.]</w:t>
      </w:r>
    </w:p>
    <w:p>
      <w:pPr>
        <w:pStyle w:val="Heading5"/>
        <w:rPr>
          <w:snapToGrid w:val="0"/>
        </w:rPr>
      </w:pPr>
      <w:bookmarkStart w:id="17" w:name="_Toc421523643"/>
      <w:r>
        <w:rPr>
          <w:rStyle w:val="CharSectno"/>
        </w:rPr>
        <w:t>6</w:t>
      </w:r>
      <w:r>
        <w:rPr>
          <w:snapToGrid w:val="0"/>
        </w:rPr>
        <w:t>.</w:t>
      </w:r>
      <w:r>
        <w:rPr>
          <w:snapToGrid w:val="0"/>
        </w:rPr>
        <w:tab/>
        <w:t>Information on oath and search warrants (Act s. 24(1))</w:t>
      </w:r>
      <w:bookmarkEnd w:id="17"/>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8" w:name="_Toc421523644"/>
      <w:r>
        <w:rPr>
          <w:rStyle w:val="CharSectno"/>
        </w:rPr>
        <w:t>7</w:t>
      </w:r>
      <w:r>
        <w:rPr>
          <w:snapToGrid w:val="0"/>
        </w:rPr>
        <w:t>.</w:t>
      </w:r>
      <w:r>
        <w:rPr>
          <w:snapToGrid w:val="0"/>
        </w:rPr>
        <w:tab/>
        <w:t>Destruction of prohibited plants etc., manner of (Act s. 27(1) or (4))</w:t>
      </w:r>
      <w:bookmarkEnd w:id="18"/>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9" w:name="_Toc421523645"/>
      <w:r>
        <w:rPr>
          <w:rStyle w:val="CharSectno"/>
        </w:rPr>
        <w:t>7A</w:t>
      </w:r>
      <w:r>
        <w:rPr>
          <w:snapToGrid w:val="0"/>
        </w:rPr>
        <w:t>.</w:t>
      </w:r>
      <w:r>
        <w:rPr>
          <w:snapToGrid w:val="0"/>
        </w:rPr>
        <w:tab/>
        <w:t>Directions by Commissioner of Police for destruction of seized prohibited drugs etc., form for (Act s. 27(3))</w:t>
      </w:r>
      <w:bookmarkEnd w:id="19"/>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20" w:name="_Toc421523646"/>
      <w:r>
        <w:rPr>
          <w:rStyle w:val="CharSectno"/>
        </w:rPr>
        <w:t>7B</w:t>
      </w:r>
      <w:r>
        <w:t>.</w:t>
      </w:r>
      <w:r>
        <w:tab/>
        <w:t>Analysis etc. at request of accused (Act s. 27A)</w:t>
      </w:r>
      <w:bookmarkEnd w:id="20"/>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21" w:name="_Toc421523647"/>
      <w:r>
        <w:rPr>
          <w:rStyle w:val="CharSectno"/>
        </w:rPr>
        <w:t>10A</w:t>
      </w:r>
      <w:r>
        <w:t>.</w:t>
      </w:r>
      <w:r>
        <w:tab/>
        <w:t>External serious drug offences (Act s. 32A(3))</w:t>
      </w:r>
      <w:bookmarkEnd w:id="21"/>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2" w:name="_Toc421523648"/>
      <w:r>
        <w:rPr>
          <w:rStyle w:val="CharSectno"/>
        </w:rPr>
        <w:t>11</w:t>
      </w:r>
      <w:r>
        <w:rPr>
          <w:snapToGrid w:val="0"/>
        </w:rPr>
        <w:t>.</w:t>
      </w:r>
      <w:r>
        <w:rPr>
          <w:snapToGrid w:val="0"/>
        </w:rPr>
        <w:tab/>
        <w:t>Certificates of approved analysts etc., forms for (Act s. 38)</w:t>
      </w:r>
      <w:bookmarkEnd w:id="22"/>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3" w:name="_Toc421523649"/>
      <w:r>
        <w:rPr>
          <w:rStyle w:val="CharSectno"/>
        </w:rPr>
        <w:t>11A</w:t>
      </w:r>
      <w:r>
        <w:t>.</w:t>
      </w:r>
      <w:r>
        <w:tab/>
        <w:t>Applications by accused for copies of certificates, form for (Act s. 38A)</w:t>
      </w:r>
      <w:bookmarkEnd w:id="23"/>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4" w:name="_Toc421523650"/>
      <w:r>
        <w:rPr>
          <w:rStyle w:val="CharSectno"/>
        </w:rPr>
        <w:t>12</w:t>
      </w:r>
      <w:r>
        <w:rPr>
          <w:snapToGrid w:val="0"/>
        </w:rPr>
        <w:t xml:space="preserve">. </w:t>
      </w:r>
      <w:r>
        <w:rPr>
          <w:snapToGrid w:val="0"/>
        </w:rPr>
        <w:tab/>
        <w:t>Fees (Act s. 41(1)(a))</w:t>
      </w:r>
      <w:bookmarkEnd w:id="24"/>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r>
        <w:rPr>
          <w:rStyle w:val="CharSectno"/>
        </w:rPr>
        <w:t>13</w:t>
      </w:r>
      <w:r>
        <w:t>.</w:t>
      </w:r>
      <w:r>
        <w:tab/>
        <w:t>Fees (Act s. 8U(2)(c))</w:t>
      </w:r>
    </w:p>
    <w:p>
      <w:pPr>
        <w:pStyle w:val="Subsection"/>
      </w:pPr>
      <w:r>
        <w:tab/>
        <w:t>(1)</w:t>
      </w:r>
      <w:r>
        <w:tab/>
        <w:t>The fee to accompany an application under section 8U(1) of the Act to have a sample of the thing identified in a notice analysed by an approved analyst is to be calculated in accordance with subregulation (2).</w:t>
      </w:r>
    </w:p>
    <w:p>
      <w:pPr>
        <w:pStyle w:val="Subsection"/>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in Gazette 5 Jan 2016 p. 4.]</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25" w:name="_Toc421523602"/>
      <w:bookmarkStart w:id="26" w:name="_Toc421523651"/>
      <w:r>
        <w:rPr>
          <w:rStyle w:val="CharSchNo"/>
        </w:rPr>
        <w:t>Schedule 1</w:t>
      </w:r>
      <w:r>
        <w:t> — </w:t>
      </w:r>
      <w:r>
        <w:rPr>
          <w:rStyle w:val="CharSchText"/>
        </w:rPr>
        <w:t>Forms</w:t>
      </w:r>
      <w:bookmarkEnd w:id="25"/>
      <w:bookmarkEnd w:id="26"/>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MiscellaneousBody"/>
        <w:jc w:val="right"/>
        <w:rPr>
          <w:snapToGrid w:val="0"/>
        </w:rPr>
      </w:pPr>
      <w:r>
        <w:rPr>
          <w:snapToGrid w:val="0"/>
        </w:rPr>
        <w:t>Form M.D. 9</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PSYCHOACTIVE SUBSTANCE DESTRUCTION NOTICE</w:t>
      </w:r>
    </w:p>
    <w:p>
      <w:pPr>
        <w:pStyle w:val="yMiscellaneousBody"/>
        <w:rPr>
          <w:snapToGrid w:val="0"/>
        </w:rPr>
      </w:pPr>
      <w:r>
        <w:rPr>
          <w:snapToGrid w:val="0"/>
        </w:rPr>
        <w:t>Property reference No. ........................</w:t>
      </w:r>
    </w:p>
    <w:p>
      <w:pPr>
        <w:pStyle w:val="yMiscellaneousBody"/>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rPr>
          <w:snapToGrid w:val="0"/>
        </w:rPr>
      </w:pPr>
      <w:r>
        <w:rPr>
          <w:snapToGrid w:val="0"/>
        </w:rPr>
        <w:t xml:space="preserve">This Notice is given on the ........... day of ................ 20....... </w:t>
      </w:r>
    </w:p>
    <w:p>
      <w:pPr>
        <w:pStyle w:val="yMiscellaneousBody"/>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bookmarkStart w:id="27" w:name="Check12"/>
      <w:r>
        <w:rPr>
          <w:snapToGrid w:val="0"/>
        </w:rPr>
        <w:instrText xml:space="preserve"> FORMCHECKBOX </w:instrText>
      </w:r>
      <w:r>
        <w:rPr>
          <w:snapToGrid w:val="0"/>
        </w:rPr>
      </w:r>
      <w:r>
        <w:rPr>
          <w:snapToGrid w:val="0"/>
        </w:rPr>
        <w:fldChar w:fldCharType="separate"/>
      </w:r>
      <w:r>
        <w:rPr>
          <w:snapToGrid w:val="0"/>
        </w:rPr>
        <w:fldChar w:fldCharType="end"/>
      </w:r>
      <w:bookmarkEnd w:id="27"/>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day of…………………… 20…..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3"/>
            <w:enabled/>
            <w:calcOnExit w:val="0"/>
            <w:checkBox>
              <w:sizeAuto/>
              <w:default w:val="0"/>
            </w:checkBox>
          </w:ffData>
        </w:fldChar>
      </w:r>
      <w:bookmarkStart w:id="28" w:name="Check13"/>
      <w:r>
        <w:rPr>
          <w:snapToGrid w:val="0"/>
        </w:rPr>
        <w:instrText xml:space="preserve"> FORMCHECKBOX </w:instrText>
      </w:r>
      <w:r>
        <w:rPr>
          <w:snapToGrid w:val="0"/>
        </w:rPr>
      </w:r>
      <w:r>
        <w:rPr>
          <w:snapToGrid w:val="0"/>
        </w:rPr>
        <w:fldChar w:fldCharType="separate"/>
      </w:r>
      <w:r>
        <w:rPr>
          <w:snapToGrid w:val="0"/>
        </w:rPr>
        <w:fldChar w:fldCharType="end"/>
      </w:r>
      <w:bookmarkEnd w:id="28"/>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rPr>
          <w:snapToGrid w:val="0"/>
        </w:rPr>
      </w:pPr>
      <w:r>
        <w:rPr>
          <w:snapToGrid w:val="0"/>
        </w:rPr>
        <w:t>Postal/Courier reference number ………………………………………</w:t>
      </w:r>
    </w:p>
    <w:p>
      <w:pPr>
        <w:pStyle w:val="yMiscellaneousBody"/>
        <w:rPr>
          <w:snapToGrid w:val="0"/>
        </w:rPr>
      </w:pPr>
      <w:r>
        <w:rPr>
          <w:snapToGrid w:val="0"/>
        </w:rPr>
        <w:t>Courier company (if applicable) ……………………………………....</w:t>
      </w:r>
    </w:p>
    <w:p>
      <w:pPr>
        <w:pStyle w:val="yMiscellaneousBody"/>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in Gazette 5 Jan 2016 p. 5-6.]</w:t>
      </w:r>
    </w:p>
    <w:p>
      <w:pPr>
        <w:pStyle w:val="yMiscellaneousBody"/>
        <w:jc w:val="right"/>
      </w:pPr>
      <w:r>
        <w:t>Form M.D. 10</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APPLICATION TO HAVE SAMPLE OF SUSPECTED PSYCHOACTIVE SUBSTANCE ANALYSED OR EXAMINED BY APPROVED ANALYST</w:t>
      </w:r>
    </w:p>
    <w:p>
      <w:pPr>
        <w:pStyle w:val="yMiscellaneousBody"/>
        <w:rPr>
          <w:snapToGrid w:val="0"/>
        </w:rPr>
      </w:pPr>
      <w:r>
        <w:rPr>
          <w:snapToGrid w:val="0"/>
        </w:rPr>
        <w:t>To: The Commissioner of Police</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 xml:space="preserve">having been given a psychoactive substance destruction notice (Property Reference No. ............... , Police Reference No. ............)* in relation to — </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in Gazette 5 Jan 2016 p. 6</w:t>
      </w:r>
      <w:r>
        <w:noBreakHyphen/>
        <w:t>7.]</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 xml:space="preserve">Alternatively, you may also send the completed application form by email to </w:t>
            </w:r>
            <w:hyperlink r:id="rId28" w:history="1">
              <w:r>
                <w:rPr>
                  <w:rStyle w:val="Hyperlink"/>
                  <w:b/>
                  <w:sz w:val="22"/>
                </w:rPr>
                <w:t>led.cir.smail@police.wa.gov.au</w:t>
              </w:r>
            </w:hyperlink>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30" w:name="_Toc421523603"/>
      <w:bookmarkStart w:id="31" w:name="_Toc421523652"/>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30"/>
      <w:bookmarkEnd w:id="31"/>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32" w:name="_Toc421523604"/>
      <w:bookmarkStart w:id="33" w:name="_Toc421523653"/>
      <w:r>
        <w:rPr>
          <w:rStyle w:val="CharSchNo"/>
        </w:rPr>
        <w:t>Schedule 3</w:t>
      </w:r>
      <w:r>
        <w:t> — </w:t>
      </w:r>
      <w:r>
        <w:rPr>
          <w:rStyle w:val="CharSchText"/>
        </w:rPr>
        <w:t>Category 1 items</w:t>
      </w:r>
      <w:bookmarkEnd w:id="32"/>
      <w:bookmarkEnd w:id="33"/>
    </w:p>
    <w:p>
      <w:pPr>
        <w:pStyle w:val="yFootnoteheading"/>
      </w:pPr>
      <w:r>
        <w:tab/>
        <w:t>[Heading inserted in Gazette 10 Dec 2004 p. 5974.]</w:t>
      </w:r>
    </w:p>
    <w:p>
      <w:pPr>
        <w:pStyle w:val="yShoulderClause"/>
      </w:pPr>
      <w:r>
        <w:t>[r. 5, 5C]</w:t>
      </w:r>
    </w:p>
    <w:p>
      <w:pPr>
        <w:pStyle w:val="yHeading3"/>
      </w:pPr>
      <w:bookmarkStart w:id="34" w:name="_Toc421523605"/>
      <w:bookmarkStart w:id="35" w:name="_Toc421523654"/>
      <w:r>
        <w:rPr>
          <w:rStyle w:val="CharSDivNo"/>
        </w:rPr>
        <w:t>Division 1</w:t>
      </w:r>
      <w:r>
        <w:t> — </w:t>
      </w:r>
      <w:r>
        <w:rPr>
          <w:rStyle w:val="CharSDivText"/>
        </w:rPr>
        <w:t>Substances</w:t>
      </w:r>
      <w:bookmarkEnd w:id="34"/>
      <w:bookmarkEnd w:id="35"/>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36" w:name="_Toc421523606"/>
      <w:bookmarkStart w:id="37" w:name="_Toc421523655"/>
      <w:r>
        <w:rPr>
          <w:rStyle w:val="CharSDivNo"/>
        </w:rPr>
        <w:t>Division 2</w:t>
      </w:r>
      <w:r>
        <w:rPr>
          <w:b w:val="0"/>
        </w:rPr>
        <w:t> </w:t>
      </w:r>
      <w:r>
        <w:rPr>
          <w:bCs/>
        </w:rPr>
        <w:t>— </w:t>
      </w:r>
      <w:r>
        <w:rPr>
          <w:rStyle w:val="CharSDivText"/>
        </w:rPr>
        <w:t>Things</w:t>
      </w:r>
      <w:bookmarkEnd w:id="36"/>
      <w:bookmarkEnd w:id="37"/>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38" w:name="_Toc421523607"/>
      <w:bookmarkStart w:id="39" w:name="_Toc421523656"/>
      <w:r>
        <w:rPr>
          <w:rStyle w:val="CharSchNo"/>
        </w:rPr>
        <w:t>Schedule 4</w:t>
      </w:r>
      <w:r>
        <w:t> — </w:t>
      </w:r>
      <w:r>
        <w:rPr>
          <w:rStyle w:val="CharSchText"/>
        </w:rPr>
        <w:t>Category 2 items</w:t>
      </w:r>
      <w:bookmarkEnd w:id="38"/>
      <w:bookmarkEnd w:id="39"/>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40" w:name="_Toc421523608"/>
      <w:bookmarkStart w:id="41" w:name="_Toc421523657"/>
      <w:r>
        <w:rPr>
          <w:rStyle w:val="CharSDivNo"/>
        </w:rPr>
        <w:t>Division 1</w:t>
      </w:r>
      <w:r>
        <w:rPr>
          <w:b w:val="0"/>
        </w:rPr>
        <w:t> — </w:t>
      </w:r>
      <w:r>
        <w:rPr>
          <w:rStyle w:val="CharSDivText"/>
        </w:rPr>
        <w:t>Substances</w:t>
      </w:r>
      <w:bookmarkEnd w:id="40"/>
      <w:bookmarkEnd w:id="41"/>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42" w:name="_Toc421523609"/>
      <w:bookmarkStart w:id="43" w:name="_Toc421523658"/>
      <w:r>
        <w:rPr>
          <w:rStyle w:val="CharSDivNo"/>
        </w:rPr>
        <w:t>Division 2</w:t>
      </w:r>
      <w:r>
        <w:rPr>
          <w:b w:val="0"/>
        </w:rPr>
        <w:t> — </w:t>
      </w:r>
      <w:r>
        <w:rPr>
          <w:rStyle w:val="CharSDivText"/>
        </w:rPr>
        <w:t>Things</w:t>
      </w:r>
      <w:bookmarkEnd w:id="42"/>
      <w:bookmarkEnd w:id="43"/>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44" w:name="_Toc421523610"/>
      <w:bookmarkStart w:id="45" w:name="_Toc421523659"/>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421523660"/>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Borders>
              <w:bottom w:val="single" w:sz="4" w:space="0" w:color="auto"/>
            </w:tcBorders>
          </w:tcPr>
          <w:p>
            <w:pPr>
              <w:pStyle w:val="nTable"/>
              <w:spacing w:after="40"/>
              <w:ind w:right="113"/>
              <w:rPr>
                <w:i/>
              </w:rPr>
            </w:pPr>
            <w:r>
              <w:rPr>
                <w:i/>
              </w:rPr>
              <w:t>Misuse of Drugs Amendment Regulations 2015</w:t>
            </w:r>
          </w:p>
        </w:tc>
        <w:tc>
          <w:tcPr>
            <w:tcW w:w="1276" w:type="dxa"/>
            <w:tcBorders>
              <w:bottom w:val="single" w:sz="4" w:space="0" w:color="auto"/>
            </w:tcBorders>
          </w:tcPr>
          <w:p>
            <w:pPr>
              <w:pStyle w:val="nTable"/>
              <w:spacing w:after="40"/>
            </w:pPr>
            <w:r>
              <w:t>5 Jan 2016 p. 4</w:t>
            </w:r>
            <w:r>
              <w:noBreakHyphen/>
              <w:t>7</w:t>
            </w:r>
          </w:p>
        </w:tc>
        <w:tc>
          <w:tcPr>
            <w:tcW w:w="2698" w:type="dxa"/>
            <w:tcBorders>
              <w:bottom w:val="single" w:sz="4" w:space="0" w:color="auto"/>
            </w:tcBorders>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lvlText w:val="%1."/>
      <w:lvlJc w:val="left"/>
      <w:pPr>
        <w:tabs>
          <w:tab w:val="num" w:pos="1800"/>
        </w:tabs>
        <w:ind w:left="1800" w:hanging="360"/>
      </w:pPr>
    </w:lvl>
  </w:abstractNum>
  <w:abstractNum w:abstractNumId="1">
    <w:nsid w:val="FFFFFF7D"/>
    <w:multiLevelType w:val="singleLevel"/>
    <w:tmpl w:val="F4586E82"/>
    <w:lvl w:ilvl="0">
      <w:start w:val="1"/>
      <w:numFmt w:val="decimal"/>
      <w:lvlText w:val="%1."/>
      <w:lvlJc w:val="left"/>
      <w:pPr>
        <w:tabs>
          <w:tab w:val="num" w:pos="1440"/>
        </w:tabs>
        <w:ind w:left="1440" w:hanging="360"/>
      </w:pPr>
    </w:lvl>
  </w:abstractNum>
  <w:abstractNum w:abstractNumId="2">
    <w:nsid w:val="FFFFFF7E"/>
    <w:multiLevelType w:val="singleLevel"/>
    <w:tmpl w:val="955C7E90"/>
    <w:lvl w:ilvl="0">
      <w:start w:val="1"/>
      <w:numFmt w:val="decimal"/>
      <w:lvlText w:val="%1."/>
      <w:lvlJc w:val="left"/>
      <w:pPr>
        <w:tabs>
          <w:tab w:val="num" w:pos="1080"/>
        </w:tabs>
        <w:ind w:left="1080" w:hanging="360"/>
      </w:pPr>
    </w:lvl>
  </w:abstractNum>
  <w:abstractNum w:abstractNumId="3">
    <w:nsid w:val="FFFFFF7F"/>
    <w:multiLevelType w:val="singleLevel"/>
    <w:tmpl w:val="333CEB26"/>
    <w:lvl w:ilvl="0">
      <w:start w:val="1"/>
      <w:numFmt w:val="decimal"/>
      <w:lvlText w:val="%1."/>
      <w:lvlJc w:val="left"/>
      <w:pPr>
        <w:tabs>
          <w:tab w:val="num" w:pos="720"/>
        </w:tabs>
        <w:ind w:left="720" w:hanging="360"/>
      </w:pPr>
    </w:lvl>
  </w:abstractNum>
  <w:abstractNum w:abstractNumId="4">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lvlText w:val="%1."/>
      <w:lvlJc w:val="left"/>
      <w:pPr>
        <w:tabs>
          <w:tab w:val="num" w:pos="360"/>
        </w:tabs>
        <w:ind w:left="360" w:hanging="360"/>
      </w:pPr>
    </w:lvl>
  </w:abstractNum>
  <w:abstractNum w:abstractNumId="9">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mailto:led.cir.smail@police.wa.gov.au" TargetMode="Externa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FF06-1F11-4EBE-B69E-DB776067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8149</Words>
  <Characters>46942</Characters>
  <Application>Microsoft Office Word</Application>
  <DocSecurity>0</DocSecurity>
  <Lines>1877</Lines>
  <Paragraphs>1124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1982 - 03-h0-00</dc:title>
  <dc:subject/>
  <dc:creator/>
  <cp:keywords/>
  <dc:description/>
  <cp:lastModifiedBy>svcMRProcess</cp:lastModifiedBy>
  <cp:revision>4</cp:revision>
  <cp:lastPrinted>2012-01-16T23:36:00Z</cp:lastPrinted>
  <dcterms:created xsi:type="dcterms:W3CDTF">2018-09-12T19:19:00Z</dcterms:created>
  <dcterms:modified xsi:type="dcterms:W3CDTF">2018-09-12T19:19:00Z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No">
    <vt:lpwstr>3</vt:lpwstr>
  </property>
  <property fmtid="{D5CDD505-2E9C-101B-9397-08002B2CF9AE}" pid="6" name="ReprintedAsAt">
    <vt:filetime>2012-01-05T16:00:00Z</vt:filetime>
  </property>
  <property fmtid="{D5CDD505-2E9C-101B-9397-08002B2CF9AE}" pid="7" name="AsAtDate">
    <vt:lpwstr>06 Jan 2016</vt:lpwstr>
  </property>
  <property fmtid="{D5CDD505-2E9C-101B-9397-08002B2CF9AE}" pid="8" name="Suffix">
    <vt:lpwstr>03-h0-00</vt:lpwstr>
  </property>
  <property fmtid="{D5CDD505-2E9C-101B-9397-08002B2CF9AE}" pid="9" name="CommencementDate">
    <vt:lpwstr>20160106</vt:lpwstr>
  </property>
</Properties>
</file>