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_Toc440529898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_Toc440529899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_Toc440529900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_Toc440529901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_Toc440529902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_Toc440529904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_Toc440529905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_Toc440529906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_Toc440529907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_Toc440529908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_Toc440529909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_Toc440529910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_Toc440529911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_Toc440529912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_Toc440529913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_Toc440529914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_Toc440529915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_Toc440529916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_Toc440529919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_Toc440529920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_Toc440529921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_Toc440529922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_Toc440529923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_Toc440529924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_Toc440529925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portion of valuations; valuing improvements</w:t>
      </w:r>
      <w:r>
        <w:tab/>
      </w:r>
      <w:r>
        <w:fldChar w:fldCharType="begin"/>
      </w:r>
      <w:r>
        <w:instrText xml:space="preserve"> PAGEREF _Toc440529926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_Toc440529927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_Toc440529929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to valuation rolls</w:t>
      </w:r>
      <w:r>
        <w:tab/>
      </w:r>
      <w:r>
        <w:fldChar w:fldCharType="begin"/>
      </w:r>
      <w:r>
        <w:instrText xml:space="preserve"> PAGEREF _Toc440529930 \h </w:instrText>
      </w:r>
      <w:r>
        <w:fldChar w:fldCharType="separate"/>
      </w:r>
      <w:r>
        <w:t>28</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_Toc440529931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_Toc440529932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_Toc440529934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_Toc440529935 \h </w:instrText>
      </w:r>
      <w:r>
        <w:fldChar w:fldCharType="separate"/>
      </w:r>
      <w:r>
        <w:t>30</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_Toc440529936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_Toc440529938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_Toc440529939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_Toc440529940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_Toc440529941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_Toc440529942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_Toc440529943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_Toc440529944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_Toc440529945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_Toc440529947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_Toc440529948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_Toc440529949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_Toc440529950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_Toc440529951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_Toc440529952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_Toc440529953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_Toc440529954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_Toc440529955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_Toc440529956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_Toc440529957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_Toc440529958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_Toc440529959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_Toc440529960 \h </w:instrText>
      </w:r>
      <w:r>
        <w:fldChar w:fldCharType="separate"/>
      </w:r>
      <w:r>
        <w:t>41</w:t>
      </w:r>
      <w:r>
        <w:fldChar w:fldCharType="end"/>
      </w:r>
    </w:p>
    <w:p>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_Toc440529961 \h </w:instrText>
      </w:r>
      <w:r>
        <w:fldChar w:fldCharType="separate"/>
      </w:r>
      <w:r>
        <w:t>41</w:t>
      </w:r>
      <w:r>
        <w:fldChar w:fldCharType="end"/>
      </w:r>
    </w:p>
    <w:p>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_Toc440529962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_Toc440529964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432413452"/>
      <w:bookmarkStart w:id="4" w:name="_Toc435520162"/>
      <w:bookmarkStart w:id="5" w:name="_Toc439686559"/>
      <w:bookmarkStart w:id="6" w:name="_Toc440529759"/>
      <w:bookmarkStart w:id="7" w:name="_Toc440529828"/>
      <w:bookmarkStart w:id="8" w:name="_Toc44052989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20"/>
        <w:rPr>
          <w:snapToGrid w:val="0"/>
        </w:rPr>
      </w:pPr>
      <w:bookmarkStart w:id="9" w:name="_Toc440529898"/>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0" w:name="_Toc440529899"/>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1" w:name="_Toc440529900"/>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12" w:name="_Toc440529901"/>
      <w:r>
        <w:rPr>
          <w:rStyle w:val="CharSectno"/>
        </w:rPr>
        <w:t>5A</w:t>
      </w:r>
      <w:r>
        <w:t>.</w:t>
      </w:r>
      <w:r>
        <w:tab/>
        <w:t>Unimproved value of pastoral leases, matter to be disregarded</w:t>
      </w:r>
      <w:bookmarkEnd w:id="12"/>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3" w:name="_Toc440529902"/>
      <w:r>
        <w:rPr>
          <w:rStyle w:val="CharSectno"/>
        </w:rPr>
        <w:t>5</w:t>
      </w:r>
      <w:r>
        <w:rPr>
          <w:snapToGrid w:val="0"/>
        </w:rPr>
        <w:t>.</w:t>
      </w:r>
      <w:r>
        <w:rPr>
          <w:snapToGrid w:val="0"/>
        </w:rPr>
        <w:tab/>
        <w:t>Transitional provisions for valuations</w:t>
      </w:r>
      <w:bookmarkEnd w:id="13"/>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4" w:name="_Toc432413458"/>
      <w:bookmarkStart w:id="15" w:name="_Toc435520168"/>
      <w:bookmarkStart w:id="16" w:name="_Toc439686565"/>
      <w:bookmarkStart w:id="17" w:name="_Toc440529765"/>
      <w:bookmarkStart w:id="18" w:name="_Toc440529834"/>
      <w:bookmarkStart w:id="19" w:name="_Toc440529903"/>
      <w:r>
        <w:rPr>
          <w:rStyle w:val="CharPartNo"/>
        </w:rPr>
        <w:t>Part II</w:t>
      </w:r>
      <w:r>
        <w:rPr>
          <w:rStyle w:val="CharDivNo"/>
        </w:rPr>
        <w:t> </w:t>
      </w:r>
      <w:r>
        <w:t>—</w:t>
      </w:r>
      <w:r>
        <w:rPr>
          <w:rStyle w:val="CharDivText"/>
        </w:rPr>
        <w:t> </w:t>
      </w:r>
      <w:r>
        <w:rPr>
          <w:rStyle w:val="CharPartText"/>
        </w:rPr>
        <w:t>Administration</w:t>
      </w:r>
      <w:bookmarkEnd w:id="14"/>
      <w:bookmarkEnd w:id="15"/>
      <w:bookmarkEnd w:id="16"/>
      <w:bookmarkEnd w:id="17"/>
      <w:bookmarkEnd w:id="18"/>
      <w:bookmarkEnd w:id="19"/>
    </w:p>
    <w:p>
      <w:pPr>
        <w:pStyle w:val="Heading5"/>
      </w:pPr>
      <w:bookmarkStart w:id="20" w:name="_Toc440529904"/>
      <w:r>
        <w:rPr>
          <w:rStyle w:val="CharSectno"/>
        </w:rPr>
        <w:t>6</w:t>
      </w:r>
      <w:r>
        <w:t>.</w:t>
      </w:r>
      <w:r>
        <w:tab/>
        <w:t>Valuer</w:t>
      </w:r>
      <w:r>
        <w:noBreakHyphen/>
        <w:t>General, designation of</w:t>
      </w:r>
      <w:bookmarkEnd w:id="20"/>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21" w:name="_Toc440529905"/>
      <w:r>
        <w:rPr>
          <w:rStyle w:val="CharSectno"/>
        </w:rPr>
        <w:t>7</w:t>
      </w:r>
      <w:r>
        <w:rPr>
          <w:snapToGrid w:val="0"/>
        </w:rPr>
        <w:t>.</w:t>
      </w:r>
      <w:r>
        <w:rPr>
          <w:snapToGrid w:val="0"/>
        </w:rPr>
        <w:tab/>
        <w:t>Valuer</w:t>
      </w:r>
      <w:r>
        <w:rPr>
          <w:snapToGrid w:val="0"/>
        </w:rPr>
        <w:noBreakHyphen/>
        <w:t>General to administer Act and value land independently</w:t>
      </w:r>
      <w:bookmarkEnd w:id="21"/>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2" w:name="_Toc440529906"/>
      <w:r>
        <w:rPr>
          <w:rStyle w:val="CharSectno"/>
        </w:rPr>
        <w:t>8</w:t>
      </w:r>
      <w:r>
        <w:rPr>
          <w:snapToGrid w:val="0"/>
        </w:rPr>
        <w:t>.</w:t>
      </w:r>
      <w:r>
        <w:rPr>
          <w:snapToGrid w:val="0"/>
        </w:rPr>
        <w:tab/>
        <w:t>Valuer-General may delegate</w:t>
      </w:r>
      <w:bookmarkEnd w:id="22"/>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23" w:name="_Toc440529907"/>
      <w:r>
        <w:rPr>
          <w:rStyle w:val="CharSectno"/>
        </w:rPr>
        <w:t>9</w:t>
      </w:r>
      <w:r>
        <w:rPr>
          <w:snapToGrid w:val="0"/>
        </w:rPr>
        <w:t>.</w:t>
      </w:r>
      <w:r>
        <w:rPr>
          <w:snapToGrid w:val="0"/>
        </w:rPr>
        <w:tab/>
        <w:t>Power to inspect etc. documents in public offices</w:t>
      </w:r>
      <w:bookmarkEnd w:id="23"/>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24" w:name="_Toc440529908"/>
      <w:r>
        <w:rPr>
          <w:rStyle w:val="CharSectno"/>
        </w:rPr>
        <w:t>10</w:t>
      </w:r>
      <w:r>
        <w:rPr>
          <w:snapToGrid w:val="0"/>
        </w:rPr>
        <w:t>.</w:t>
      </w:r>
      <w:r>
        <w:rPr>
          <w:snapToGrid w:val="0"/>
        </w:rPr>
        <w:tab/>
        <w:t>Other powers for valuing land etc.</w:t>
      </w:r>
      <w:bookmarkEnd w:id="24"/>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25" w:name="_Toc440529909"/>
      <w:r>
        <w:rPr>
          <w:rStyle w:val="CharSectno"/>
        </w:rPr>
        <w:t>11</w:t>
      </w:r>
      <w:r>
        <w:rPr>
          <w:snapToGrid w:val="0"/>
        </w:rPr>
        <w:t>.</w:t>
      </w:r>
      <w:r>
        <w:rPr>
          <w:snapToGrid w:val="0"/>
        </w:rPr>
        <w:tab/>
        <w:t>Power to obtain information</w:t>
      </w:r>
      <w:bookmarkEnd w:id="25"/>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26" w:name="_Toc440529910"/>
      <w:r>
        <w:rPr>
          <w:rStyle w:val="CharSectno"/>
        </w:rPr>
        <w:t>12</w:t>
      </w:r>
      <w:r>
        <w:rPr>
          <w:snapToGrid w:val="0"/>
        </w:rPr>
        <w:t>.</w:t>
      </w:r>
      <w:r>
        <w:rPr>
          <w:snapToGrid w:val="0"/>
        </w:rPr>
        <w:tab/>
        <w:t>Power to require people to attend, give evidence and produce documents</w:t>
      </w:r>
      <w:bookmarkEnd w:id="26"/>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27" w:name="_Toc440529911"/>
      <w:r>
        <w:rPr>
          <w:rStyle w:val="CharSectno"/>
        </w:rPr>
        <w:t>13</w:t>
      </w:r>
      <w:r>
        <w:rPr>
          <w:snapToGrid w:val="0"/>
        </w:rPr>
        <w:t>.</w:t>
      </w:r>
      <w:r>
        <w:rPr>
          <w:snapToGrid w:val="0"/>
        </w:rPr>
        <w:tab/>
        <w:t>Valuer-General and staff not to disclose etc. information except for limited purposes</w:t>
      </w:r>
      <w:bookmarkEnd w:id="27"/>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spacing w:before="180"/>
        <w:rPr>
          <w:snapToGrid w:val="0"/>
        </w:rPr>
      </w:pPr>
      <w:bookmarkStart w:id="28" w:name="_Toc440529912"/>
      <w:r>
        <w:rPr>
          <w:rStyle w:val="CharSectno"/>
        </w:rPr>
        <w:t>14</w:t>
      </w:r>
      <w:r>
        <w:rPr>
          <w:snapToGrid w:val="0"/>
        </w:rPr>
        <w:t>.</w:t>
      </w:r>
      <w:r>
        <w:rPr>
          <w:snapToGrid w:val="0"/>
        </w:rPr>
        <w:tab/>
        <w:t>Exceptions to s. 13</w:t>
      </w:r>
      <w:bookmarkEnd w:id="28"/>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29" w:name="_Toc440529913"/>
      <w:r>
        <w:rPr>
          <w:rStyle w:val="CharSectno"/>
        </w:rPr>
        <w:t>15</w:t>
      </w:r>
      <w:r>
        <w:rPr>
          <w:snapToGrid w:val="0"/>
        </w:rPr>
        <w:t>.</w:t>
      </w:r>
      <w:r>
        <w:rPr>
          <w:snapToGrid w:val="0"/>
        </w:rPr>
        <w:tab/>
        <w:t>Private valuation work restricted</w:t>
      </w:r>
      <w:bookmarkEnd w:id="29"/>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30" w:name="_Toc440529914"/>
      <w:r>
        <w:rPr>
          <w:rStyle w:val="CharSectno"/>
        </w:rPr>
        <w:t>16</w:t>
      </w:r>
      <w:r>
        <w:rPr>
          <w:snapToGrid w:val="0"/>
        </w:rPr>
        <w:t>.</w:t>
      </w:r>
      <w:r>
        <w:rPr>
          <w:snapToGrid w:val="0"/>
        </w:rPr>
        <w:tab/>
        <w:t>Engaging valuers etc. under contracts for services</w:t>
      </w:r>
      <w:bookmarkEnd w:id="3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by No. 32 of 1994 s. 19; No. 60 of 2006 s. 172.]</w:t>
      </w:r>
    </w:p>
    <w:p>
      <w:pPr>
        <w:pStyle w:val="Heading5"/>
        <w:spacing w:before="180"/>
      </w:pPr>
      <w:bookmarkStart w:id="31" w:name="_Toc440529915"/>
      <w:r>
        <w:rPr>
          <w:rStyle w:val="CharSectno"/>
        </w:rPr>
        <w:t>16A</w:t>
      </w:r>
      <w:r>
        <w:t>.</w:t>
      </w:r>
      <w:r>
        <w:tab/>
        <w:t>Minister to have access to information</w:t>
      </w:r>
      <w:bookmarkEnd w:id="31"/>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by No. 70 of 2003 s. 53; amended by No. 60 of 2006 s. 173.]</w:t>
      </w:r>
    </w:p>
    <w:p>
      <w:pPr>
        <w:pStyle w:val="Heading5"/>
      </w:pPr>
      <w:bookmarkStart w:id="32" w:name="_Toc440529916"/>
      <w:r>
        <w:rPr>
          <w:rStyle w:val="CharSectno"/>
        </w:rPr>
        <w:t>16B</w:t>
      </w:r>
      <w:r>
        <w:t>.</w:t>
      </w:r>
      <w:r>
        <w:tab/>
        <w:t>Annual report by Valuer</w:t>
      </w:r>
      <w:r>
        <w:noBreakHyphen/>
        <w:t>General</w:t>
      </w:r>
      <w:bookmarkEnd w:id="32"/>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33" w:name="_Toc432413472"/>
      <w:bookmarkStart w:id="34" w:name="_Toc435520182"/>
      <w:bookmarkStart w:id="35" w:name="_Toc439686579"/>
      <w:bookmarkStart w:id="36" w:name="_Toc440529779"/>
      <w:bookmarkStart w:id="37" w:name="_Toc440529848"/>
      <w:bookmarkStart w:id="38" w:name="_Toc440529917"/>
      <w:r>
        <w:rPr>
          <w:rStyle w:val="CharPartNo"/>
        </w:rPr>
        <w:t>Part III</w:t>
      </w:r>
      <w:r>
        <w:t> — </w:t>
      </w:r>
      <w:r>
        <w:rPr>
          <w:rStyle w:val="CharPartText"/>
        </w:rPr>
        <w:t>Valuation</w:t>
      </w:r>
      <w:bookmarkEnd w:id="33"/>
      <w:bookmarkEnd w:id="34"/>
      <w:bookmarkEnd w:id="35"/>
      <w:bookmarkEnd w:id="36"/>
      <w:bookmarkEnd w:id="37"/>
      <w:bookmarkEnd w:id="38"/>
    </w:p>
    <w:p>
      <w:pPr>
        <w:pStyle w:val="Heading3"/>
      </w:pPr>
      <w:bookmarkStart w:id="39" w:name="_Toc432413473"/>
      <w:bookmarkStart w:id="40" w:name="_Toc435520183"/>
      <w:bookmarkStart w:id="41" w:name="_Toc439686580"/>
      <w:bookmarkStart w:id="42" w:name="_Toc440529780"/>
      <w:bookmarkStart w:id="43" w:name="_Toc440529849"/>
      <w:bookmarkStart w:id="44" w:name="_Toc440529918"/>
      <w:r>
        <w:rPr>
          <w:rStyle w:val="CharDivNo"/>
        </w:rPr>
        <w:t>Division 1</w:t>
      </w:r>
      <w:r>
        <w:rPr>
          <w:snapToGrid w:val="0"/>
        </w:rPr>
        <w:t> — </w:t>
      </w:r>
      <w:r>
        <w:rPr>
          <w:rStyle w:val="CharDivText"/>
        </w:rPr>
        <w:t>General and interim valuations</w:t>
      </w:r>
      <w:bookmarkEnd w:id="39"/>
      <w:bookmarkEnd w:id="40"/>
      <w:bookmarkEnd w:id="41"/>
      <w:bookmarkEnd w:id="42"/>
      <w:bookmarkEnd w:id="43"/>
      <w:bookmarkEnd w:id="44"/>
    </w:p>
    <w:p>
      <w:pPr>
        <w:pStyle w:val="Heading5"/>
        <w:rPr>
          <w:snapToGrid w:val="0"/>
        </w:rPr>
      </w:pPr>
      <w:bookmarkStart w:id="45" w:name="_Toc440529919"/>
      <w:r>
        <w:rPr>
          <w:rStyle w:val="CharSectno"/>
        </w:rPr>
        <w:t>17</w:t>
      </w:r>
      <w:r>
        <w:rPr>
          <w:snapToGrid w:val="0"/>
        </w:rPr>
        <w:t>.</w:t>
      </w:r>
      <w:r>
        <w:rPr>
          <w:snapToGrid w:val="0"/>
        </w:rPr>
        <w:tab/>
        <w:t>Valuation districts, constituting</w:t>
      </w:r>
      <w:bookmarkEnd w:id="45"/>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46" w:name="_Toc440529920"/>
      <w:r>
        <w:rPr>
          <w:rStyle w:val="CharSectno"/>
        </w:rPr>
        <w:t>18</w:t>
      </w:r>
      <w:r>
        <w:rPr>
          <w:snapToGrid w:val="0"/>
        </w:rPr>
        <w:t>.</w:t>
      </w:r>
      <w:r>
        <w:rPr>
          <w:snapToGrid w:val="0"/>
        </w:rPr>
        <w:tab/>
        <w:t>General valuations, determining values for</w:t>
      </w:r>
      <w:bookmarkEnd w:id="4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47" w:name="_Toc440529921"/>
      <w:r>
        <w:rPr>
          <w:rStyle w:val="CharSectno"/>
        </w:rPr>
        <w:t>19</w:t>
      </w:r>
      <w:r>
        <w:rPr>
          <w:snapToGrid w:val="0"/>
        </w:rPr>
        <w:t>.</w:t>
      </w:r>
      <w:r>
        <w:rPr>
          <w:snapToGrid w:val="0"/>
        </w:rPr>
        <w:tab/>
        <w:t>Time at which value to be ascertained for general valuation</w:t>
      </w:r>
      <w:bookmarkEnd w:id="47"/>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48" w:name="_Toc440529922"/>
      <w:r>
        <w:rPr>
          <w:rStyle w:val="CharSectno"/>
        </w:rPr>
        <w:t>20</w:t>
      </w:r>
      <w:r>
        <w:rPr>
          <w:snapToGrid w:val="0"/>
        </w:rPr>
        <w:t>.</w:t>
      </w:r>
      <w:r>
        <w:rPr>
          <w:snapToGrid w:val="0"/>
        </w:rPr>
        <w:tab/>
        <w:t>When general valuation comes into force</w:t>
      </w:r>
      <w:bookmarkEnd w:id="4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49" w:name="_Toc440529923"/>
      <w:r>
        <w:rPr>
          <w:rStyle w:val="CharSectno"/>
        </w:rPr>
        <w:t>21</w:t>
      </w:r>
      <w:r>
        <w:rPr>
          <w:snapToGrid w:val="0"/>
        </w:rPr>
        <w:t>.</w:t>
      </w:r>
      <w:r>
        <w:rPr>
          <w:snapToGrid w:val="0"/>
        </w:rPr>
        <w:tab/>
        <w:t>Public notice of general valuation</w:t>
      </w:r>
      <w:bookmarkEnd w:id="49"/>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50" w:name="_Toc440529924"/>
      <w:r>
        <w:rPr>
          <w:rStyle w:val="CharSectno"/>
        </w:rPr>
        <w:t>22</w:t>
      </w:r>
      <w:r>
        <w:rPr>
          <w:snapToGrid w:val="0"/>
        </w:rPr>
        <w:t>.</w:t>
      </w:r>
      <w:r>
        <w:rPr>
          <w:snapToGrid w:val="0"/>
        </w:rPr>
        <w:tab/>
        <w:t>Frequency of general valuations</w:t>
      </w:r>
      <w:bookmarkEnd w:id="50"/>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51" w:name="_Toc440529925"/>
      <w:r>
        <w:rPr>
          <w:rStyle w:val="CharSectno"/>
        </w:rPr>
        <w:t>23</w:t>
      </w:r>
      <w:r>
        <w:rPr>
          <w:snapToGrid w:val="0"/>
        </w:rPr>
        <w:t>.</w:t>
      </w:r>
      <w:r>
        <w:rPr>
          <w:snapToGrid w:val="0"/>
        </w:rPr>
        <w:tab/>
        <w:t>Interim valuations</w:t>
      </w:r>
      <w:bookmarkEnd w:id="51"/>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by No. 73 of 1986 s. 8; No. 17 of 1993 s. 11.]</w:t>
      </w:r>
    </w:p>
    <w:p>
      <w:pPr>
        <w:pStyle w:val="Heading5"/>
        <w:spacing w:before="180"/>
        <w:rPr>
          <w:snapToGrid w:val="0"/>
        </w:rPr>
      </w:pPr>
      <w:bookmarkStart w:id="52" w:name="_Toc440529926"/>
      <w:r>
        <w:rPr>
          <w:rStyle w:val="CharSectno"/>
        </w:rPr>
        <w:t>24</w:t>
      </w:r>
      <w:r>
        <w:rPr>
          <w:snapToGrid w:val="0"/>
        </w:rPr>
        <w:t>.</w:t>
      </w:r>
      <w:r>
        <w:rPr>
          <w:snapToGrid w:val="0"/>
        </w:rPr>
        <w:tab/>
        <w:t>Valuation may be aggregate of or portion of valuations; valuing improvements</w:t>
      </w:r>
      <w:bookmarkEnd w:id="52"/>
    </w:p>
    <w:p>
      <w:pPr>
        <w:pStyle w:val="Subsection"/>
        <w:spacing w:before="12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53" w:name="_Toc440529927"/>
      <w:r>
        <w:rPr>
          <w:rStyle w:val="CharSectno"/>
        </w:rPr>
        <w:t>25</w:t>
      </w:r>
      <w:r>
        <w:rPr>
          <w:snapToGrid w:val="0"/>
        </w:rPr>
        <w:t>.</w:t>
      </w:r>
      <w:r>
        <w:rPr>
          <w:snapToGrid w:val="0"/>
        </w:rPr>
        <w:tab/>
        <w:t>Rating or taxing authority may engage valuers to make general or interim valuations</w:t>
      </w:r>
      <w:bookmarkEnd w:id="53"/>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54" w:name="_Toc432413483"/>
      <w:bookmarkStart w:id="55" w:name="_Toc435520193"/>
      <w:bookmarkStart w:id="56" w:name="_Toc439686590"/>
      <w:bookmarkStart w:id="57" w:name="_Toc440529790"/>
      <w:bookmarkStart w:id="58" w:name="_Toc440529859"/>
      <w:bookmarkStart w:id="59" w:name="_Toc440529928"/>
      <w:r>
        <w:rPr>
          <w:rStyle w:val="CharDivNo"/>
        </w:rPr>
        <w:t>Division 2</w:t>
      </w:r>
      <w:r>
        <w:rPr>
          <w:snapToGrid w:val="0"/>
        </w:rPr>
        <w:t> — </w:t>
      </w:r>
      <w:r>
        <w:rPr>
          <w:rStyle w:val="CharDivText"/>
        </w:rPr>
        <w:t>Valuation rolls</w:t>
      </w:r>
      <w:bookmarkEnd w:id="54"/>
      <w:bookmarkEnd w:id="55"/>
      <w:bookmarkEnd w:id="56"/>
      <w:bookmarkEnd w:id="57"/>
      <w:bookmarkEnd w:id="58"/>
      <w:bookmarkEnd w:id="59"/>
    </w:p>
    <w:p>
      <w:pPr>
        <w:pStyle w:val="Heading5"/>
        <w:spacing w:before="180"/>
        <w:rPr>
          <w:snapToGrid w:val="0"/>
        </w:rPr>
      </w:pPr>
      <w:bookmarkStart w:id="60" w:name="_Toc440529929"/>
      <w:r>
        <w:rPr>
          <w:rStyle w:val="CharSectno"/>
        </w:rPr>
        <w:t>26</w:t>
      </w:r>
      <w:r>
        <w:rPr>
          <w:snapToGrid w:val="0"/>
        </w:rPr>
        <w:t>.</w:t>
      </w:r>
      <w:r>
        <w:rPr>
          <w:snapToGrid w:val="0"/>
        </w:rPr>
        <w:tab/>
        <w:t>Valuation rolls</w:t>
      </w:r>
      <w:bookmarkEnd w:id="60"/>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spacing w:before="180"/>
        <w:rPr>
          <w:snapToGrid w:val="0"/>
        </w:rPr>
      </w:pPr>
      <w:bookmarkStart w:id="61" w:name="_Toc440529930"/>
      <w:r>
        <w:rPr>
          <w:rStyle w:val="CharSectno"/>
        </w:rPr>
        <w:t>27</w:t>
      </w:r>
      <w:r>
        <w:rPr>
          <w:snapToGrid w:val="0"/>
        </w:rPr>
        <w:t>.</w:t>
      </w:r>
      <w:r>
        <w:rPr>
          <w:snapToGrid w:val="0"/>
        </w:rPr>
        <w:tab/>
        <w:t>Amendments to valuation rolls</w:t>
      </w:r>
      <w:bookmarkEnd w:id="6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62" w:name="_Toc440529931"/>
      <w:r>
        <w:rPr>
          <w:rStyle w:val="CharSectno"/>
        </w:rPr>
        <w:t>28</w:t>
      </w:r>
      <w:r>
        <w:t>.</w:t>
      </w:r>
      <w:r>
        <w:tab/>
        <w:t>Custody, inspection and availability of valuation rolls</w:t>
      </w:r>
      <w:bookmarkEnd w:id="62"/>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63" w:name="_Toc440529932"/>
      <w:r>
        <w:rPr>
          <w:rStyle w:val="CharSectno"/>
        </w:rPr>
        <w:t>29</w:t>
      </w:r>
      <w:r>
        <w:rPr>
          <w:snapToGrid w:val="0"/>
        </w:rPr>
        <w:t>.</w:t>
      </w:r>
      <w:r>
        <w:rPr>
          <w:snapToGrid w:val="0"/>
        </w:rPr>
        <w:tab/>
        <w:t>Copies of or extracts from entries in valuation rolls</w:t>
      </w:r>
      <w:bookmarkEnd w:id="63"/>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64" w:name="_Toc432413488"/>
      <w:bookmarkStart w:id="65" w:name="_Toc435520198"/>
      <w:bookmarkStart w:id="66" w:name="_Toc439686595"/>
      <w:bookmarkStart w:id="67" w:name="_Toc440529795"/>
      <w:bookmarkStart w:id="68" w:name="_Toc440529864"/>
      <w:bookmarkStart w:id="69" w:name="_Toc440529933"/>
      <w:r>
        <w:rPr>
          <w:rStyle w:val="CharDivNo"/>
        </w:rPr>
        <w:t>Division 3</w:t>
      </w:r>
      <w:r>
        <w:rPr>
          <w:snapToGrid w:val="0"/>
        </w:rPr>
        <w:t> — </w:t>
      </w:r>
      <w:r>
        <w:rPr>
          <w:rStyle w:val="CharDivText"/>
        </w:rPr>
        <w:t>Concessional and other valuations</w:t>
      </w:r>
      <w:bookmarkEnd w:id="64"/>
      <w:bookmarkEnd w:id="65"/>
      <w:bookmarkEnd w:id="66"/>
      <w:bookmarkEnd w:id="67"/>
      <w:bookmarkEnd w:id="68"/>
      <w:bookmarkEnd w:id="69"/>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70" w:name="_Toc440529934"/>
      <w:r>
        <w:rPr>
          <w:rStyle w:val="CharSectno"/>
        </w:rPr>
        <w:t>31</w:t>
      </w:r>
      <w:r>
        <w:rPr>
          <w:snapToGrid w:val="0"/>
        </w:rPr>
        <w:t>.</w:t>
      </w:r>
      <w:r>
        <w:rPr>
          <w:snapToGrid w:val="0"/>
        </w:rPr>
        <w:tab/>
        <w:t>Concessional valuations for land subject to special agreements</w:t>
      </w:r>
      <w:bookmarkEnd w:id="70"/>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71" w:name="_Toc440529935"/>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71"/>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72" w:name="_Toc440529936"/>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72"/>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73"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74" w:name="_Toc432413492"/>
      <w:bookmarkStart w:id="75" w:name="_Toc435520202"/>
      <w:bookmarkStart w:id="76" w:name="_Toc439686599"/>
      <w:bookmarkStart w:id="77" w:name="_Toc440529799"/>
      <w:bookmarkStart w:id="78" w:name="_Toc440529868"/>
      <w:bookmarkStart w:id="79" w:name="_Toc440529937"/>
      <w:r>
        <w:rPr>
          <w:rStyle w:val="CharPartNo"/>
        </w:rPr>
        <w:t>Part IV</w:t>
      </w:r>
      <w:r>
        <w:rPr>
          <w:rStyle w:val="CharDivNo"/>
        </w:rPr>
        <w:t> </w:t>
      </w:r>
      <w:r>
        <w:t>—</w:t>
      </w:r>
      <w:r>
        <w:rPr>
          <w:rStyle w:val="CharDivText"/>
        </w:rPr>
        <w:t> </w:t>
      </w:r>
      <w:r>
        <w:rPr>
          <w:rStyle w:val="CharPartText"/>
        </w:rPr>
        <w:t>Objections and review</w:t>
      </w:r>
      <w:bookmarkEnd w:id="74"/>
      <w:bookmarkEnd w:id="75"/>
      <w:bookmarkEnd w:id="76"/>
      <w:bookmarkEnd w:id="77"/>
      <w:bookmarkEnd w:id="78"/>
      <w:bookmarkEnd w:id="79"/>
    </w:p>
    <w:p>
      <w:pPr>
        <w:pStyle w:val="Footnoteheading"/>
        <w:tabs>
          <w:tab w:val="left" w:pos="851"/>
        </w:tabs>
      </w:pPr>
      <w:r>
        <w:tab/>
        <w:t>[Heading amended by No. 55 of 2004 s. 1264.]</w:t>
      </w:r>
    </w:p>
    <w:p>
      <w:pPr>
        <w:pStyle w:val="Heading5"/>
        <w:rPr>
          <w:snapToGrid w:val="0"/>
        </w:rPr>
      </w:pPr>
      <w:bookmarkStart w:id="80" w:name="_Toc440529938"/>
      <w:r>
        <w:rPr>
          <w:rStyle w:val="CharSectno"/>
        </w:rPr>
        <w:t>32</w:t>
      </w:r>
      <w:r>
        <w:rPr>
          <w:snapToGrid w:val="0"/>
        </w:rPr>
        <w:t>.</w:t>
      </w:r>
      <w:r>
        <w:rPr>
          <w:snapToGrid w:val="0"/>
        </w:rPr>
        <w:tab/>
        <w:t>Objections to valuation</w:t>
      </w:r>
      <w:bookmarkEnd w:id="80"/>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81" w:name="_Toc440529939"/>
      <w:r>
        <w:rPr>
          <w:rStyle w:val="CharSectno"/>
        </w:rPr>
        <w:t>33</w:t>
      </w:r>
      <w:r>
        <w:rPr>
          <w:snapToGrid w:val="0"/>
        </w:rPr>
        <w:t>.</w:t>
      </w:r>
      <w:r>
        <w:rPr>
          <w:snapToGrid w:val="0"/>
        </w:rPr>
        <w:tab/>
        <w:t>SAT review of valuation, after objection</w:t>
      </w:r>
      <w:bookmarkEnd w:id="81"/>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82" w:name="_Toc440529940"/>
      <w:r>
        <w:rPr>
          <w:rStyle w:val="CharSectno"/>
        </w:rPr>
        <w:t>34</w:t>
      </w:r>
      <w:r>
        <w:rPr>
          <w:snapToGrid w:val="0"/>
        </w:rPr>
        <w:t>.</w:t>
      </w:r>
      <w:r>
        <w:rPr>
          <w:snapToGrid w:val="0"/>
        </w:rPr>
        <w:tab/>
        <w:t>Valuer</w:t>
      </w:r>
      <w:r>
        <w:rPr>
          <w:snapToGrid w:val="0"/>
        </w:rPr>
        <w:noBreakHyphen/>
        <w:t>General to advise rating and taxing authorities of objections and review</w:t>
      </w:r>
      <w:bookmarkEnd w:id="8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83" w:name="_Toc440529941"/>
      <w:r>
        <w:rPr>
          <w:rStyle w:val="CharSectno"/>
        </w:rPr>
        <w:t>34A</w:t>
      </w:r>
      <w:r>
        <w:rPr>
          <w:snapToGrid w:val="0"/>
        </w:rPr>
        <w:t>.</w:t>
      </w:r>
      <w:r>
        <w:rPr>
          <w:snapToGrid w:val="0"/>
        </w:rPr>
        <w:tab/>
        <w:t>Amended valuation not to apply before year of objection</w:t>
      </w:r>
      <w:bookmarkEnd w:id="8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84" w:name="_Toc440529942"/>
      <w:r>
        <w:rPr>
          <w:rStyle w:val="CharSectno"/>
        </w:rPr>
        <w:t>35</w:t>
      </w:r>
      <w:r>
        <w:rPr>
          <w:snapToGrid w:val="0"/>
        </w:rPr>
        <w:t>.</w:t>
      </w:r>
      <w:r>
        <w:rPr>
          <w:snapToGrid w:val="0"/>
        </w:rPr>
        <w:tab/>
        <w:t>SAT review of refusal to extend time for objection or review</w:t>
      </w:r>
      <w:bookmarkEnd w:id="84"/>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85" w:name="_Toc440529943"/>
      <w:r>
        <w:rPr>
          <w:rStyle w:val="CharSectno"/>
        </w:rPr>
        <w:t>36</w:t>
      </w:r>
      <w:r>
        <w:rPr>
          <w:snapToGrid w:val="0"/>
        </w:rPr>
        <w:t>.</w:t>
      </w:r>
      <w:r>
        <w:rPr>
          <w:snapToGrid w:val="0"/>
        </w:rPr>
        <w:tab/>
        <w:t>General review by SAT of valuation</w:t>
      </w:r>
      <w:bookmarkEnd w:id="85"/>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86" w:name="_Toc440529944"/>
      <w:r>
        <w:rPr>
          <w:rStyle w:val="CharSectno"/>
        </w:rPr>
        <w:t>36A</w:t>
      </w:r>
      <w:r>
        <w:t>.</w:t>
      </w:r>
      <w:r>
        <w:tab/>
        <w:t>New matters raised on SAT review</w:t>
      </w:r>
      <w:bookmarkEnd w:id="86"/>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87" w:name="_Toc440529945"/>
      <w:r>
        <w:rPr>
          <w:rStyle w:val="CharSectno"/>
        </w:rPr>
        <w:t>36B</w:t>
      </w:r>
      <w:r>
        <w:rPr>
          <w:snapToGrid w:val="0"/>
        </w:rPr>
        <w:t>.</w:t>
      </w:r>
      <w:r>
        <w:rPr>
          <w:snapToGrid w:val="0"/>
        </w:rPr>
        <w:tab/>
        <w:t>Written reasons for certain determinations to be given and published</w:t>
      </w:r>
      <w:bookmarkEnd w:id="8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88" w:name="_Toc432413501"/>
      <w:bookmarkStart w:id="89" w:name="_Toc435520211"/>
      <w:bookmarkStart w:id="90" w:name="_Toc439686608"/>
      <w:bookmarkStart w:id="91" w:name="_Toc440529808"/>
      <w:bookmarkStart w:id="92" w:name="_Toc440529877"/>
      <w:bookmarkStart w:id="93" w:name="_Toc440529946"/>
      <w:r>
        <w:rPr>
          <w:rStyle w:val="CharPartNo"/>
        </w:rPr>
        <w:t>Part V</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p>
    <w:p>
      <w:pPr>
        <w:pStyle w:val="Heading5"/>
        <w:rPr>
          <w:snapToGrid w:val="0"/>
        </w:rPr>
      </w:pPr>
      <w:bookmarkStart w:id="94" w:name="_Toc440529947"/>
      <w:r>
        <w:rPr>
          <w:rStyle w:val="CharSectno"/>
        </w:rPr>
        <w:t>37</w:t>
      </w:r>
      <w:r>
        <w:rPr>
          <w:snapToGrid w:val="0"/>
        </w:rPr>
        <w:t>.</w:t>
      </w:r>
      <w:r>
        <w:rPr>
          <w:snapToGrid w:val="0"/>
        </w:rPr>
        <w:tab/>
        <w:t>Local governments to give Valuer-General information</w:t>
      </w:r>
      <w:bookmarkEnd w:id="94"/>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95" w:name="_Toc440529948"/>
      <w:r>
        <w:rPr>
          <w:rStyle w:val="CharSectno"/>
        </w:rPr>
        <w:t>38</w:t>
      </w:r>
      <w:r>
        <w:t>.</w:t>
      </w:r>
      <w:r>
        <w:tab/>
        <w:t>Charges for making valuations under Part III</w:t>
      </w:r>
      <w:bookmarkEnd w:id="95"/>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96" w:name="_Toc440529949"/>
      <w:r>
        <w:rPr>
          <w:rStyle w:val="CharSectno"/>
        </w:rPr>
        <w:t>39</w:t>
      </w:r>
      <w:r>
        <w:rPr>
          <w:snapToGrid w:val="0"/>
        </w:rPr>
        <w:t>.</w:t>
      </w:r>
      <w:r>
        <w:rPr>
          <w:snapToGrid w:val="0"/>
        </w:rPr>
        <w:tab/>
        <w:t>Valuer</w:t>
      </w:r>
      <w:r>
        <w:rPr>
          <w:snapToGrid w:val="0"/>
        </w:rPr>
        <w:noBreakHyphen/>
        <w:t>General may make valuations for Crown etc.</w:t>
      </w:r>
      <w:bookmarkEnd w:id="96"/>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97" w:name="_Toc440529950"/>
      <w:r>
        <w:rPr>
          <w:rStyle w:val="CharSectno"/>
        </w:rPr>
        <w:t>39A</w:t>
      </w:r>
      <w:r>
        <w:t>.</w:t>
      </w:r>
      <w:r>
        <w:tab/>
        <w:t>Authority may provide goods and services</w:t>
      </w:r>
      <w:bookmarkEnd w:id="97"/>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98" w:name="_Toc440529951"/>
      <w:r>
        <w:rPr>
          <w:rStyle w:val="CharSectno"/>
        </w:rPr>
        <w:t>40</w:t>
      </w:r>
      <w:r>
        <w:t>.</w:t>
      </w:r>
      <w:r>
        <w:tab/>
        <w:t>Money received by Valuer</w:t>
      </w:r>
      <w:r>
        <w:noBreakHyphen/>
        <w:t>General</w:t>
      </w:r>
      <w:bookmarkEnd w:id="98"/>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99" w:name="_Toc440529952"/>
      <w:r>
        <w:rPr>
          <w:rStyle w:val="CharSectno"/>
        </w:rPr>
        <w:t>41</w:t>
      </w:r>
      <w:r>
        <w:rPr>
          <w:snapToGrid w:val="0"/>
        </w:rPr>
        <w:t>.</w:t>
      </w:r>
      <w:r>
        <w:rPr>
          <w:snapToGrid w:val="0"/>
        </w:rPr>
        <w:tab/>
        <w:t>Valuation not affected by irregularity</w:t>
      </w:r>
      <w:bookmarkEnd w:id="99"/>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00" w:name="_Toc440529953"/>
      <w:r>
        <w:rPr>
          <w:rStyle w:val="CharSectno"/>
        </w:rPr>
        <w:t>42</w:t>
      </w:r>
      <w:r>
        <w:rPr>
          <w:snapToGrid w:val="0"/>
        </w:rPr>
        <w:t>.</w:t>
      </w:r>
      <w:r>
        <w:rPr>
          <w:snapToGrid w:val="0"/>
        </w:rPr>
        <w:tab/>
        <w:t>Protection from personal liability</w:t>
      </w:r>
      <w:bookmarkEnd w:id="100"/>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01" w:name="_Toc440529954"/>
      <w:r>
        <w:rPr>
          <w:rStyle w:val="CharSectno"/>
        </w:rPr>
        <w:t>43</w:t>
      </w:r>
      <w:r>
        <w:rPr>
          <w:snapToGrid w:val="0"/>
        </w:rPr>
        <w:t>.</w:t>
      </w:r>
      <w:r>
        <w:rPr>
          <w:snapToGrid w:val="0"/>
        </w:rPr>
        <w:tab/>
        <w:t>Evidentiary provisions</w:t>
      </w:r>
      <w:bookmarkEnd w:id="10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02" w:name="_Toc440529955"/>
      <w:r>
        <w:rPr>
          <w:rStyle w:val="CharSectno"/>
        </w:rPr>
        <w:t>44</w:t>
      </w:r>
      <w:r>
        <w:rPr>
          <w:snapToGrid w:val="0"/>
        </w:rPr>
        <w:t>.</w:t>
      </w:r>
      <w:r>
        <w:rPr>
          <w:snapToGrid w:val="0"/>
        </w:rPr>
        <w:tab/>
        <w:t>General penalty</w:t>
      </w:r>
      <w:bookmarkEnd w:id="102"/>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03" w:name="_Toc440529956"/>
      <w:r>
        <w:rPr>
          <w:rStyle w:val="CharSectno"/>
        </w:rPr>
        <w:t>45</w:t>
      </w:r>
      <w:r>
        <w:rPr>
          <w:snapToGrid w:val="0"/>
        </w:rPr>
        <w:t>.</w:t>
      </w:r>
      <w:r>
        <w:rPr>
          <w:snapToGrid w:val="0"/>
        </w:rPr>
        <w:tab/>
        <w:t>Offences to be dealt with summarily</w:t>
      </w:r>
      <w:bookmarkEnd w:id="103"/>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04" w:name="_Toc440529957"/>
      <w:r>
        <w:rPr>
          <w:rStyle w:val="CharSectno"/>
        </w:rPr>
        <w:t>46</w:t>
      </w:r>
      <w:r>
        <w:rPr>
          <w:snapToGrid w:val="0"/>
        </w:rPr>
        <w:t>.</w:t>
      </w:r>
      <w:r>
        <w:rPr>
          <w:snapToGrid w:val="0"/>
        </w:rPr>
        <w:tab/>
        <w:t>Time limit for prosecuting offences</w:t>
      </w:r>
      <w:bookmarkEnd w:id="104"/>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05" w:name="_Toc440529958"/>
      <w:r>
        <w:rPr>
          <w:rStyle w:val="CharSectno"/>
        </w:rPr>
        <w:t>47</w:t>
      </w:r>
      <w:r>
        <w:rPr>
          <w:snapToGrid w:val="0"/>
        </w:rPr>
        <w:t>.</w:t>
      </w:r>
      <w:r>
        <w:rPr>
          <w:snapToGrid w:val="0"/>
        </w:rPr>
        <w:tab/>
        <w:t>Institution of prosecutions</w:t>
      </w:r>
      <w:bookmarkEnd w:id="10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06" w:name="_Toc440529959"/>
      <w:r>
        <w:rPr>
          <w:rStyle w:val="CharSectno"/>
        </w:rPr>
        <w:t>48</w:t>
      </w:r>
      <w:r>
        <w:rPr>
          <w:snapToGrid w:val="0"/>
        </w:rPr>
        <w:t>.</w:t>
      </w:r>
      <w:r>
        <w:rPr>
          <w:snapToGrid w:val="0"/>
        </w:rPr>
        <w:tab/>
        <w:t>Service of notices</w:t>
      </w:r>
      <w:bookmarkEnd w:id="106"/>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07" w:name="_Toc440529960"/>
      <w:r>
        <w:rPr>
          <w:rStyle w:val="CharSectno"/>
        </w:rPr>
        <w:t>49</w:t>
      </w:r>
      <w:r>
        <w:rPr>
          <w:snapToGrid w:val="0"/>
        </w:rPr>
        <w:t>.</w:t>
      </w:r>
      <w:r>
        <w:rPr>
          <w:snapToGrid w:val="0"/>
        </w:rPr>
        <w:tab/>
        <w:t>Regulations</w:t>
      </w:r>
      <w:bookmarkEnd w:id="107"/>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Heading5"/>
      </w:pPr>
      <w:bookmarkStart w:id="108" w:name="_Toc440529961"/>
      <w:r>
        <w:rPr>
          <w:rStyle w:val="CharSectno"/>
        </w:rPr>
        <w:t>50</w:t>
      </w:r>
      <w:r>
        <w:t>.</w:t>
      </w:r>
      <w:r>
        <w:tab/>
        <w:t>Prescribed fees may exceed cost recovery</w:t>
      </w:r>
      <w:bookmarkEnd w:id="108"/>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by No. 11 of 2015 s. 12; amended by No. 12 of 2015 s. 10.]</w:t>
      </w:r>
    </w:p>
    <w:p>
      <w:pPr>
        <w:pStyle w:val="Heading5"/>
        <w:spacing w:before="180"/>
      </w:pPr>
      <w:bookmarkStart w:id="109" w:name="_Toc440529962"/>
      <w:r>
        <w:rPr>
          <w:rStyle w:val="CharSectno"/>
        </w:rPr>
        <w:t>51</w:t>
      </w:r>
      <w:r>
        <w:t>.</w:t>
      </w:r>
      <w:r>
        <w:tab/>
        <w:t>Expiry of section 50</w:t>
      </w:r>
      <w:bookmarkEnd w:id="109"/>
    </w:p>
    <w:p>
      <w:pPr>
        <w:pStyle w:val="Subsection"/>
        <w:spacing w:before="120"/>
      </w:pPr>
      <w:r>
        <w:tab/>
        <w:t>(1)</w:t>
      </w:r>
      <w:r>
        <w:tab/>
        <w:t>Section 50 expires at the end of 31 December 2019.</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by No. 11 of 2015 s. 12.]</w:t>
      </w:r>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10" w:name="_Toc432413518"/>
      <w:bookmarkStart w:id="111" w:name="_Toc435520228"/>
      <w:bookmarkStart w:id="112" w:name="_Toc439686625"/>
      <w:bookmarkStart w:id="113" w:name="_Toc440529825"/>
      <w:bookmarkStart w:id="114" w:name="_Toc440529894"/>
      <w:bookmarkStart w:id="115" w:name="_Toc440529963"/>
      <w:r>
        <w:t>Notes</w:t>
      </w:r>
      <w:bookmarkEnd w:id="110"/>
      <w:bookmarkEnd w:id="111"/>
      <w:bookmarkEnd w:id="112"/>
      <w:bookmarkEnd w:id="113"/>
      <w:bookmarkEnd w:id="114"/>
      <w:bookmarkEnd w:id="115"/>
    </w:p>
    <w:p>
      <w:pPr>
        <w:pStyle w:val="nSubsection"/>
      </w:pPr>
      <w:r>
        <w:rPr>
          <w:vertAlign w:val="superscript"/>
        </w:rPr>
        <w:t>1</w:t>
      </w:r>
      <w:r>
        <w:tab/>
        <w:t xml:space="preserve">This reprint is a compilation as at 8 January 2016 of the </w:t>
      </w:r>
      <w:r>
        <w:rPr>
          <w:i/>
        </w:rPr>
        <w:t>Valuation of Land Act 1978</w:t>
      </w:r>
      <w:r>
        <w:t xml:space="preserve"> and includes the amendments made by the other written laws referred to in the following table.  The table also contains information about any reprint.</w:t>
      </w:r>
    </w:p>
    <w:p>
      <w:pPr>
        <w:pStyle w:val="nHeading3"/>
        <w:rPr>
          <w:snapToGrid w:val="0"/>
        </w:rPr>
      </w:pPr>
      <w:bookmarkStart w:id="116" w:name="_Toc440529964"/>
      <w: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single" w:sz="8" w:space="0" w:color="auto"/>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is a transitional provision that is of no further effect.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is a transitional provision that is likely to be of no further effect.</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18" w:name="_Toc432413520"/>
      <w:bookmarkStart w:id="119" w:name="_Toc435520230"/>
      <w:bookmarkStart w:id="120" w:name="_Toc439686627"/>
      <w:bookmarkStart w:id="121" w:name="_Toc440529827"/>
      <w:bookmarkStart w:id="122" w:name="_Toc440529896"/>
      <w:bookmarkStart w:id="123" w:name="_Toc440529965"/>
      <w:r>
        <w:rPr>
          <w:sz w:val="28"/>
        </w:rPr>
        <w:t>Defined terms</w:t>
      </w:r>
      <w:bookmarkEnd w:id="118"/>
      <w:bookmarkEnd w:id="119"/>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5(1)(b)</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C04579E"/>
    <w:multiLevelType w:val="multilevel"/>
    <w:tmpl w:val="269A41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9090835"/>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13616</Words>
  <Characters>63587</Characters>
  <Application>Microsoft Office Word</Application>
  <DocSecurity>0</DocSecurity>
  <Lines>1816</Lines>
  <Paragraphs>941</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1978 - 07-a0-01</dc:title>
  <dc:subject/>
  <dc:creator/>
  <cp:keywords/>
  <dc:description/>
  <cp:lastModifiedBy>svcMRProcess</cp:lastModifiedBy>
  <cp:revision>4</cp:revision>
  <cp:lastPrinted>2016-01-04T08:04:00Z</cp:lastPrinted>
  <dcterms:created xsi:type="dcterms:W3CDTF">2018-09-09T09:05:00Z</dcterms:created>
  <dcterms:modified xsi:type="dcterms:W3CDTF">2018-09-09T09:05:00Z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08 Jan 2016</vt:lpwstr>
  </property>
  <property fmtid="{D5CDD505-2E9C-101B-9397-08002B2CF9AE}" pid="8" name="Suffix">
    <vt:lpwstr>07-a0-01</vt:lpwstr>
  </property>
  <property fmtid="{D5CDD505-2E9C-101B-9397-08002B2CF9AE}" pid="9" name="CommencementDate">
    <vt:lpwstr>20160108</vt:lpwstr>
  </property>
</Properties>
</file>