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_Toc121125105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_Toc121125106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z w:val="24"/>
          <w:szCs w:val="24"/>
        </w:rPr>
        <w:tab/>
      </w:r>
      <w:r>
        <w:rPr>
          <w:noProof/>
          <w:szCs w:val="24"/>
        </w:rPr>
        <w:t>Terms used in these regulations</w:t>
      </w:r>
      <w:r>
        <w:rPr>
          <w:noProof/>
        </w:rPr>
        <w:tab/>
      </w:r>
      <w:r>
        <w:rPr>
          <w:noProof/>
        </w:rPr>
        <w:fldChar w:fldCharType="begin"/>
      </w:r>
      <w:r>
        <w:rPr>
          <w:noProof/>
        </w:rPr>
        <w:instrText xml:space="preserve"> PAGEREF _Toc121125107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Fares and charges</w:t>
      </w:r>
      <w:r>
        <w:rPr>
          <w:noProof/>
        </w:rPr>
        <w:tab/>
      </w:r>
      <w:r>
        <w:rPr>
          <w:noProof/>
        </w:rPr>
        <w:fldChar w:fldCharType="begin"/>
      </w:r>
      <w:r>
        <w:rPr>
          <w:noProof/>
        </w:rPr>
        <w:instrText xml:space="preserve"> PAGEREF _Toc121125108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Evasion of fares and charges</w:t>
      </w:r>
      <w:r>
        <w:rPr>
          <w:noProof/>
        </w:rPr>
        <w:tab/>
      </w:r>
      <w:r>
        <w:rPr>
          <w:noProof/>
        </w:rPr>
        <w:fldChar w:fldCharType="begin"/>
      </w:r>
      <w:r>
        <w:rPr>
          <w:noProof/>
        </w:rPr>
        <w:instrText xml:space="preserve"> PAGEREF _Toc121125109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Separate fares</w:t>
      </w:r>
      <w:r>
        <w:rPr>
          <w:noProof/>
        </w:rPr>
        <w:tab/>
      </w:r>
      <w:r>
        <w:rPr>
          <w:noProof/>
        </w:rPr>
        <w:fldChar w:fldCharType="begin"/>
      </w:r>
      <w:r>
        <w:rPr>
          <w:noProof/>
        </w:rPr>
        <w:instrText xml:space="preserve"> PAGEREF _Toc121125110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Fare schedule card</w:t>
      </w:r>
      <w:r>
        <w:rPr>
          <w:noProof/>
        </w:rPr>
        <w:tab/>
      </w:r>
      <w:r>
        <w:rPr>
          <w:noProof/>
        </w:rPr>
        <w:fldChar w:fldCharType="begin"/>
      </w:r>
      <w:r>
        <w:rPr>
          <w:noProof/>
        </w:rPr>
        <w:instrText xml:space="preserve"> PAGEREF _Toc121125111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_Toc121125112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_Toc121125113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1 — Fees and Charges</w:t>
      </w:r>
      <w:r>
        <w:rPr>
          <w:noProof/>
        </w:rPr>
        <w:tab/>
      </w:r>
      <w:r>
        <w:rPr>
          <w:noProof/>
        </w:rPr>
        <w:fldChar w:fldCharType="begin"/>
      </w:r>
      <w:r>
        <w:rPr>
          <w:noProof/>
        </w:rPr>
        <w:instrText xml:space="preserve"> PAGEREF _Toc121125114 \h </w:instrText>
      </w:r>
      <w:r>
        <w:rPr>
          <w:noProof/>
        </w:rPr>
      </w:r>
      <w:r>
        <w:rPr>
          <w:noProof/>
        </w:rPr>
        <w:fldChar w:fldCharType="separate"/>
      </w:r>
      <w:r>
        <w:rPr>
          <w:noProof/>
        </w:rPr>
        <w:t>5</w:t>
      </w:r>
      <w:r>
        <w:rPr>
          <w:noProof/>
        </w:rPr>
        <w:fldChar w:fldCharType="end"/>
      </w:r>
    </w:p>
    <w:p>
      <w:pPr>
        <w:pStyle w:val="TOC7"/>
        <w:rPr>
          <w:noProof/>
          <w:sz w:val="24"/>
          <w:szCs w:val="24"/>
        </w:rPr>
      </w:pPr>
      <w:r>
        <w:rPr>
          <w:noProof/>
          <w:szCs w:val="28"/>
        </w:rPr>
        <w:t>Part 1 — Goldfields Region</w:t>
      </w:r>
      <w:r>
        <w:rPr>
          <w:noProof/>
        </w:rPr>
        <w:tab/>
      </w:r>
      <w:r>
        <w:rPr>
          <w:noProof/>
        </w:rPr>
        <w:fldChar w:fldCharType="begin"/>
      </w:r>
      <w:r>
        <w:rPr>
          <w:noProof/>
        </w:rPr>
        <w:instrText xml:space="preserve"> PAGEREF _Toc121125115 \h </w:instrText>
      </w:r>
      <w:r>
        <w:rPr>
          <w:noProof/>
        </w:rPr>
      </w:r>
      <w:r>
        <w:rPr>
          <w:noProof/>
        </w:rPr>
        <w:fldChar w:fldCharType="separate"/>
      </w:r>
      <w:r>
        <w:rPr>
          <w:noProof/>
        </w:rPr>
        <w:t>5</w:t>
      </w:r>
      <w:r>
        <w:rPr>
          <w:noProof/>
        </w:rPr>
        <w:fldChar w:fldCharType="end"/>
      </w:r>
    </w:p>
    <w:p>
      <w:pPr>
        <w:pStyle w:val="TOC7"/>
        <w:rPr>
          <w:noProof/>
          <w:sz w:val="24"/>
          <w:szCs w:val="24"/>
        </w:rPr>
      </w:pPr>
      <w:r>
        <w:rPr>
          <w:noProof/>
          <w:szCs w:val="28"/>
        </w:rPr>
        <w:t>Part 2 — Kalbarri Region</w:t>
      </w:r>
      <w:r>
        <w:rPr>
          <w:noProof/>
        </w:rPr>
        <w:tab/>
      </w:r>
      <w:r>
        <w:rPr>
          <w:noProof/>
        </w:rPr>
        <w:fldChar w:fldCharType="begin"/>
      </w:r>
      <w:r>
        <w:rPr>
          <w:noProof/>
        </w:rPr>
        <w:instrText xml:space="preserve"> PAGEREF _Toc121125116 \h </w:instrText>
      </w:r>
      <w:r>
        <w:rPr>
          <w:noProof/>
        </w:rPr>
      </w:r>
      <w:r>
        <w:rPr>
          <w:noProof/>
        </w:rPr>
        <w:fldChar w:fldCharType="separate"/>
      </w:r>
      <w:r>
        <w:rPr>
          <w:noProof/>
        </w:rPr>
        <w:t>6</w:t>
      </w:r>
      <w:r>
        <w:rPr>
          <w:noProof/>
        </w:rPr>
        <w:fldChar w:fldCharType="end"/>
      </w:r>
    </w:p>
    <w:p>
      <w:pPr>
        <w:pStyle w:val="TOC7"/>
        <w:rPr>
          <w:noProof/>
          <w:sz w:val="24"/>
          <w:szCs w:val="24"/>
        </w:rPr>
      </w:pPr>
      <w:r>
        <w:rPr>
          <w:noProof/>
          <w:szCs w:val="28"/>
        </w:rPr>
        <w:t>Part 3 — Kimberley Region</w:t>
      </w:r>
      <w:r>
        <w:rPr>
          <w:noProof/>
        </w:rPr>
        <w:tab/>
      </w:r>
      <w:r>
        <w:rPr>
          <w:noProof/>
        </w:rPr>
        <w:fldChar w:fldCharType="begin"/>
      </w:r>
      <w:r>
        <w:rPr>
          <w:noProof/>
        </w:rPr>
        <w:instrText xml:space="preserve"> PAGEREF _Toc121125117 \h </w:instrText>
      </w:r>
      <w:r>
        <w:rPr>
          <w:noProof/>
        </w:rPr>
      </w:r>
      <w:r>
        <w:rPr>
          <w:noProof/>
        </w:rPr>
        <w:fldChar w:fldCharType="separate"/>
      </w:r>
      <w:r>
        <w:rPr>
          <w:noProof/>
        </w:rPr>
        <w:t>8</w:t>
      </w:r>
      <w:r>
        <w:rPr>
          <w:noProof/>
        </w:rPr>
        <w:fldChar w:fldCharType="end"/>
      </w:r>
    </w:p>
    <w:p>
      <w:pPr>
        <w:pStyle w:val="TOC7"/>
        <w:rPr>
          <w:noProof/>
          <w:sz w:val="24"/>
          <w:szCs w:val="24"/>
        </w:rPr>
      </w:pPr>
      <w:r>
        <w:rPr>
          <w:noProof/>
          <w:szCs w:val="28"/>
        </w:rPr>
        <w:t>Part 4 — Mid West Region</w:t>
      </w:r>
      <w:r>
        <w:rPr>
          <w:noProof/>
        </w:rPr>
        <w:tab/>
      </w:r>
      <w:r>
        <w:rPr>
          <w:noProof/>
        </w:rPr>
        <w:fldChar w:fldCharType="begin"/>
      </w:r>
      <w:r>
        <w:rPr>
          <w:noProof/>
        </w:rPr>
        <w:instrText xml:space="preserve"> PAGEREF _Toc121125118 \h </w:instrText>
      </w:r>
      <w:r>
        <w:rPr>
          <w:noProof/>
        </w:rPr>
      </w:r>
      <w:r>
        <w:rPr>
          <w:noProof/>
        </w:rPr>
        <w:fldChar w:fldCharType="separate"/>
      </w:r>
      <w:r>
        <w:rPr>
          <w:noProof/>
        </w:rPr>
        <w:t>9</w:t>
      </w:r>
      <w:r>
        <w:rPr>
          <w:noProof/>
        </w:rPr>
        <w:fldChar w:fldCharType="end"/>
      </w:r>
    </w:p>
    <w:p>
      <w:pPr>
        <w:pStyle w:val="TOC7"/>
        <w:rPr>
          <w:noProof/>
          <w:sz w:val="24"/>
          <w:szCs w:val="24"/>
        </w:rPr>
      </w:pPr>
      <w:r>
        <w:rPr>
          <w:noProof/>
          <w:szCs w:val="28"/>
        </w:rPr>
        <w:t>Part 5 — Pilbara Region</w:t>
      </w:r>
      <w:r>
        <w:rPr>
          <w:noProof/>
        </w:rPr>
        <w:tab/>
      </w:r>
      <w:r>
        <w:rPr>
          <w:noProof/>
        </w:rPr>
        <w:fldChar w:fldCharType="begin"/>
      </w:r>
      <w:r>
        <w:rPr>
          <w:noProof/>
        </w:rPr>
        <w:instrText xml:space="preserve"> PAGEREF _Toc121125119 \h </w:instrText>
      </w:r>
      <w:r>
        <w:rPr>
          <w:noProof/>
        </w:rPr>
      </w:r>
      <w:r>
        <w:rPr>
          <w:noProof/>
        </w:rPr>
        <w:fldChar w:fldCharType="separate"/>
      </w:r>
      <w:r>
        <w:rPr>
          <w:noProof/>
        </w:rPr>
        <w:t>11</w:t>
      </w:r>
      <w:r>
        <w:rPr>
          <w:noProof/>
        </w:rPr>
        <w:fldChar w:fldCharType="end"/>
      </w:r>
    </w:p>
    <w:p>
      <w:pPr>
        <w:pStyle w:val="TOC7"/>
        <w:rPr>
          <w:noProof/>
          <w:sz w:val="24"/>
          <w:szCs w:val="24"/>
        </w:rPr>
      </w:pPr>
      <w:r>
        <w:rPr>
          <w:noProof/>
          <w:szCs w:val="28"/>
        </w:rPr>
        <w:t>Part 6 — South West Region</w:t>
      </w:r>
      <w:r>
        <w:rPr>
          <w:noProof/>
        </w:rPr>
        <w:tab/>
      </w:r>
      <w:r>
        <w:rPr>
          <w:noProof/>
        </w:rPr>
        <w:fldChar w:fldCharType="begin"/>
      </w:r>
      <w:r>
        <w:rPr>
          <w:noProof/>
        </w:rPr>
        <w:instrText xml:space="preserve"> PAGEREF _Toc121125120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_Toc121125122 \h </w:instrText>
      </w:r>
      <w:r>
        <w:rPr>
          <w:noProof/>
        </w:rPr>
      </w:r>
      <w:r>
        <w:rPr>
          <w:noProof/>
        </w:rPr>
        <w:fldChar w:fldCharType="separate"/>
      </w:r>
      <w:r>
        <w:rPr>
          <w:noProof/>
        </w:rPr>
        <w:t>17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Transport Co</w:t>
      </w:r>
      <w:r>
        <w:rPr>
          <w:snapToGrid w:val="0"/>
        </w:rPr>
        <w:noBreakHyphen/>
      </w:r>
      <w:r>
        <w:rPr>
          <w:snapToGrid w:val="0"/>
        </w:rPr>
        <w:soft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6" w:name="_Toc478882650"/>
      <w:bookmarkStart w:id="7" w:name="_Toc480602758"/>
      <w:bookmarkStart w:id="8" w:name="_Toc28498281"/>
      <w:bookmarkStart w:id="9" w:name="_Toc28498417"/>
      <w:bookmarkStart w:id="10" w:name="_Toc12112510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1" w:name="_Toc121125107"/>
      <w:bookmarkStart w:id="12" w:name="_Toc478882651"/>
      <w:bookmarkStart w:id="13" w:name="_Toc480602759"/>
      <w:bookmarkStart w:id="14" w:name="_Toc28498282"/>
      <w:bookmarkStart w:id="15" w:name="_Toc28498418"/>
      <w:r>
        <w:rPr>
          <w:rStyle w:val="CharSectno"/>
        </w:rPr>
        <w:t>2A</w:t>
      </w:r>
      <w:r>
        <w:t>.</w:t>
      </w:r>
      <w:r>
        <w:tab/>
        <w:t>Terms used in these regulations</w:t>
      </w:r>
      <w:bookmarkEnd w:id="11"/>
    </w:p>
    <w:p>
      <w:pPr>
        <w:pStyle w:val="Subsection"/>
      </w:pPr>
      <w:r>
        <w:tab/>
      </w:r>
      <w:r>
        <w:tab/>
        <w:t xml:space="preserve">In these regulations, unless the contrary intention appears — </w:t>
      </w:r>
    </w:p>
    <w:p>
      <w:pPr>
        <w:pStyle w:val="Defstart"/>
      </w:pPr>
      <w:r>
        <w:rPr>
          <w:b/>
        </w:rPr>
        <w:tab/>
        <w:t>“</w:t>
      </w:r>
      <w:r>
        <w:rPr>
          <w:rStyle w:val="CharDefText"/>
        </w:rPr>
        <w:t>business entity</w:t>
      </w:r>
      <w:r>
        <w:rPr>
          <w:b/>
        </w:rPr>
        <w:t>”</w:t>
      </w:r>
      <w:r>
        <w:t xml:space="preserve"> includes an individual, body corporate, trust or partnership, who or that carries on business;</w:t>
      </w:r>
    </w:p>
    <w:p>
      <w:pPr>
        <w:pStyle w:val="Defstart"/>
      </w:pPr>
      <w:r>
        <w:rPr>
          <w:b/>
        </w:rPr>
        <w:tab/>
        <w:t>“</w:t>
      </w:r>
      <w:r>
        <w:rPr>
          <w:rStyle w:val="CharDefText"/>
        </w:rPr>
        <w:t>call out</w:t>
      </w:r>
      <w:r>
        <w:rPr>
          <w:b/>
        </w:rPr>
        <w: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5793-4.]</w:t>
      </w:r>
    </w:p>
    <w:p>
      <w:pPr>
        <w:pStyle w:val="Heading5"/>
        <w:rPr>
          <w:snapToGrid w:val="0"/>
        </w:rPr>
      </w:pPr>
      <w:bookmarkStart w:id="16" w:name="_Toc121125108"/>
      <w:r>
        <w:rPr>
          <w:rStyle w:val="CharSectno"/>
        </w:rPr>
        <w:t>3</w:t>
      </w:r>
      <w:r>
        <w:rPr>
          <w:snapToGrid w:val="0"/>
        </w:rPr>
        <w:t>.</w:t>
      </w:r>
      <w:r>
        <w:rPr>
          <w:snapToGrid w:val="0"/>
        </w:rPr>
        <w:tab/>
        <w:t>Fares and charges</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car is hired in a portion of the State specified in the Schedule the fares and charges to be taken or made for the hire of the taxi</w:t>
      </w:r>
      <w:r>
        <w:rPr>
          <w:snapToGrid w:val="0"/>
        </w:rPr>
        <w:noBreakHyphen/>
        <w:t>car shall be those set out in the Schedule in respect of that portion of the State and no greater or lesser fare or charge shall be taken or made unless special fares or charges, or both, are approved for particular local conditions or unless contract rates are approved by the Director General.</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 the Schedule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b/>
          <w:snapToGrid w:val="0"/>
        </w:rPr>
        <w:t>“</w:t>
      </w:r>
      <w:r>
        <w:rPr>
          <w:rStyle w:val="CharDefText"/>
        </w:rPr>
        <w:t>a 30 km radius</w:t>
      </w:r>
      <w:r>
        <w:rPr>
          <w:b/>
          <w:snapToGrid w:val="0"/>
        </w:rPr>
        <w:t>”</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Heading5"/>
        <w:rPr>
          <w:snapToGrid w:val="0"/>
        </w:rPr>
      </w:pPr>
      <w:bookmarkStart w:id="17" w:name="_Toc478882652"/>
      <w:bookmarkStart w:id="18" w:name="_Toc480602760"/>
      <w:bookmarkStart w:id="19" w:name="_Toc28498283"/>
      <w:bookmarkStart w:id="20" w:name="_Toc28498419"/>
      <w:bookmarkStart w:id="21" w:name="_Toc121125109"/>
      <w:r>
        <w:rPr>
          <w:rStyle w:val="CharSectno"/>
        </w:rPr>
        <w:t>4</w:t>
      </w:r>
      <w:r>
        <w:rPr>
          <w:snapToGrid w:val="0"/>
        </w:rPr>
        <w:t>.</w:t>
      </w:r>
      <w:r>
        <w:rPr>
          <w:snapToGrid w:val="0"/>
        </w:rPr>
        <w:tab/>
        <w:t>Evasion of fares and charges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22" w:name="_Toc478882653"/>
      <w:bookmarkStart w:id="23" w:name="_Toc480602761"/>
      <w:bookmarkStart w:id="24" w:name="_Toc28498284"/>
      <w:bookmarkStart w:id="25" w:name="_Toc28498420"/>
      <w:r>
        <w:tab/>
        <w:t>[Regulation 4 amended in Gazette 24 December 2002 p. 6605.]</w:t>
      </w:r>
    </w:p>
    <w:p>
      <w:pPr>
        <w:pStyle w:val="Heading5"/>
        <w:rPr>
          <w:snapToGrid w:val="0"/>
        </w:rPr>
      </w:pPr>
      <w:bookmarkStart w:id="26" w:name="_Toc121125110"/>
      <w:r>
        <w:rPr>
          <w:rStyle w:val="CharSectno"/>
        </w:rPr>
        <w:t>5</w:t>
      </w:r>
      <w:r>
        <w:rPr>
          <w:snapToGrid w:val="0"/>
        </w:rPr>
        <w:t>.</w:t>
      </w:r>
      <w:r>
        <w:rPr>
          <w:snapToGrid w:val="0"/>
        </w:rPr>
        <w:tab/>
        <w:t>Separate fares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27" w:name="_Toc478882654"/>
      <w:bookmarkStart w:id="28" w:name="_Toc480602762"/>
      <w:bookmarkStart w:id="29" w:name="_Toc28498285"/>
      <w:bookmarkStart w:id="30" w:name="_Toc28498421"/>
      <w:bookmarkStart w:id="31" w:name="_Toc121125111"/>
      <w:r>
        <w:rPr>
          <w:rStyle w:val="CharSectno"/>
        </w:rPr>
        <w:t>6</w:t>
      </w:r>
      <w:r>
        <w:rPr>
          <w:snapToGrid w:val="0"/>
        </w:rPr>
        <w:t>.</w:t>
      </w:r>
      <w:r>
        <w:rPr>
          <w:snapToGrid w:val="0"/>
        </w:rPr>
        <w:tab/>
        <w:t>Fare schedule card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32" w:name="_Toc478882655"/>
      <w:bookmarkStart w:id="33" w:name="_Toc480602763"/>
      <w:bookmarkStart w:id="34" w:name="_Toc28498286"/>
      <w:bookmarkStart w:id="35" w:name="_Toc28498422"/>
      <w:bookmarkStart w:id="36" w:name="_Toc121125112"/>
      <w:r>
        <w:rPr>
          <w:rStyle w:val="CharSectno"/>
        </w:rPr>
        <w:t>7</w:t>
      </w:r>
      <w:r>
        <w:rPr>
          <w:snapToGrid w:val="0"/>
        </w:rPr>
        <w:t>.</w:t>
      </w:r>
      <w:r>
        <w:rPr>
          <w:snapToGrid w:val="0"/>
        </w:rPr>
        <w:tab/>
        <w:t>Offences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rPr>
          <w:snapToGrid w:val="0"/>
        </w:rPr>
      </w:pPr>
      <w:bookmarkStart w:id="37" w:name="_Toc478882656"/>
      <w:bookmarkStart w:id="38" w:name="_Toc480602764"/>
      <w:bookmarkStart w:id="39" w:name="_Toc28498287"/>
      <w:bookmarkStart w:id="40" w:name="_Toc28498423"/>
      <w:bookmarkStart w:id="41" w:name="_Toc121125113"/>
      <w:r>
        <w:rPr>
          <w:rStyle w:val="CharSectno"/>
        </w:rPr>
        <w:t>8</w:t>
      </w:r>
      <w:r>
        <w:rPr>
          <w:snapToGrid w:val="0"/>
        </w:rPr>
        <w:t>.</w:t>
      </w:r>
      <w:r>
        <w:rPr>
          <w:snapToGrid w:val="0"/>
        </w:rPr>
        <w:tab/>
        <w:t>Repeal</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Part VI of the </w:t>
      </w:r>
      <w:r>
        <w:rPr>
          <w:i/>
          <w:snapToGrid w:val="0"/>
        </w:rPr>
        <w:t>Transport (Country Taxi</w:t>
      </w:r>
      <w:r>
        <w:rPr>
          <w:i/>
          <w:snapToGrid w:val="0"/>
        </w:rPr>
        <w:noBreakHyphen/>
        <w:t>car) Regulations 1982</w:t>
      </w:r>
      <w:r>
        <w:rPr>
          <w:snapToGrid w:val="0"/>
        </w:rPr>
        <w:t xml:space="preserve"> is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 w:name="_Toc28498424"/>
      <w:bookmarkStart w:id="43" w:name="_Toc121125114"/>
      <w:r>
        <w:rPr>
          <w:rStyle w:val="CharSchNo"/>
        </w:rPr>
        <w:t>Schedule 1</w:t>
      </w:r>
      <w:r>
        <w:t> — </w:t>
      </w:r>
      <w:r>
        <w:rPr>
          <w:rStyle w:val="CharSchText"/>
        </w:rPr>
        <w:t>Fees and Charges</w:t>
      </w:r>
      <w:bookmarkEnd w:id="42"/>
      <w:bookmarkEnd w:id="43"/>
    </w:p>
    <w:p>
      <w:pPr>
        <w:pStyle w:val="yShoulderClause"/>
      </w:pPr>
      <w:r>
        <w:t>[r. 3]</w:t>
      </w:r>
    </w:p>
    <w:p>
      <w:pPr>
        <w:pStyle w:val="yHeading2"/>
        <w:spacing w:before="120"/>
      </w:pPr>
      <w:bookmarkStart w:id="44" w:name="_Toc28498425"/>
      <w:bookmarkStart w:id="45" w:name="_Toc121125115"/>
      <w:r>
        <w:t>Part 1 — Goldfields Region</w:t>
      </w:r>
      <w:bookmarkEnd w:id="44"/>
      <w:bookmarkEnd w:id="45"/>
      <w:r>
        <w:t xml:space="preserve"> </w:t>
      </w:r>
    </w:p>
    <w:p>
      <w:pPr>
        <w:pStyle w:val="yHeading5"/>
        <w:outlineLvl w:val="9"/>
      </w:pPr>
      <w:r>
        <w:tab/>
        <w:t xml:space="preserve">Brief Description </w:t>
      </w:r>
    </w:p>
    <w:p>
      <w:pPr>
        <w:pStyle w:val="ySubsection"/>
      </w:pPr>
      <w:r>
        <w:tab/>
      </w:r>
      <w:r>
        <w:tab/>
        <w:t>Includes all towns south of the Mid West region’s southern border, other than the Metropolitan area and the South West region. The western border abuts the eastern edge of the Metropolitan taxi area, then curves east above Narrogin towards Norseman, and then turns south to midway between Albany and Esperance (</w:t>
      </w:r>
      <w:r>
        <w:rPr>
          <w:i/>
        </w:rPr>
        <w:t>see map</w:t>
      </w:r>
      <w:r>
        <w:t>).</w:t>
      </w:r>
    </w:p>
    <w:p>
      <w:pPr>
        <w:pStyle w:val="yHeading5"/>
        <w:outlineLvl w:val="9"/>
      </w:pPr>
      <w:r>
        <w:tab/>
        <w:t xml:space="preserve">Major towns </w:t>
      </w:r>
    </w:p>
    <w:p>
      <w:pPr>
        <w:pStyle w:val="ySubsection"/>
      </w:pPr>
      <w:r>
        <w:tab/>
      </w:r>
      <w:r>
        <w:tab/>
        <w:t xml:space="preserve">These major towns and cities are specified for the purposes of regulation 3(1) as being within the Goldfields Region </w:t>
      </w:r>
    </w:p>
    <w:p>
      <w:pPr>
        <w:pStyle w:val="ySubsection"/>
      </w:pPr>
      <w:r>
        <w:tab/>
      </w:r>
      <w:r>
        <w:sym w:font="Symbol" w:char="F0B7"/>
      </w:r>
      <w:r>
        <w:tab/>
        <w:t>Kambalda — (Shire of Coolgardie)</w:t>
      </w:r>
    </w:p>
    <w:p>
      <w:pPr>
        <w:pStyle w:val="ySubsection"/>
      </w:pPr>
      <w:r>
        <w:tab/>
      </w:r>
      <w:r>
        <w:sym w:font="Symbol" w:char="F0B7"/>
      </w:r>
      <w:r>
        <w:tab/>
        <w:t>Esperance — (Shire of Esperance)</w:t>
      </w:r>
    </w:p>
    <w:p>
      <w:pPr>
        <w:pStyle w:val="ySubsection"/>
      </w:pPr>
      <w:r>
        <w:tab/>
      </w:r>
      <w:r>
        <w:sym w:font="Symbol" w:char="F0B7"/>
      </w:r>
      <w:r>
        <w:tab/>
        <w:t>Kalgoorlie &amp; Boulder — (City of Kalgoorlie/Boulder)</w:t>
      </w:r>
    </w:p>
    <w:p>
      <w:pPr>
        <w:pStyle w:val="ySubsection"/>
      </w:pPr>
      <w:r>
        <w:tab/>
      </w:r>
      <w:r>
        <w:sym w:font="Symbol" w:char="F0B7"/>
      </w:r>
      <w:r>
        <w:tab/>
        <w:t>Leonora — (Shire of Leonora)</w:t>
      </w:r>
    </w:p>
    <w:p>
      <w:pPr>
        <w:pStyle w:val="ySubsection"/>
      </w:pPr>
      <w:r>
        <w:tab/>
      </w:r>
      <w:r>
        <w:sym w:font="Symbol" w:char="F0B7"/>
      </w:r>
      <w:r>
        <w:tab/>
        <w:t>Merredin — (Shire Merredin)</w:t>
      </w:r>
    </w:p>
    <w:p>
      <w:pPr>
        <w:pStyle w:val="ySubsection"/>
      </w:pPr>
      <w:r>
        <w:tab/>
      </w:r>
      <w:r>
        <w:sym w:font="Symbol" w:char="F0B7"/>
      </w:r>
      <w:r>
        <w:tab/>
        <w:t>Northam — (Town of Northam &amp; Shire of Northam)</w:t>
      </w:r>
    </w:p>
    <w:p>
      <w:pPr>
        <w:pStyle w:val="ySubsection"/>
      </w:pPr>
      <w:r>
        <w:tab/>
      </w:r>
      <w:r>
        <w:sym w:font="Symbol" w:char="F0B7"/>
      </w:r>
      <w:r>
        <w:tab/>
        <w:t>Southern Cross — (Shire of Yilgarn)</w:t>
      </w:r>
    </w:p>
    <w:p>
      <w:pPr>
        <w:pStyle w:val="ySubsection"/>
      </w:pPr>
      <w:r>
        <w:tab/>
      </w:r>
      <w:r>
        <w:sym w:font="Symbol" w:char="F0B7"/>
      </w:r>
      <w:r>
        <w:tab/>
        <w:t>York — (Shire of York)</w:t>
      </w:r>
    </w:p>
    <w:p>
      <w:pPr>
        <w:pStyle w:val="yMiscellaneousHeading"/>
        <w:rPr>
          <w:b/>
          <w:bCs/>
        </w:rPr>
      </w:pPr>
      <w:bookmarkStart w:id="46" w:name="_Toc28498426"/>
      <w:r>
        <w:rPr>
          <w:b/>
          <w:bCs/>
        </w:rPr>
        <w:tab/>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$1.32/km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$1.91/km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pPr>
          </w:p>
        </w:tc>
        <w:tc>
          <w:tcPr>
            <w:tcW w:w="2552" w:type="dxa"/>
            <w:tcBorders>
              <w:top w:val="single" w:sz="4" w:space="0" w:color="auto"/>
              <w:left w:val="nil"/>
              <w:bottom w:val="single" w:sz="4" w:space="0" w:color="auto"/>
            </w:tcBorders>
          </w:tcPr>
          <w:p>
            <w:pPr>
              <w:pStyle w:val="yTable"/>
              <w:rPr>
                <w:kern w:val="22"/>
              </w:rPr>
            </w:pPr>
            <w:r>
              <w:rPr>
                <w:b/>
                <w:bCs/>
              </w:rPr>
              <w:t>Distance rate</w:t>
            </w:r>
            <w:r>
              <w:rPr>
                <w:b/>
                <w:bCs/>
              </w:rPr>
              <w:br/>
            </w:r>
            <w:r>
              <w:rPr>
                <w:bCs/>
                <w:kern w:val="22"/>
              </w:rP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$0.84/km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$1.26/km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r>
              <w:br/>
              <w:t>$4.30</w:t>
            </w:r>
          </w:p>
        </w:tc>
      </w:tr>
    </w:tbl>
    <w:p>
      <w:pPr>
        <w:pStyle w:val="yFootnotesection"/>
      </w:pPr>
      <w:r>
        <w:tab/>
        <w:t>[Part 1 amended in Gazette 24 Dec 2003 p. 5267-8; 10 Dec 2004 p. 5912; 21 Jan 2005 p. 271; 1 Dec 2005 p. 5794-5.]</w:t>
      </w:r>
    </w:p>
    <w:p>
      <w:pPr>
        <w:pStyle w:val="yHeading2"/>
        <w:spacing w:before="120"/>
      </w:pPr>
      <w:bookmarkStart w:id="47" w:name="_Toc121125116"/>
      <w:r>
        <w:t>Part 2 — Kalbarri Region</w:t>
      </w:r>
      <w:bookmarkEnd w:id="46"/>
      <w:bookmarkEnd w:id="47"/>
      <w:r>
        <w:t xml:space="preserve"> </w:t>
      </w:r>
    </w:p>
    <w:p>
      <w:pPr>
        <w:pStyle w:val="yHeading5"/>
        <w:outlineLvl w:val="9"/>
      </w:pPr>
      <w:r>
        <w:tab/>
        <w:t xml:space="preserve">Brief description </w:t>
      </w:r>
    </w:p>
    <w:p>
      <w:pPr>
        <w:pStyle w:val="ySubsection"/>
      </w:pPr>
      <w:r>
        <w:tab/>
      </w:r>
      <w:r>
        <w:tab/>
        <w:t>The town of Kalbarri and its immediate environs (see map).</w:t>
      </w:r>
    </w:p>
    <w:p>
      <w:pPr>
        <w:pStyle w:val="yHeading5"/>
        <w:outlineLvl w:val="9"/>
      </w:pPr>
      <w:r>
        <w:tab/>
        <w:t xml:space="preserve">Town </w:t>
      </w:r>
    </w:p>
    <w:p>
      <w:pPr>
        <w:pStyle w:val="ySubsection"/>
      </w:pPr>
      <w:r>
        <w:tab/>
      </w:r>
      <w:r>
        <w:tab/>
        <w:t xml:space="preserve">The following town is specified for the purposes of regulation 3(1) as the Kalbarri Region </w:t>
      </w:r>
    </w:p>
    <w:p>
      <w:pPr>
        <w:pStyle w:val="ySubsection"/>
      </w:pPr>
      <w:r>
        <w:tab/>
      </w:r>
      <w:r>
        <w:sym w:font="Symbol" w:char="F0B7"/>
      </w:r>
      <w:r>
        <w:tab/>
        <w:t>Kalbarri</w:t>
      </w:r>
    </w:p>
    <w:p>
      <w:pPr>
        <w:pStyle w:val="yMiscellaneousHeading"/>
        <w:rPr>
          <w:b/>
          <w:bCs/>
        </w:rPr>
      </w:pPr>
      <w:bookmarkStart w:id="48" w:name="_Toc28498427"/>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$1.31/km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Table"/>
              <w:spacing w:before="0"/>
              <w:rPr>
                <w:b/>
                <w:bCs/>
              </w:rPr>
            </w:pPr>
            <w:r>
              <w:rPr>
                <w:b/>
                <w:bCs/>
              </w:rPr>
              <w:t>Tariff 3</w:t>
            </w:r>
          </w:p>
          <w:p>
            <w:pPr>
              <w:pStyle w:val="Table"/>
              <w:tabs>
                <w:tab w:val="left" w:pos="175"/>
              </w:tabs>
              <w:spacing w:before="0"/>
              <w:ind w:left="175" w:hanging="141"/>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2 amended in Gazette 24 Dec 2003 p. 5268; 10 Dec 2004 p. 5912-13; 21 Jan 2005 p. 271-2; 1 Dec 2005 p. 5795-6.]</w:t>
      </w:r>
    </w:p>
    <w:p>
      <w:pPr>
        <w:pStyle w:val="yHeading2"/>
        <w:spacing w:before="120"/>
      </w:pPr>
      <w:bookmarkStart w:id="49" w:name="_Toc121125117"/>
      <w:r>
        <w:t>Part 3 — Kimberley Region</w:t>
      </w:r>
      <w:bookmarkEnd w:id="48"/>
      <w:bookmarkEnd w:id="49"/>
      <w:r>
        <w:t xml:space="preserve"> </w:t>
      </w:r>
    </w:p>
    <w:p>
      <w:pPr>
        <w:pStyle w:val="yHeading5"/>
        <w:outlineLvl w:val="9"/>
      </w:pPr>
      <w:r>
        <w:tab/>
        <w:t xml:space="preserve">Brief Description </w:t>
      </w:r>
    </w:p>
    <w:p>
      <w:pPr>
        <w:pStyle w:val="ySubsection"/>
      </w:pPr>
      <w:r>
        <w:tab/>
      </w:r>
      <w:r>
        <w:tab/>
        <w:t>Includes all towns north of a line extending approximately west</w:t>
      </w:r>
      <w:r>
        <w:noBreakHyphen/>
        <w:t xml:space="preserve">east across the State, commencing immediately south of Broome, then south of Fitzroy Crossing, and Halls Creek through to the border with the Northern Territory </w:t>
      </w:r>
      <w:r>
        <w:rPr>
          <w:i/>
          <w:iCs/>
        </w:rPr>
        <w:t>(see map).</w:t>
      </w:r>
    </w:p>
    <w:p>
      <w:pPr>
        <w:pStyle w:val="yHeading5"/>
        <w:outlineLvl w:val="9"/>
      </w:pPr>
      <w:r>
        <w:tab/>
        <w:t xml:space="preserve">Major towns </w:t>
      </w:r>
    </w:p>
    <w:p>
      <w:pPr>
        <w:pStyle w:val="ySubsection"/>
      </w:pPr>
      <w:r>
        <w:tab/>
      </w:r>
      <w:r>
        <w:tab/>
        <w:t xml:space="preserve">These major towns are specified for the purposes of regulation 3(1) as being within the Kimberley Region </w:t>
      </w:r>
    </w:p>
    <w:p>
      <w:pPr>
        <w:pStyle w:val="ySubsection"/>
      </w:pPr>
      <w:r>
        <w:tab/>
      </w:r>
      <w:r>
        <w:sym w:font="Symbol" w:char="F0B7"/>
      </w:r>
      <w:r>
        <w:tab/>
        <w:t>Broome — (Shire of Broome)</w:t>
      </w:r>
    </w:p>
    <w:p>
      <w:pPr>
        <w:pStyle w:val="ySubsection"/>
      </w:pPr>
      <w:r>
        <w:tab/>
      </w:r>
      <w:r>
        <w:sym w:font="Symbol" w:char="F0B7"/>
      </w:r>
      <w:r>
        <w:tab/>
        <w:t>Derby &amp; Fitzroy Crossing — (Shire of Derby/West Kimberley)</w:t>
      </w:r>
    </w:p>
    <w:p>
      <w:pPr>
        <w:pStyle w:val="ySubsection"/>
      </w:pPr>
      <w:r>
        <w:tab/>
      </w:r>
      <w:r>
        <w:sym w:font="Symbol" w:char="F0B7"/>
      </w:r>
      <w:r>
        <w:tab/>
        <w:t>Halls Creek — (Shire of Halls Creek)</w:t>
      </w:r>
    </w:p>
    <w:p>
      <w:pPr>
        <w:pStyle w:val="ySubsection"/>
      </w:pPr>
      <w:r>
        <w:tab/>
      </w:r>
      <w:r>
        <w:sym w:font="Symbol" w:char="F0B7"/>
      </w:r>
      <w:r>
        <w:tab/>
        <w:t>Kununurra &amp;Wyndham — (Shire of Wyndham/East Kimberley)</w:t>
      </w:r>
    </w:p>
    <w:p>
      <w:pPr>
        <w:pStyle w:val="yMiscellaneousHeading"/>
        <w:rPr>
          <w:b/>
          <w:bCs/>
        </w:rPr>
      </w:pPr>
      <w:bookmarkStart w:id="50" w:name="_Toc28498428"/>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$1.70/km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$2.50/km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$0.96/km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$1.44/km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Table"/>
              <w:spacing w:before="0"/>
            </w:pPr>
            <w:r>
              <w:t>New Year’s Eve —</w:t>
            </w:r>
          </w:p>
          <w:p>
            <w:pPr>
              <w:pStyle w:val="Table"/>
              <w:tabs>
                <w:tab w:val="left" w:pos="175"/>
              </w:tabs>
              <w:spacing w:before="0"/>
              <w:ind w:left="176" w:hanging="176"/>
            </w:pPr>
            <w:r>
              <w:tab/>
              <w:t xml:space="preserve">6 p.m. New Year’s Eve </w:t>
            </w:r>
            <w:r>
              <w:br/>
              <w:t>to 6 a.m. New Year’s Day</w:t>
            </w:r>
          </w:p>
        </w:tc>
        <w:tc>
          <w:tcPr>
            <w:tcW w:w="1843" w:type="dxa"/>
          </w:tcPr>
          <w:p>
            <w:pPr>
              <w:pStyle w:val="Table"/>
              <w:spacing w:before="0"/>
            </w:pPr>
          </w:p>
          <w:p>
            <w:pPr>
              <w:pStyle w:val="Table"/>
              <w:spacing w:before="0"/>
            </w:pPr>
            <w:r>
              <w:br/>
              <w:t>$4.30</w:t>
            </w:r>
          </w:p>
        </w:tc>
      </w:tr>
    </w:tbl>
    <w:p>
      <w:pPr>
        <w:pStyle w:val="yFootnotesection"/>
      </w:pPr>
      <w:r>
        <w:tab/>
        <w:t>[Part 3 amended in Gazette 24 Dec 2003 p. 5269; 10 Dec 2004 p. 5913; 21 Jan 2005 p. 272; 1 Dec 2005 p. 5796-7.]</w:t>
      </w:r>
    </w:p>
    <w:p>
      <w:pPr>
        <w:pStyle w:val="yHeading2"/>
        <w:spacing w:before="120"/>
      </w:pPr>
      <w:bookmarkStart w:id="51" w:name="_Toc121125118"/>
      <w:r>
        <w:t>Part 4 — Mid West Region</w:t>
      </w:r>
      <w:bookmarkEnd w:id="50"/>
      <w:bookmarkEnd w:id="51"/>
      <w:r>
        <w:t xml:space="preserve"> </w:t>
      </w:r>
    </w:p>
    <w:p>
      <w:pPr>
        <w:pStyle w:val="yHeading5"/>
        <w:outlineLvl w:val="9"/>
      </w:pPr>
      <w:r>
        <w:tab/>
        <w:t xml:space="preserve">Brief Description </w:t>
      </w:r>
    </w:p>
    <w:p>
      <w:pPr>
        <w:pStyle w:val="ySubsection"/>
      </w:pPr>
      <w:r>
        <w:tab/>
      </w:r>
      <w:r>
        <w:tab/>
        <w:t xml:space="preserve">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w:t>
      </w:r>
      <w:r>
        <w:rPr>
          <w:i/>
          <w:iCs/>
        </w:rPr>
        <w:t>(see map)</w:t>
      </w:r>
      <w:r>
        <w:t>.</w:t>
      </w:r>
    </w:p>
    <w:p>
      <w:pPr>
        <w:pStyle w:val="yHeading5"/>
        <w:outlineLvl w:val="9"/>
      </w:pPr>
      <w:r>
        <w:tab/>
        <w:t xml:space="preserve">Major towns/cities </w:t>
      </w:r>
    </w:p>
    <w:p>
      <w:pPr>
        <w:pStyle w:val="ySubsection"/>
      </w:pPr>
      <w:r>
        <w:tab/>
      </w:r>
      <w:r>
        <w:tab/>
        <w:t xml:space="preserve">These major towns and cities are specified for the purposes of regulation 3(1) as being within the Mid West Region </w:t>
      </w:r>
    </w:p>
    <w:p>
      <w:pPr>
        <w:pStyle w:val="ySubsection"/>
      </w:pPr>
      <w:r>
        <w:tab/>
      </w:r>
      <w:r>
        <w:sym w:font="Symbol" w:char="F0B7"/>
      </w:r>
      <w:r>
        <w:tab/>
        <w:t>Dandaragan &amp; Jurien — (Shire of Dandaragan)</w:t>
      </w:r>
    </w:p>
    <w:p>
      <w:pPr>
        <w:pStyle w:val="ySubsection"/>
      </w:pPr>
      <w:r>
        <w:tab/>
      </w:r>
      <w:r>
        <w:sym w:font="Symbol" w:char="F0B7"/>
      </w:r>
      <w:r>
        <w:tab/>
        <w:t>Geraldton — (City of Geraldton &amp; environs)</w:t>
      </w:r>
    </w:p>
    <w:p>
      <w:pPr>
        <w:pStyle w:val="ySubsection"/>
      </w:pPr>
      <w:r>
        <w:tab/>
      </w:r>
      <w:r>
        <w:sym w:font="Symbol" w:char="F0B7"/>
      </w:r>
      <w:r>
        <w:tab/>
        <w:t>Irwin &amp; Dongara — (Shire of Irwin)</w:t>
      </w:r>
    </w:p>
    <w:p>
      <w:pPr>
        <w:pStyle w:val="ySubsection"/>
      </w:pPr>
      <w:r>
        <w:tab/>
      </w:r>
      <w:r>
        <w:sym w:font="Symbol" w:char="F0B7"/>
      </w:r>
      <w:r>
        <w:tab/>
        <w:t>Northampton — (Shire of Northampton)</w:t>
      </w:r>
    </w:p>
    <w:p>
      <w:pPr>
        <w:pStyle w:val="ySubsection"/>
        <w:rPr>
          <w:i/>
          <w:iCs/>
        </w:rPr>
      </w:pPr>
      <w:r>
        <w:rPr>
          <w:i/>
          <w:iCs/>
        </w:rPr>
        <w:tab/>
      </w:r>
      <w:r>
        <w:rPr>
          <w:i/>
          <w:iCs/>
        </w:rPr>
        <w:tab/>
        <w:t>*Note: Part 2 gives a separate rate for Kalbarri</w:t>
      </w:r>
    </w:p>
    <w:p>
      <w:pPr>
        <w:pStyle w:val="yMiscellaneousHeading"/>
        <w:rPr>
          <w:b/>
          <w:bCs/>
        </w:rPr>
      </w:pPr>
      <w:bookmarkStart w:id="52" w:name="_Toc28498429"/>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$1.92/km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4 amended in Gazette 24 Dec 2003 p. 5269-70; 10 Dec 2004 p. 5913-14 ; 21 Jan 2005 p. 273; 1 Dec 2005 p. 5798-9.]</w:t>
      </w:r>
    </w:p>
    <w:p>
      <w:pPr>
        <w:pStyle w:val="yHeading2"/>
        <w:spacing w:before="120"/>
      </w:pPr>
      <w:bookmarkStart w:id="53" w:name="_Toc121125119"/>
      <w:r>
        <w:t>Part 5 — Pilbara Region</w:t>
      </w:r>
      <w:bookmarkEnd w:id="52"/>
      <w:bookmarkEnd w:id="53"/>
      <w:r>
        <w:t xml:space="preserve"> </w:t>
      </w:r>
    </w:p>
    <w:p>
      <w:pPr>
        <w:pStyle w:val="yHeading5"/>
        <w:outlineLvl w:val="9"/>
      </w:pPr>
      <w:r>
        <w:tab/>
        <w:t xml:space="preserve">Brief Description </w:t>
      </w:r>
    </w:p>
    <w:p>
      <w:pPr>
        <w:pStyle w:val="ySubsection"/>
      </w:pPr>
      <w:r>
        <w:tab/>
      </w:r>
      <w:r>
        <w:tab/>
        <w:t>Includes all towns south of the Kimberley region border to a line extending east</w:t>
      </w:r>
      <w:r>
        <w:noBreakHyphen/>
        <w:t>west across the State, above Cue (see map).</w:t>
      </w:r>
    </w:p>
    <w:p>
      <w:pPr>
        <w:pStyle w:val="yHeading5"/>
        <w:outlineLvl w:val="9"/>
      </w:pPr>
      <w:r>
        <w:tab/>
        <w:t xml:space="preserve">Major towns </w:t>
      </w:r>
    </w:p>
    <w:p>
      <w:pPr>
        <w:pStyle w:val="ySubsection"/>
      </w:pPr>
      <w:r>
        <w:tab/>
      </w:r>
      <w:r>
        <w:tab/>
        <w:t xml:space="preserve">These major towns are specified for the purposes of regulation 3(1) as being within the Pilbara Region </w:t>
      </w:r>
    </w:p>
    <w:p>
      <w:pPr>
        <w:pStyle w:val="ySubsection"/>
      </w:pPr>
      <w:r>
        <w:tab/>
      </w:r>
      <w:r>
        <w:sym w:font="Symbol" w:char="F0B7"/>
      </w:r>
      <w:r>
        <w:tab/>
        <w:t>Carnarvon — (Shire of Carnarvon)</w:t>
      </w:r>
    </w:p>
    <w:p>
      <w:pPr>
        <w:pStyle w:val="ySubsection"/>
      </w:pPr>
      <w:r>
        <w:tab/>
      </w:r>
      <w:r>
        <w:sym w:font="Symbol" w:char="F0B7"/>
      </w:r>
      <w:r>
        <w:tab/>
        <w:t>Dampier, Roebourne, Karratha &amp; Wickham — (Shire of Roebourne)</w:t>
      </w:r>
    </w:p>
    <w:p>
      <w:pPr>
        <w:pStyle w:val="ySubsection"/>
      </w:pPr>
      <w:r>
        <w:tab/>
      </w:r>
      <w:r>
        <w:sym w:font="Symbol" w:char="F0B7"/>
      </w:r>
      <w:r>
        <w:tab/>
        <w:t>Denham — (Shire of Shark Bay)</w:t>
      </w:r>
    </w:p>
    <w:p>
      <w:pPr>
        <w:pStyle w:val="ySubsection"/>
      </w:pPr>
      <w:r>
        <w:tab/>
      </w:r>
      <w:r>
        <w:sym w:font="Symbol" w:char="F0B7"/>
      </w:r>
      <w:r>
        <w:tab/>
        <w:t>Exmouth — Shire of Exmouth)</w:t>
      </w:r>
    </w:p>
    <w:p>
      <w:pPr>
        <w:pStyle w:val="ySubsection"/>
      </w:pPr>
      <w:r>
        <w:tab/>
      </w:r>
      <w:r>
        <w:sym w:font="Symbol" w:char="F0B7"/>
      </w:r>
      <w:r>
        <w:tab/>
        <w:t>Meekatharra — (Shire of Meekatharra)</w:t>
      </w:r>
    </w:p>
    <w:p>
      <w:pPr>
        <w:pStyle w:val="ySubsection"/>
      </w:pPr>
      <w:r>
        <w:tab/>
      </w:r>
      <w:r>
        <w:sym w:font="Symbol" w:char="F0B7"/>
      </w:r>
      <w:r>
        <w:tab/>
        <w:t>Newman — (Shire of East Pilbara)</w:t>
      </w:r>
    </w:p>
    <w:p>
      <w:pPr>
        <w:pStyle w:val="ySubsection"/>
      </w:pPr>
      <w:r>
        <w:tab/>
      </w:r>
      <w:r>
        <w:sym w:font="Symbol" w:char="F0B7"/>
      </w:r>
      <w:r>
        <w:tab/>
        <w:t>Port Hedland — (Town of Port Hedland)</w:t>
      </w:r>
    </w:p>
    <w:p>
      <w:pPr>
        <w:pStyle w:val="ySubsection"/>
      </w:pPr>
      <w:r>
        <w:tab/>
      </w:r>
      <w:r>
        <w:sym w:font="Symbol" w:char="F0B7"/>
      </w:r>
      <w:r>
        <w:tab/>
        <w:t>Tom Price &amp; Onslow — (Shire of Ashburton)</w:t>
      </w:r>
    </w:p>
    <w:p>
      <w:pPr>
        <w:pStyle w:val="yMiscellaneousHeading"/>
        <w:rPr>
          <w:b/>
          <w:bCs/>
        </w:rPr>
      </w:pPr>
      <w:bookmarkStart w:id="54" w:name="_Toc28498430"/>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$1.73/km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6" w:hanging="176"/>
              <w:rPr>
                <w:b/>
              </w:rPr>
            </w:pPr>
            <w:r>
              <w:rPr>
                <w:b/>
              </w:rPr>
              <w:t>Tariff 3</w:t>
            </w:r>
          </w:p>
          <w:p>
            <w:pPr>
              <w:pStyle w:val="yTable"/>
              <w:tabs>
                <w:tab w:val="left" w:pos="175"/>
              </w:tabs>
              <w:spacing w:before="0"/>
              <w:ind w:left="176" w:hanging="176"/>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$2.56/km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$0.94/km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$1.41/km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5 amended in Gazette 24 Dec 2003 p. 5270; 10 Dec 2004 p. 5914; 21 Jan 2005 p. 273-4; 1 Dec 2005 p. 5799-800.]</w:t>
      </w:r>
    </w:p>
    <w:p>
      <w:pPr>
        <w:pStyle w:val="yHeading2"/>
        <w:spacing w:before="120"/>
      </w:pPr>
      <w:bookmarkStart w:id="55" w:name="_Toc121125120"/>
      <w:r>
        <w:t>Part 6 — South West Region</w:t>
      </w:r>
      <w:bookmarkEnd w:id="54"/>
      <w:bookmarkEnd w:id="55"/>
      <w:r>
        <w:t xml:space="preserve"> </w:t>
      </w:r>
    </w:p>
    <w:p>
      <w:pPr>
        <w:pStyle w:val="yHeading5"/>
        <w:outlineLvl w:val="9"/>
      </w:pPr>
      <w:r>
        <w:tab/>
        <w:t xml:space="preserve">Brief Description </w:t>
      </w:r>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outlineLvl w:val="9"/>
      </w:pPr>
      <w:r>
        <w:tab/>
        <w:t xml:space="preserve">Major towns/cities </w:t>
      </w:r>
    </w:p>
    <w:p>
      <w:pPr>
        <w:pStyle w:val="ySubsection"/>
      </w:pPr>
      <w:r>
        <w:tab/>
      </w:r>
      <w:r>
        <w:tab/>
        <w:t xml:space="preserve">These major towns and cities are specified for the purposes of regulation 3(1) as being within the South West Region </w:t>
      </w:r>
    </w:p>
    <w:p>
      <w:pPr>
        <w:pStyle w:val="ySubsection"/>
      </w:pPr>
      <w:r>
        <w:tab/>
      </w:r>
      <w:r>
        <w:sym w:font="Symbol" w:char="F0B7"/>
      </w:r>
      <w:r>
        <w:tab/>
        <w:t>Albany — (City of Albany)</w:t>
      </w:r>
    </w:p>
    <w:p>
      <w:pPr>
        <w:pStyle w:val="ySubsection"/>
      </w:pPr>
      <w:r>
        <w:tab/>
      </w:r>
      <w:r>
        <w:sym w:font="Symbol" w:char="F0B7"/>
      </w:r>
      <w:r>
        <w:tab/>
        <w:t>Augusta &amp; Margaret River — (Shire of Augusta</w:t>
      </w:r>
      <w:r>
        <w:noBreakHyphen/>
        <w:t>Margaret River)</w:t>
      </w:r>
    </w:p>
    <w:p>
      <w:pPr>
        <w:pStyle w:val="ySubsection"/>
      </w:pPr>
      <w:r>
        <w:tab/>
      </w:r>
      <w:r>
        <w:sym w:font="Symbol" w:char="F0B7"/>
      </w:r>
      <w:r>
        <w:tab/>
        <w:t>Boddington — (Shire of Boddington)</w:t>
      </w:r>
    </w:p>
    <w:p>
      <w:pPr>
        <w:pStyle w:val="ySubsection"/>
      </w:pPr>
      <w:r>
        <w:tab/>
      </w:r>
      <w:r>
        <w:sym w:font="Symbol" w:char="F0B7"/>
      </w:r>
      <w:r>
        <w:tab/>
        <w:t>Bridgetown &amp; Greenbushes — (Shire of Bridgetown/Greenbushes)</w:t>
      </w:r>
    </w:p>
    <w:p>
      <w:pPr>
        <w:pStyle w:val="ySubsection"/>
      </w:pPr>
      <w:r>
        <w:tab/>
      </w:r>
      <w:r>
        <w:sym w:font="Symbol" w:char="F0B7"/>
      </w:r>
      <w:r>
        <w:tab/>
        <w:t>Bunbury — (District of Bunbury)</w:t>
      </w:r>
    </w:p>
    <w:p>
      <w:pPr>
        <w:pStyle w:val="ySubsection"/>
      </w:pPr>
      <w:r>
        <w:tab/>
      </w:r>
      <w:r>
        <w:sym w:font="Symbol" w:char="F0B7"/>
      </w:r>
      <w:r>
        <w:tab/>
        <w:t>Busselton — (Shire of Busselton)</w:t>
      </w:r>
    </w:p>
    <w:p>
      <w:pPr>
        <w:pStyle w:val="ySubsection"/>
      </w:pPr>
      <w:r>
        <w:tab/>
      </w:r>
      <w:r>
        <w:sym w:font="Symbol" w:char="F0B7"/>
      </w:r>
      <w:r>
        <w:tab/>
        <w:t>Collie — (Shire of Collie)</w:t>
      </w:r>
    </w:p>
    <w:p>
      <w:pPr>
        <w:pStyle w:val="ySubsection"/>
      </w:pPr>
      <w:r>
        <w:tab/>
      </w:r>
      <w:r>
        <w:sym w:font="Symbol" w:char="F0B7"/>
      </w:r>
      <w:r>
        <w:tab/>
        <w:t>Denmark — (Shire of Denmark)</w:t>
      </w:r>
    </w:p>
    <w:p>
      <w:pPr>
        <w:pStyle w:val="ySubsection"/>
      </w:pPr>
      <w:r>
        <w:tab/>
      </w:r>
      <w:r>
        <w:sym w:font="Symbol" w:char="F0B7"/>
      </w:r>
      <w:r>
        <w:tab/>
        <w:t>Donnybrook — (Shire of Donnybrook)</w:t>
      </w:r>
    </w:p>
    <w:p>
      <w:pPr>
        <w:pStyle w:val="ySubsection"/>
      </w:pPr>
      <w:r>
        <w:tab/>
      </w:r>
      <w:r>
        <w:sym w:font="Symbol" w:char="F0B7"/>
      </w:r>
      <w:r>
        <w:tab/>
        <w:t>Dunsborough — (District of Dunsborough)</w:t>
      </w:r>
    </w:p>
    <w:p>
      <w:pPr>
        <w:pStyle w:val="ySubsection"/>
      </w:pPr>
      <w:r>
        <w:tab/>
      </w:r>
      <w:r>
        <w:sym w:font="Symbol" w:char="F0B7"/>
      </w:r>
      <w:r>
        <w:tab/>
        <w:t>Harvey — (Shire of Harvey)</w:t>
      </w:r>
    </w:p>
    <w:p>
      <w:pPr>
        <w:pStyle w:val="ySubsection"/>
      </w:pPr>
      <w:r>
        <w:tab/>
      </w:r>
      <w:r>
        <w:sym w:font="Symbol" w:char="F0B7"/>
      </w:r>
      <w:r>
        <w:tab/>
        <w:t>Katanning — (Shire of Katanning)</w:t>
      </w:r>
    </w:p>
    <w:p>
      <w:pPr>
        <w:pStyle w:val="ySubsection"/>
      </w:pPr>
      <w:r>
        <w:tab/>
      </w:r>
      <w:r>
        <w:sym w:font="Symbol" w:char="F0B7"/>
      </w:r>
      <w:r>
        <w:tab/>
        <w:t>Kojonup — (Shire of Kojonup)</w:t>
      </w:r>
    </w:p>
    <w:p>
      <w:pPr>
        <w:pStyle w:val="ySubsection"/>
      </w:pPr>
      <w:r>
        <w:tab/>
      </w:r>
      <w:r>
        <w:sym w:font="Symbol" w:char="F0B7"/>
      </w:r>
      <w:r>
        <w:tab/>
        <w:t>Mandurah — (City of Mandurah)</w:t>
      </w:r>
    </w:p>
    <w:p>
      <w:pPr>
        <w:pStyle w:val="ySubsection"/>
      </w:pPr>
      <w:r>
        <w:tab/>
      </w:r>
      <w:r>
        <w:sym w:font="Symbol" w:char="F0B7"/>
      </w:r>
      <w:r>
        <w:tab/>
        <w:t>Manjimup — (Shire of Manjimup)</w:t>
      </w:r>
    </w:p>
    <w:p>
      <w:pPr>
        <w:pStyle w:val="ySubsection"/>
      </w:pPr>
      <w:r>
        <w:tab/>
      </w:r>
      <w:r>
        <w:sym w:font="Symbol" w:char="F0B7"/>
      </w:r>
      <w:r>
        <w:tab/>
        <w:t>Mount Barker — (Shire of Plantagenet)</w:t>
      </w:r>
    </w:p>
    <w:p>
      <w:pPr>
        <w:pStyle w:val="ySubsection"/>
      </w:pPr>
      <w:r>
        <w:tab/>
      </w:r>
      <w:r>
        <w:sym w:font="Symbol" w:char="F0B7"/>
      </w:r>
      <w:r>
        <w:tab/>
        <w:t>Narrogin — (Town of Narrogin &amp; Shire of Narrogin)</w:t>
      </w:r>
    </w:p>
    <w:p>
      <w:pPr>
        <w:pStyle w:val="ySubsection"/>
      </w:pPr>
      <w:r>
        <w:tab/>
      </w:r>
      <w:r>
        <w:sym w:font="Symbol" w:char="F0B7"/>
      </w:r>
      <w:r>
        <w:tab/>
        <w:t>Pinjarra — (Shire of Murray)</w:t>
      </w:r>
    </w:p>
    <w:p>
      <w:pPr>
        <w:pStyle w:val="ySubsection"/>
      </w:pPr>
      <w:r>
        <w:tab/>
      </w:r>
      <w:r>
        <w:sym w:font="Symbol" w:char="F0B7"/>
      </w:r>
      <w:r>
        <w:tab/>
        <w:t>Wagin — (Shire of Wagin)</w:t>
      </w:r>
    </w:p>
    <w:p>
      <w:pPr>
        <w:pStyle w:val="ySubsection"/>
      </w:pPr>
      <w:r>
        <w:tab/>
      </w:r>
      <w:r>
        <w:sym w:font="Symbol" w:char="F0B7"/>
      </w:r>
      <w:r>
        <w:tab/>
        <w:t>Waroona — (Shire of Waroona)</w:t>
      </w:r>
    </w:p>
    <w:p>
      <w:pPr>
        <w:pStyle w:val="yMiscellaneousHeading"/>
        <w:rPr>
          <w:b/>
          <w:bCs/>
        </w:rPr>
      </w:pPr>
      <w:r>
        <w:rPr>
          <w:b/>
          <w:bCs/>
        </w:rPr>
        <w:t xml:space="preserve">Metered rates </w:t>
      </w:r>
    </w:p>
    <w:tbl>
      <w:tblPr>
        <w:tblW w:w="0" w:type="auto"/>
        <w:tblInd w:w="959" w:type="dxa"/>
        <w:tblLayout w:type="fixed"/>
        <w:tblLook w:val="0000" w:firstRow="0" w:lastRow="0" w:firstColumn="0" w:lastColumn="0" w:noHBand="0" w:noVBand="0"/>
      </w:tblPr>
      <w:tblGrid>
        <w:gridCol w:w="2126"/>
        <w:gridCol w:w="992"/>
        <w:gridCol w:w="1560"/>
        <w:gridCol w:w="1417"/>
      </w:tblGrid>
      <w:tr>
        <w:tc>
          <w:tcPr>
            <w:tcW w:w="2126" w:type="dxa"/>
            <w:tcBorders>
              <w:top w:val="single" w:sz="4" w:space="0" w:color="auto"/>
              <w:bottom w:val="single" w:sz="4" w:space="0" w:color="auto"/>
              <w:right w:val="single" w:sz="4" w:space="0" w:color="auto"/>
            </w:tcBorders>
          </w:tcPr>
          <w:p>
            <w:pPr>
              <w:pStyle w:val="yTable"/>
              <w:rPr>
                <w:b/>
                <w:bCs/>
              </w:rPr>
            </w:pPr>
          </w:p>
        </w:tc>
        <w:tc>
          <w:tcPr>
            <w:tcW w:w="992" w:type="dxa"/>
            <w:tcBorders>
              <w:top w:val="single" w:sz="4" w:space="0" w:color="auto"/>
              <w:left w:val="nil"/>
              <w:bottom w:val="single" w:sz="4" w:space="0" w:color="auto"/>
            </w:tcBorders>
          </w:tcPr>
          <w:p>
            <w:pPr>
              <w:pStyle w:val="yTable"/>
              <w:rPr>
                <w:b/>
                <w:bCs/>
              </w:rPr>
            </w:pPr>
            <w:r>
              <w:rPr>
                <w:b/>
                <w:bCs/>
              </w:rPr>
              <w:t>Flagfall</w:t>
            </w:r>
          </w:p>
        </w:tc>
        <w:tc>
          <w:tcPr>
            <w:tcW w:w="1560" w:type="dxa"/>
            <w:tcBorders>
              <w:top w:val="single" w:sz="4" w:space="0" w:color="auto"/>
              <w:bottom w:val="single" w:sz="4" w:space="0" w:color="auto"/>
            </w:tcBorders>
          </w:tcPr>
          <w:p>
            <w:pPr>
              <w:pStyle w:val="yTable"/>
              <w:rPr>
                <w:b/>
                <w:bCs/>
              </w:rPr>
            </w:pPr>
            <w:r>
              <w:rPr>
                <w:b/>
                <w:bCs/>
              </w:rPr>
              <w:t xml:space="preserve">Distance rate </w:t>
            </w:r>
          </w:p>
        </w:tc>
        <w:tc>
          <w:tcPr>
            <w:tcW w:w="1417" w:type="dxa"/>
            <w:tcBorders>
              <w:top w:val="single" w:sz="4" w:space="0" w:color="auto"/>
              <w:bottom w:val="single" w:sz="4" w:space="0" w:color="auto"/>
            </w:tcBorders>
          </w:tcPr>
          <w:p>
            <w:pPr>
              <w:pStyle w:val="yTable"/>
              <w:rPr>
                <w:b/>
                <w:bCs/>
              </w:rPr>
            </w:pPr>
            <w:r>
              <w:rPr>
                <w:b/>
                <w:bCs/>
              </w:rPr>
              <w:t xml:space="preserve">Detention </w:t>
            </w:r>
          </w:p>
        </w:tc>
      </w:tr>
      <w:tr>
        <w:tc>
          <w:tcPr>
            <w:tcW w:w="2126" w:type="dxa"/>
            <w:tcBorders>
              <w:right w:val="single" w:sz="4" w:space="0" w:color="auto"/>
            </w:tcBorders>
          </w:tcPr>
          <w:p>
            <w:pPr>
              <w:pStyle w:val="yTable"/>
              <w:tabs>
                <w:tab w:val="left" w:pos="175"/>
              </w:tabs>
              <w:spacing w:before="0"/>
              <w:ind w:left="175" w:hanging="175"/>
              <w:rPr>
                <w:b/>
              </w:rPr>
            </w:pPr>
            <w:r>
              <w:rPr>
                <w:b/>
              </w:rPr>
              <w:t>Tariff 1</w:t>
            </w:r>
          </w:p>
          <w:p>
            <w:pPr>
              <w:pStyle w:val="yTable"/>
              <w:tabs>
                <w:tab w:val="left" w:pos="175"/>
              </w:tabs>
              <w:spacing w:before="0"/>
              <w:ind w:left="175" w:hanging="175"/>
            </w:pPr>
            <w:r>
              <w:tab/>
              <w:t>Monday to Friday</w:t>
            </w:r>
          </w:p>
          <w:p>
            <w:pPr>
              <w:pStyle w:val="yTable"/>
              <w:tabs>
                <w:tab w:val="left" w:pos="175"/>
              </w:tabs>
              <w:spacing w:before="0"/>
              <w:ind w:left="175" w:hanging="175"/>
            </w:pPr>
            <w:r>
              <w:tab/>
              <w:t>6 a.m. to 6 p.m.</w:t>
            </w:r>
          </w:p>
        </w:tc>
        <w:tc>
          <w:tcPr>
            <w:tcW w:w="992" w:type="dxa"/>
            <w:tcBorders>
              <w:left w:val="nil"/>
            </w:tcBorders>
          </w:tcPr>
          <w:p>
            <w:pPr>
              <w:pStyle w:val="yTable"/>
              <w:tabs>
                <w:tab w:val="left" w:pos="318"/>
              </w:tabs>
              <w:spacing w:before="0"/>
            </w:pPr>
          </w:p>
          <w:p>
            <w:pPr>
              <w:pStyle w:val="yTable"/>
              <w:tabs>
                <w:tab w:val="left" w:pos="318"/>
              </w:tabs>
              <w:spacing w:before="0"/>
            </w:pPr>
          </w:p>
          <w:p>
            <w:pPr>
              <w:pStyle w:val="yTable"/>
              <w:tabs>
                <w:tab w:val="left" w:pos="318"/>
              </w:tabs>
              <w:spacing w:before="0"/>
            </w:pPr>
            <w:r>
              <w:t>$3.20</w:t>
            </w:r>
          </w:p>
        </w:tc>
        <w:tc>
          <w:tcPr>
            <w:tcW w:w="1560" w:type="dxa"/>
          </w:tcPr>
          <w:p>
            <w:pPr>
              <w:pStyle w:val="yTable"/>
              <w:tabs>
                <w:tab w:val="left" w:pos="318"/>
              </w:tabs>
              <w:spacing w:before="0"/>
            </w:pPr>
          </w:p>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p>
          <w:p>
            <w:pPr>
              <w:pStyle w:val="yTable"/>
              <w:tabs>
                <w:tab w:val="left" w:pos="318"/>
              </w:tabs>
              <w:spacing w:before="0"/>
            </w:pPr>
            <w:r>
              <w:t>$37.00/hour</w:t>
            </w:r>
          </w:p>
        </w:tc>
      </w:tr>
      <w:tr>
        <w:trPr>
          <w:cantSplit/>
        </w:trPr>
        <w:tc>
          <w:tcPr>
            <w:tcW w:w="2126" w:type="dxa"/>
            <w:tcBorders>
              <w:right w:val="single" w:sz="4" w:space="0" w:color="auto"/>
            </w:tcBorders>
          </w:tcPr>
          <w:p>
            <w:pPr>
              <w:pStyle w:val="yTable"/>
              <w:tabs>
                <w:tab w:val="left" w:pos="175"/>
              </w:tabs>
              <w:spacing w:before="0"/>
              <w:ind w:left="175" w:hanging="175"/>
              <w:rPr>
                <w:b/>
              </w:rPr>
            </w:pPr>
            <w:r>
              <w:rPr>
                <w:b/>
              </w:rPr>
              <w:t>Tariff 2</w:t>
            </w:r>
          </w:p>
          <w:p>
            <w:pPr>
              <w:pStyle w:val="yTable"/>
              <w:tabs>
                <w:tab w:val="left" w:pos="175"/>
              </w:tabs>
              <w:spacing w:before="0"/>
              <w:ind w:left="175" w:hanging="175"/>
              <w:rPr>
                <w:bCs/>
              </w:rPr>
            </w:pPr>
            <w:r>
              <w:rPr>
                <w:bCs/>
              </w:rPr>
              <w:tab/>
              <w:t>All other times</w:t>
            </w:r>
          </w:p>
        </w:tc>
        <w:tc>
          <w:tcPr>
            <w:tcW w:w="992" w:type="dxa"/>
            <w:tcBorders>
              <w:left w:val="nil"/>
            </w:tcBorders>
          </w:tcPr>
          <w:p>
            <w:pPr>
              <w:pStyle w:val="yTable"/>
              <w:tabs>
                <w:tab w:val="left" w:pos="318"/>
              </w:tabs>
              <w:spacing w:before="0"/>
            </w:pPr>
          </w:p>
          <w:p>
            <w:pPr>
              <w:pStyle w:val="yTable"/>
              <w:tabs>
                <w:tab w:val="left" w:pos="318"/>
              </w:tabs>
              <w:spacing w:before="0"/>
            </w:pPr>
            <w:r>
              <w:t>$4.60</w:t>
            </w:r>
          </w:p>
        </w:tc>
        <w:tc>
          <w:tcPr>
            <w:tcW w:w="1560" w:type="dxa"/>
          </w:tcPr>
          <w:p>
            <w:pPr>
              <w:pStyle w:val="yTable"/>
              <w:tabs>
                <w:tab w:val="left" w:pos="318"/>
              </w:tabs>
              <w:spacing w:before="0"/>
            </w:pPr>
          </w:p>
          <w:p>
            <w:pPr>
              <w:pStyle w:val="yTable"/>
              <w:tabs>
                <w:tab w:val="left" w:pos="318"/>
              </w:tabs>
              <w:spacing w:before="0"/>
            </w:pPr>
            <w:r>
              <w:t>$1.29/km</w:t>
            </w:r>
          </w:p>
        </w:tc>
        <w:tc>
          <w:tcPr>
            <w:tcW w:w="1417" w:type="dxa"/>
          </w:tcPr>
          <w:p>
            <w:pPr>
              <w:pStyle w:val="yTable"/>
              <w:tabs>
                <w:tab w:val="left" w:pos="318"/>
              </w:tabs>
              <w:spacing w:before="0"/>
            </w:pPr>
          </w:p>
          <w:p>
            <w:pPr>
              <w:pStyle w:val="yTable"/>
              <w:tabs>
                <w:tab w:val="left" w:pos="318"/>
              </w:tabs>
              <w:spacing w:before="0"/>
            </w:pPr>
            <w:r>
              <w:t>$37.00/hour</w:t>
            </w:r>
          </w:p>
        </w:tc>
      </w:tr>
      <w:tr>
        <w:tc>
          <w:tcPr>
            <w:tcW w:w="2126" w:type="dxa"/>
            <w:tcBorders>
              <w:bottom w:val="single" w:sz="4" w:space="0" w:color="auto"/>
              <w:right w:val="single" w:sz="4" w:space="0" w:color="auto"/>
            </w:tcBorders>
          </w:tcPr>
          <w:p>
            <w:pPr>
              <w:pStyle w:val="yTable"/>
              <w:tabs>
                <w:tab w:val="left" w:pos="175"/>
              </w:tabs>
              <w:spacing w:before="0"/>
              <w:ind w:left="175" w:hanging="175"/>
              <w:rPr>
                <w:b/>
              </w:rPr>
            </w:pPr>
            <w:r>
              <w:rPr>
                <w:b/>
              </w:rPr>
              <w:t>Tariff 3</w:t>
            </w:r>
          </w:p>
          <w:p>
            <w:pPr>
              <w:pStyle w:val="yTable"/>
              <w:tabs>
                <w:tab w:val="left" w:pos="175"/>
              </w:tabs>
              <w:spacing w:before="0"/>
              <w:ind w:left="175" w:hanging="175"/>
              <w:rPr>
                <w:bCs/>
              </w:rPr>
            </w:pPr>
            <w:r>
              <w:rPr>
                <w:bCs/>
              </w:rP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$4.60</w:t>
            </w:r>
          </w:p>
        </w:tc>
        <w:tc>
          <w:tcPr>
            <w:tcW w:w="1560"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$1.93/km</w:t>
            </w:r>
          </w:p>
        </w:tc>
        <w:tc>
          <w:tcPr>
            <w:tcW w:w="1417" w:type="dxa"/>
            <w:tcBorders>
              <w:bottom w:val="single" w:sz="4" w:space="0" w:color="auto"/>
            </w:tcBorders>
          </w:tcPr>
          <w:p>
            <w:pPr>
              <w:pStyle w:val="yTable"/>
              <w:tabs>
                <w:tab w:val="left" w:pos="318"/>
              </w:tabs>
              <w:spacing w:before="0"/>
            </w:pPr>
          </w:p>
          <w:p>
            <w:pPr>
              <w:pStyle w:val="yTable"/>
              <w:tabs>
                <w:tab w:val="left" w:pos="318"/>
              </w:tabs>
              <w:spacing w:before="0"/>
            </w:pPr>
            <w:r>
              <w:br/>
            </w:r>
            <w:r>
              <w:br/>
            </w:r>
            <w:r>
              <w:br/>
            </w:r>
            <w:r>
              <w:br/>
            </w:r>
            <w:r>
              <w:br/>
              <w:t>$57.35/hour</w:t>
            </w:r>
          </w:p>
        </w:tc>
      </w:tr>
    </w:tbl>
    <w:p>
      <w:pPr>
        <w:pStyle w:val="yMiscellaneousHeading"/>
        <w:rPr>
          <w:b/>
          <w:bCs/>
        </w:rPr>
      </w:pPr>
      <w:r>
        <w:rPr>
          <w:b/>
          <w:bCs/>
        </w:rPr>
        <w:t xml:space="preserve">Off meter rates </w:t>
      </w:r>
    </w:p>
    <w:tbl>
      <w:tblPr>
        <w:tblW w:w="0" w:type="auto"/>
        <w:tblInd w:w="959" w:type="dxa"/>
        <w:tblLayout w:type="fixed"/>
        <w:tblLook w:val="0000" w:firstRow="0" w:lastRow="0" w:firstColumn="0" w:lastColumn="0" w:noHBand="0" w:noVBand="0"/>
      </w:tblPr>
      <w:tblGrid>
        <w:gridCol w:w="2126"/>
        <w:gridCol w:w="2552"/>
        <w:gridCol w:w="1417"/>
      </w:tblGrid>
      <w:tr>
        <w:trPr>
          <w:tblHeader/>
        </w:trPr>
        <w:tc>
          <w:tcPr>
            <w:tcW w:w="2126" w:type="dxa"/>
            <w:tcBorders>
              <w:top w:val="single" w:sz="4" w:space="0" w:color="auto"/>
              <w:bottom w:val="single" w:sz="4" w:space="0" w:color="auto"/>
              <w:right w:val="single" w:sz="4" w:space="0" w:color="auto"/>
            </w:tcBorders>
          </w:tcPr>
          <w:p>
            <w:pPr>
              <w:pStyle w:val="yTable"/>
              <w:rPr>
                <w:b/>
                <w:bCs/>
              </w:rPr>
            </w:pPr>
          </w:p>
        </w:tc>
        <w:tc>
          <w:tcPr>
            <w:tcW w:w="2552" w:type="dxa"/>
            <w:tcBorders>
              <w:top w:val="single" w:sz="4" w:space="0" w:color="auto"/>
              <w:left w:val="nil"/>
              <w:bottom w:val="single" w:sz="4" w:space="0" w:color="auto"/>
            </w:tcBorders>
          </w:tcPr>
          <w:p>
            <w:pPr>
              <w:pStyle w:val="yTable"/>
              <w:rPr>
                <w:b/>
                <w:bCs/>
              </w:rPr>
            </w:pPr>
            <w:r>
              <w:rPr>
                <w:b/>
                <w:bCs/>
              </w:rPr>
              <w:t>Distance rate</w:t>
            </w:r>
            <w:r>
              <w:rPr>
                <w:b/>
                <w:bCs/>
              </w:rPr>
              <w:br/>
            </w:r>
            <w:r>
              <w:t>(during hiring and for forward or return journey)</w:t>
            </w:r>
          </w:p>
        </w:tc>
        <w:tc>
          <w:tcPr>
            <w:tcW w:w="1417" w:type="dxa"/>
            <w:tcBorders>
              <w:top w:val="single" w:sz="4" w:space="0" w:color="auto"/>
              <w:bottom w:val="single" w:sz="4" w:space="0" w:color="auto"/>
            </w:tcBorders>
          </w:tcPr>
          <w:p>
            <w:pPr>
              <w:pStyle w:val="yTable"/>
              <w:rPr>
                <w:b/>
                <w:bCs/>
              </w:rPr>
            </w:pPr>
            <w:r>
              <w:rPr>
                <w:b/>
                <w:bCs/>
              </w:rPr>
              <w:t>Detention</w:t>
            </w:r>
          </w:p>
        </w:tc>
      </w:tr>
      <w:tr>
        <w:tc>
          <w:tcPr>
            <w:tcW w:w="2126" w:type="dxa"/>
            <w:tcBorders>
              <w:right w:val="single" w:sz="4" w:space="0" w:color="auto"/>
            </w:tcBorders>
          </w:tcPr>
          <w:p>
            <w:pPr>
              <w:pStyle w:val="yTable"/>
            </w:pPr>
            <w:r>
              <w:t>When carrying less than 5 passengers</w:t>
            </w:r>
          </w:p>
        </w:tc>
        <w:tc>
          <w:tcPr>
            <w:tcW w:w="2552" w:type="dxa"/>
            <w:tcBorders>
              <w:left w:val="nil"/>
            </w:tcBorders>
          </w:tcPr>
          <w:p>
            <w:pPr>
              <w:pStyle w:val="yTable"/>
            </w:pPr>
            <w:r>
              <w:br/>
              <w:t>$0.79/km</w:t>
            </w:r>
          </w:p>
        </w:tc>
        <w:tc>
          <w:tcPr>
            <w:tcW w:w="1417" w:type="dxa"/>
          </w:tcPr>
          <w:p>
            <w:pPr>
              <w:pStyle w:val="yTable"/>
            </w:pPr>
            <w:r>
              <w:br/>
              <w:t>$37.00/hour</w:t>
            </w:r>
          </w:p>
        </w:tc>
      </w:tr>
      <w:tr>
        <w:trPr>
          <w:cantSplit/>
        </w:trPr>
        <w:tc>
          <w:tcPr>
            <w:tcW w:w="2126" w:type="dxa"/>
            <w:tcBorders>
              <w:bottom w:val="single" w:sz="4" w:space="0" w:color="auto"/>
              <w:right w:val="single" w:sz="4" w:space="0" w:color="auto"/>
            </w:tcBorders>
          </w:tcPr>
          <w:p>
            <w:pPr>
              <w:pStyle w:val="yTable"/>
            </w:pPr>
            <w:r>
              <w:t>When carrying 5 or more passengers</w:t>
            </w:r>
            <w:r>
              <w:rPr>
                <w:bCs/>
              </w:rPr>
              <w:t xml:space="preserve"> (if the vehicle was manufactured to carry 6 or more adult passengers)</w:t>
            </w:r>
          </w:p>
        </w:tc>
        <w:tc>
          <w:tcPr>
            <w:tcW w:w="2552" w:type="dxa"/>
            <w:tcBorders>
              <w:left w:val="nil"/>
              <w:bottom w:val="single" w:sz="4" w:space="0" w:color="auto"/>
            </w:tcBorders>
          </w:tcPr>
          <w:p>
            <w:pPr>
              <w:pStyle w:val="yTable"/>
            </w:pPr>
            <w:r>
              <w:br/>
            </w:r>
            <w:r>
              <w:br/>
            </w:r>
            <w:r>
              <w:br/>
            </w:r>
            <w:r>
              <w:br/>
            </w:r>
            <w:r>
              <w:br/>
              <w:t>$1.19/km</w:t>
            </w:r>
          </w:p>
        </w:tc>
        <w:tc>
          <w:tcPr>
            <w:tcW w:w="1417" w:type="dxa"/>
            <w:tcBorders>
              <w:bottom w:val="single" w:sz="4" w:space="0" w:color="auto"/>
            </w:tcBorders>
          </w:tcPr>
          <w:p>
            <w:pPr>
              <w:pStyle w:val="yTable"/>
            </w:pPr>
            <w:r>
              <w:br/>
            </w:r>
            <w:r>
              <w:br/>
            </w:r>
            <w:r>
              <w:br/>
            </w:r>
            <w:r>
              <w:br/>
            </w:r>
            <w:r>
              <w:br/>
              <w:t>$57.35/hour</w:t>
            </w:r>
          </w:p>
        </w:tc>
      </w:tr>
    </w:tbl>
    <w:p>
      <w:pPr>
        <w:pStyle w:val="yMiscellaneousHeading"/>
        <w:rPr>
          <w:b/>
          <w:bCs/>
        </w:rPr>
      </w:pPr>
      <w:r>
        <w:rPr>
          <w:b/>
          <w:bCs/>
        </w:rPr>
        <w:t>Other charges</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yTable"/>
              <w:tabs>
                <w:tab w:val="left" w:pos="318"/>
              </w:tabs>
              <w:spacing w:before="0"/>
              <w:rPr>
                <w:b/>
              </w:rPr>
            </w:pPr>
            <w:r>
              <w:rPr>
                <w:b/>
              </w:rPr>
              <w:t>Cleaning</w:t>
            </w:r>
          </w:p>
          <w:p>
            <w:pPr>
              <w:pStyle w:val="yTable"/>
              <w:tabs>
                <w:tab w:val="left" w:pos="175"/>
              </w:tabs>
              <w:spacing w:before="0"/>
              <w:ind w:left="175" w:hanging="175"/>
            </w:pPr>
            <w:r>
              <w:tab/>
              <w:t>(when soiled during hiring — for time required to clean)</w:t>
            </w:r>
          </w:p>
        </w:tc>
        <w:tc>
          <w:tcPr>
            <w:tcW w:w="1843" w:type="dxa"/>
          </w:tcPr>
          <w:p>
            <w:pPr>
              <w:pStyle w:val="yTable"/>
              <w:tabs>
                <w:tab w:val="left" w:pos="318"/>
              </w:tabs>
              <w:spacing w:before="0"/>
            </w:pPr>
          </w:p>
          <w:p>
            <w:pPr>
              <w:pStyle w:val="yTable"/>
              <w:tabs>
                <w:tab w:val="left" w:pos="318"/>
              </w:tabs>
              <w:spacing w:before="0"/>
            </w:pPr>
            <w:r>
              <w:br/>
              <w:t xml:space="preserve">$37.00/hour </w:t>
            </w:r>
          </w:p>
        </w:tc>
      </w:tr>
      <w:tr>
        <w:tc>
          <w:tcPr>
            <w:tcW w:w="4252" w:type="dxa"/>
          </w:tcPr>
          <w:p>
            <w:pPr>
              <w:pStyle w:val="yTable"/>
              <w:tabs>
                <w:tab w:val="left" w:pos="175"/>
              </w:tabs>
              <w:spacing w:before="0"/>
              <w:ind w:left="175" w:hanging="175"/>
              <w:rPr>
                <w:b/>
                <w:bCs/>
              </w:rPr>
            </w:pPr>
            <w:r>
              <w:rPr>
                <w:b/>
                <w:bCs/>
              </w:rPr>
              <w:t>Call out fee</w:t>
            </w:r>
          </w:p>
        </w:tc>
        <w:tc>
          <w:tcPr>
            <w:tcW w:w="1843" w:type="dxa"/>
          </w:tcPr>
          <w:p>
            <w:pPr>
              <w:pStyle w:val="yTable"/>
              <w:tabs>
                <w:tab w:val="left" w:pos="318"/>
              </w:tabs>
              <w:spacing w:before="0"/>
            </w:pPr>
            <w:r>
              <w:t>$1.00</w:t>
            </w:r>
          </w:p>
        </w:tc>
      </w:tr>
      <w:tr>
        <w:trPr>
          <w:tblHeader/>
        </w:trPr>
        <w:tc>
          <w:tcPr>
            <w:tcW w:w="4252" w:type="dxa"/>
          </w:tcPr>
          <w:p>
            <w:pPr>
              <w:pStyle w:val="yTable"/>
              <w:tabs>
                <w:tab w:val="left" w:pos="318"/>
              </w:tabs>
              <w:spacing w:before="0"/>
              <w:rPr>
                <w:b/>
              </w:rPr>
            </w:pPr>
            <w:r>
              <w:rPr>
                <w:b/>
              </w:rPr>
              <w:t>Surcharge</w:t>
            </w:r>
          </w:p>
        </w:tc>
        <w:tc>
          <w:tcPr>
            <w:tcW w:w="1843" w:type="dxa"/>
          </w:tcPr>
          <w:p>
            <w:pPr>
              <w:pStyle w:val="yTable"/>
              <w:tabs>
                <w:tab w:val="left" w:pos="318"/>
              </w:tabs>
              <w:spacing w:before="0"/>
            </w:pPr>
          </w:p>
        </w:tc>
      </w:tr>
      <w:tr>
        <w:tc>
          <w:tcPr>
            <w:tcW w:w="4252" w:type="dxa"/>
          </w:tcPr>
          <w:p>
            <w:pPr>
              <w:pStyle w:val="yTable"/>
              <w:tabs>
                <w:tab w:val="left" w:pos="318"/>
              </w:tabs>
              <w:spacing w:before="0"/>
            </w:pPr>
            <w:r>
              <w:t>Christmas Day —</w:t>
            </w:r>
          </w:p>
          <w:p>
            <w:pPr>
              <w:pStyle w:val="yTable"/>
              <w:tabs>
                <w:tab w:val="left" w:pos="175"/>
              </w:tabs>
              <w:spacing w:before="0"/>
              <w:ind w:left="175" w:hanging="175"/>
            </w:pPr>
            <w:r>
              <w:tab/>
              <w:t>midnight to midnight</w:t>
            </w:r>
          </w:p>
        </w:tc>
        <w:tc>
          <w:tcPr>
            <w:tcW w:w="1843" w:type="dxa"/>
          </w:tcPr>
          <w:p>
            <w:pPr>
              <w:pStyle w:val="yTable"/>
              <w:tabs>
                <w:tab w:val="left" w:pos="318"/>
              </w:tabs>
              <w:spacing w:before="0"/>
            </w:pPr>
          </w:p>
          <w:p>
            <w:pPr>
              <w:pStyle w:val="yTable"/>
              <w:tabs>
                <w:tab w:val="left" w:pos="318"/>
              </w:tabs>
              <w:spacing w:before="0"/>
            </w:pPr>
            <w:r>
              <w:t>$3.85</w:t>
            </w:r>
          </w:p>
        </w:tc>
      </w:tr>
      <w:tr>
        <w:tc>
          <w:tcPr>
            <w:tcW w:w="4252" w:type="dxa"/>
          </w:tcPr>
          <w:p>
            <w:pPr>
              <w:pStyle w:val="yTable"/>
              <w:tabs>
                <w:tab w:val="left" w:pos="318"/>
              </w:tabs>
              <w:spacing w:before="0"/>
            </w:pPr>
            <w:r>
              <w:t>New Year’s Eve —</w:t>
            </w:r>
          </w:p>
          <w:p>
            <w:pPr>
              <w:pStyle w:val="yTable"/>
              <w:tabs>
                <w:tab w:val="left" w:pos="175"/>
              </w:tabs>
              <w:spacing w:before="0"/>
              <w:ind w:left="175" w:hanging="175"/>
            </w:pPr>
            <w:r>
              <w:tab/>
              <w:t xml:space="preserve">6 p.m. New Year’s Eve </w:t>
            </w:r>
          </w:p>
          <w:p>
            <w:pPr>
              <w:pStyle w:val="yTable"/>
              <w:tabs>
                <w:tab w:val="left" w:pos="175"/>
              </w:tabs>
              <w:spacing w:before="0"/>
              <w:ind w:left="175" w:hanging="175"/>
            </w:pPr>
            <w:r>
              <w:tab/>
              <w:t>to 6 a.m. New Year’s Day</w:t>
            </w:r>
          </w:p>
        </w:tc>
        <w:tc>
          <w:tcPr>
            <w:tcW w:w="1843" w:type="dxa"/>
          </w:tcPr>
          <w:p>
            <w:pPr>
              <w:pStyle w:val="yTable"/>
              <w:tabs>
                <w:tab w:val="left" w:pos="318"/>
              </w:tabs>
              <w:spacing w:before="0"/>
            </w:pPr>
          </w:p>
          <w:p>
            <w:pPr>
              <w:pStyle w:val="yTable"/>
              <w:tabs>
                <w:tab w:val="left" w:pos="318"/>
              </w:tabs>
              <w:spacing w:before="0"/>
            </w:pPr>
          </w:p>
          <w:p>
            <w:pPr>
              <w:pStyle w:val="yTable"/>
              <w:tabs>
                <w:tab w:val="left" w:pos="318"/>
              </w:tabs>
              <w:spacing w:before="0"/>
            </w:pPr>
            <w:r>
              <w:t>$4.30</w:t>
            </w:r>
          </w:p>
        </w:tc>
      </w:tr>
    </w:tbl>
    <w:p>
      <w:pPr>
        <w:pStyle w:val="yFootnotesection"/>
      </w:pPr>
      <w:r>
        <w:tab/>
        <w:t>[Part 6 amended in Gazette 24 Dec 2003 p. 5271; 10 Dec 2004 p. 5915 ; 21 Jan 2005 p. 274; 1 Dec 2005 p. 5800-1.]</w:t>
      </w:r>
    </w:p>
    <w:p>
      <w:pPr>
        <w:pStyle w:val="yMiscellaneousHeading"/>
        <w:rPr>
          <w:b/>
          <w:bCs/>
        </w:rPr>
      </w:pPr>
      <w:r>
        <w:rPr>
          <w:b/>
          <w:bCs/>
        </w:rPr>
        <w:t>Map</w:t>
      </w:r>
    </w:p>
    <w:p>
      <w:pPr>
        <w:pStyle w:val="yMiscellaneousHeading"/>
        <w:keepNext w:val="0"/>
        <w:keepLines/>
        <w:rPr>
          <w:b/>
          <w:i/>
        </w:rPr>
      </w:pPr>
      <w:r>
        <w:rPr>
          <w:b/>
          <w:i/>
        </w:rPr>
        <w:t>Map showing the regions set out in this Schedule</w:t>
      </w:r>
    </w:p>
    <w:bookmarkStart w:id="56" w:name="_MON_1015753582"/>
    <w:bookmarkStart w:id="57" w:name="_MON_1023008782"/>
    <w:bookmarkStart w:id="58" w:name="_MON_1036312504"/>
    <w:bookmarkStart w:id="59" w:name="_MON_1036390693"/>
    <w:bookmarkEnd w:id="56"/>
    <w:bookmarkEnd w:id="57"/>
    <w:bookmarkEnd w:id="58"/>
    <w:bookmarkEnd w:id="59"/>
    <w:bookmarkStart w:id="60" w:name="_MON_1015752810"/>
    <w:bookmarkEnd w:id="60"/>
    <w:p>
      <w:pPr>
        <w:pStyle w:val="Graphics"/>
        <w:jc w:val="center"/>
      </w:pPr>
      <w:r>
        <w:object w:dxaOrig="7067" w:dyaOrig="9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14pt" o:ole="" fillcolor="window">
            <v:imagedata r:id="rId25" o:title=""/>
          </v:shape>
          <o:OLEObject Type="Embed" ProgID="Word.Picture.8" ShapeID="_x0000_i1025" DrawAspect="Content" ObjectID="_1598104229" r:id="rId26"/>
        </w:object>
      </w:r>
    </w:p>
    <w:p>
      <w:pPr>
        <w:pStyle w:val="yFootnotesection"/>
      </w:pPr>
      <w:r>
        <w:tab/>
        <w:t>[Schedule 1 inserted in Gazette 28 March 2000 pp.1688</w:t>
      </w:r>
      <w:r>
        <w:noBreakHyphen/>
        <w:t>94; amended in Gazette 20 June 2000 pp.3072-5; 21 November 2000 pp.6326-9; 24 December 2002 p. 6606; 24 Dec 2003 p. 5267-71 ; 21 Jan 2005 p. 271-4.]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1" w:name="_Toc90434964"/>
      <w:bookmarkStart w:id="62" w:name="_Toc93999555"/>
      <w:bookmarkStart w:id="63" w:name="_Toc94065531"/>
      <w:bookmarkStart w:id="64" w:name="_Toc94065555"/>
      <w:bookmarkStart w:id="65" w:name="_Toc121125121"/>
      <w:r>
        <w:t>Notes</w:t>
      </w:r>
      <w:bookmarkEnd w:id="61"/>
      <w:bookmarkEnd w:id="62"/>
      <w:bookmarkEnd w:id="63"/>
      <w:bookmarkEnd w:id="64"/>
      <w:bookmarkEnd w:id="65"/>
    </w:p>
    <w:p>
      <w:pPr>
        <w:pStyle w:val="nSubsection"/>
        <w:rPr>
          <w:snapToGrid w:val="0"/>
        </w:rPr>
      </w:pPr>
      <w:bookmarkStart w:id="66"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w:t>
      </w:r>
    </w:p>
    <w:p>
      <w:pPr>
        <w:pStyle w:val="nHeading3"/>
        <w:rPr>
          <w:snapToGrid w:val="0"/>
        </w:rPr>
      </w:pPr>
      <w:bookmarkStart w:id="67" w:name="_Toc121125122"/>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Regulations 1991</w:t>
            </w:r>
          </w:p>
        </w:tc>
        <w:tc>
          <w:tcPr>
            <w:tcW w:w="1276" w:type="dxa"/>
          </w:tcPr>
          <w:p>
            <w:pPr>
              <w:pStyle w:val="nTable"/>
              <w:spacing w:before="120"/>
              <w:rPr>
                <w:sz w:val="19"/>
              </w:rPr>
            </w:pPr>
            <w:r>
              <w:rPr>
                <w:sz w:val="19"/>
              </w:rPr>
              <w:t>19 Apr 1991 p. 1815</w:t>
            </w:r>
            <w:r>
              <w:rPr>
                <w:sz w:val="19"/>
              </w:rPr>
              <w:noBreakHyphen/>
              <w:t>20</w:t>
            </w:r>
          </w:p>
        </w:tc>
        <w:tc>
          <w:tcPr>
            <w:tcW w:w="2693" w:type="dxa"/>
          </w:tcPr>
          <w:p>
            <w:pPr>
              <w:pStyle w:val="nTable"/>
              <w:spacing w:before="120"/>
              <w:rPr>
                <w:sz w:val="19"/>
              </w:rPr>
            </w:pPr>
            <w:r>
              <w:rPr>
                <w:sz w:val="19"/>
              </w:rPr>
              <w:t>19 Apr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1991</w:t>
            </w:r>
          </w:p>
        </w:tc>
        <w:tc>
          <w:tcPr>
            <w:tcW w:w="1276" w:type="dxa"/>
          </w:tcPr>
          <w:p>
            <w:pPr>
              <w:pStyle w:val="nTable"/>
              <w:spacing w:before="120"/>
              <w:rPr>
                <w:sz w:val="19"/>
              </w:rPr>
            </w:pPr>
            <w:r>
              <w:rPr>
                <w:sz w:val="19"/>
              </w:rPr>
              <w:t>12 Jul 1991 p. 3484</w:t>
            </w:r>
            <w:r>
              <w:rPr>
                <w:sz w:val="19"/>
              </w:rPr>
              <w:noBreakHyphen/>
              <w:t>6</w:t>
            </w:r>
          </w:p>
        </w:tc>
        <w:tc>
          <w:tcPr>
            <w:tcW w:w="2693" w:type="dxa"/>
          </w:tcPr>
          <w:p>
            <w:pPr>
              <w:pStyle w:val="nTable"/>
              <w:spacing w:before="120"/>
              <w:rPr>
                <w:sz w:val="19"/>
              </w:rPr>
            </w:pPr>
            <w:r>
              <w:rPr>
                <w:sz w:val="19"/>
              </w:rPr>
              <w:t>12 Jul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1991</w:t>
            </w:r>
          </w:p>
        </w:tc>
        <w:tc>
          <w:tcPr>
            <w:tcW w:w="1276" w:type="dxa"/>
          </w:tcPr>
          <w:p>
            <w:pPr>
              <w:pStyle w:val="nTable"/>
              <w:spacing w:before="120"/>
              <w:rPr>
                <w:sz w:val="19"/>
              </w:rPr>
            </w:pPr>
            <w:r>
              <w:rPr>
                <w:sz w:val="19"/>
              </w:rPr>
              <w:t>2 Aug 1991 p. 4080</w:t>
            </w:r>
            <w:r>
              <w:rPr>
                <w:sz w:val="19"/>
              </w:rPr>
              <w:noBreakHyphen/>
              <w:t>1</w:t>
            </w:r>
          </w:p>
        </w:tc>
        <w:tc>
          <w:tcPr>
            <w:tcW w:w="2693" w:type="dxa"/>
          </w:tcPr>
          <w:p>
            <w:pPr>
              <w:pStyle w:val="nTable"/>
              <w:spacing w:before="120"/>
              <w:rPr>
                <w:sz w:val="19"/>
              </w:rPr>
            </w:pPr>
            <w:r>
              <w:rPr>
                <w:sz w:val="19"/>
              </w:rPr>
              <w:t>2 Aug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1991</w:t>
            </w:r>
          </w:p>
        </w:tc>
        <w:tc>
          <w:tcPr>
            <w:tcW w:w="1276" w:type="dxa"/>
          </w:tcPr>
          <w:p>
            <w:pPr>
              <w:pStyle w:val="nTable"/>
              <w:spacing w:before="120"/>
              <w:rPr>
                <w:sz w:val="19"/>
              </w:rPr>
            </w:pPr>
            <w:r>
              <w:rPr>
                <w:sz w:val="19"/>
              </w:rPr>
              <w:t>6 Sep 1991 p. 4717</w:t>
            </w:r>
            <w:r>
              <w:rPr>
                <w:sz w:val="19"/>
              </w:rPr>
              <w:noBreakHyphen/>
              <w:t>18</w:t>
            </w:r>
          </w:p>
        </w:tc>
        <w:tc>
          <w:tcPr>
            <w:tcW w:w="2693" w:type="dxa"/>
          </w:tcPr>
          <w:p>
            <w:pPr>
              <w:pStyle w:val="nTable"/>
              <w:spacing w:before="120"/>
              <w:rPr>
                <w:sz w:val="19"/>
              </w:rPr>
            </w:pPr>
            <w:r>
              <w:rPr>
                <w:sz w:val="19"/>
              </w:rPr>
              <w:t>6 Sep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4) 1991</w:t>
            </w:r>
          </w:p>
        </w:tc>
        <w:tc>
          <w:tcPr>
            <w:tcW w:w="1276" w:type="dxa"/>
          </w:tcPr>
          <w:p>
            <w:pPr>
              <w:pStyle w:val="nTable"/>
              <w:spacing w:before="120"/>
              <w:rPr>
                <w:sz w:val="19"/>
              </w:rPr>
            </w:pPr>
            <w:r>
              <w:rPr>
                <w:sz w:val="19"/>
              </w:rPr>
              <w:t>11 Oct 1991 p. 5236</w:t>
            </w:r>
            <w:r>
              <w:rPr>
                <w:sz w:val="19"/>
              </w:rPr>
              <w:noBreakHyphen/>
              <w:t>7</w:t>
            </w:r>
          </w:p>
        </w:tc>
        <w:tc>
          <w:tcPr>
            <w:tcW w:w="2693" w:type="dxa"/>
          </w:tcPr>
          <w:p>
            <w:pPr>
              <w:pStyle w:val="nTable"/>
              <w:spacing w:before="120"/>
              <w:rPr>
                <w:sz w:val="19"/>
              </w:rPr>
            </w:pPr>
            <w:r>
              <w:rPr>
                <w:sz w:val="19"/>
              </w:rPr>
              <w:t>11 Oct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5) 1991</w:t>
            </w:r>
          </w:p>
        </w:tc>
        <w:tc>
          <w:tcPr>
            <w:tcW w:w="1276" w:type="dxa"/>
          </w:tcPr>
          <w:p>
            <w:pPr>
              <w:pStyle w:val="nTable"/>
              <w:spacing w:before="120"/>
              <w:rPr>
                <w:sz w:val="19"/>
              </w:rPr>
            </w:pPr>
            <w:r>
              <w:rPr>
                <w:sz w:val="19"/>
              </w:rPr>
              <w:t>29 Nov 1991 p. 6044</w:t>
            </w:r>
            <w:r>
              <w:rPr>
                <w:sz w:val="19"/>
              </w:rPr>
              <w:noBreakHyphen/>
              <w:t>5</w:t>
            </w:r>
          </w:p>
        </w:tc>
        <w:tc>
          <w:tcPr>
            <w:tcW w:w="2693" w:type="dxa"/>
          </w:tcPr>
          <w:p>
            <w:pPr>
              <w:pStyle w:val="nTable"/>
              <w:spacing w:before="120"/>
              <w:rPr>
                <w:sz w:val="19"/>
              </w:rPr>
            </w:pPr>
            <w:r>
              <w:rPr>
                <w:sz w:val="19"/>
              </w:rPr>
              <w:t>29 Nov 1991</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1992</w:t>
            </w:r>
          </w:p>
        </w:tc>
        <w:tc>
          <w:tcPr>
            <w:tcW w:w="1276" w:type="dxa"/>
          </w:tcPr>
          <w:p>
            <w:pPr>
              <w:pStyle w:val="nTable"/>
              <w:spacing w:before="120"/>
              <w:rPr>
                <w:sz w:val="19"/>
              </w:rPr>
            </w:pPr>
            <w:r>
              <w:rPr>
                <w:sz w:val="19"/>
              </w:rPr>
              <w:t>14 Aug 1992 p. 4068</w:t>
            </w:r>
            <w:r>
              <w:rPr>
                <w:sz w:val="19"/>
              </w:rPr>
              <w:noBreakHyphen/>
              <w:t>9</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1993</w:t>
            </w:r>
          </w:p>
        </w:tc>
        <w:tc>
          <w:tcPr>
            <w:tcW w:w="1276" w:type="dxa"/>
          </w:tcPr>
          <w:p>
            <w:pPr>
              <w:pStyle w:val="nTable"/>
              <w:spacing w:before="120"/>
              <w:rPr>
                <w:sz w:val="19"/>
              </w:rPr>
            </w:pPr>
            <w:r>
              <w:rPr>
                <w:sz w:val="19"/>
              </w:rPr>
              <w:t>1 Oct 1993 p. 5394</w:t>
            </w:r>
            <w:r>
              <w:rPr>
                <w:sz w:val="19"/>
              </w:rPr>
              <w:noBreakHyphen/>
              <w:t>5</w:t>
            </w:r>
          </w:p>
        </w:tc>
        <w:tc>
          <w:tcPr>
            <w:tcW w:w="2693" w:type="dxa"/>
          </w:tcPr>
          <w:p>
            <w:pPr>
              <w:pStyle w:val="nTable"/>
              <w:spacing w:before="120"/>
              <w:rPr>
                <w:sz w:val="19"/>
              </w:rPr>
            </w:pPr>
            <w:r>
              <w:rPr>
                <w:sz w:val="19"/>
              </w:rPr>
              <w:t>4 Oct 1993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1994</w:t>
            </w:r>
          </w:p>
        </w:tc>
        <w:tc>
          <w:tcPr>
            <w:tcW w:w="1276" w:type="dxa"/>
          </w:tcPr>
          <w:p>
            <w:pPr>
              <w:pStyle w:val="nTable"/>
              <w:spacing w:before="120"/>
              <w:rPr>
                <w:sz w:val="19"/>
              </w:rPr>
            </w:pPr>
            <w:r>
              <w:rPr>
                <w:sz w:val="19"/>
              </w:rPr>
              <w:t>4 Mar 1994 p. 899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1994</w:t>
            </w:r>
          </w:p>
        </w:tc>
        <w:tc>
          <w:tcPr>
            <w:tcW w:w="1276" w:type="dxa"/>
          </w:tcPr>
          <w:p>
            <w:pPr>
              <w:pStyle w:val="nTable"/>
              <w:spacing w:before="120"/>
              <w:rPr>
                <w:sz w:val="19"/>
              </w:rPr>
            </w:pPr>
            <w:r>
              <w:rPr>
                <w:sz w:val="19"/>
              </w:rPr>
              <w:t>10 Jun 1994 p. 2418</w:t>
            </w:r>
            <w:r>
              <w:rPr>
                <w:sz w:val="19"/>
              </w:rPr>
              <w:noBreakHyphen/>
              <w:t>9</w:t>
            </w:r>
          </w:p>
        </w:tc>
        <w:tc>
          <w:tcPr>
            <w:tcW w:w="2693" w:type="dxa"/>
          </w:tcPr>
          <w:p>
            <w:pPr>
              <w:pStyle w:val="nTable"/>
              <w:spacing w:before="120"/>
              <w:rPr>
                <w:sz w:val="19"/>
              </w:rPr>
            </w:pPr>
            <w:r>
              <w:rPr>
                <w:sz w:val="19"/>
              </w:rPr>
              <w:t>13 Jun 1994 (see r. 2)</w:t>
            </w:r>
          </w:p>
        </w:tc>
      </w:tr>
      <w:tr>
        <w:trPr>
          <w:cantSplit/>
        </w:trPr>
        <w:tc>
          <w:tcPr>
            <w:tcW w:w="3119" w:type="dxa"/>
          </w:tcPr>
          <w:p>
            <w:pPr>
              <w:pStyle w:val="nTable"/>
              <w:keepNext/>
              <w:spacing w:before="12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before="120"/>
              <w:rPr>
                <w:sz w:val="19"/>
              </w:rPr>
            </w:pPr>
            <w:r>
              <w:rPr>
                <w:sz w:val="19"/>
              </w:rPr>
              <w:t>30 Sep 1994 p. 5057</w:t>
            </w:r>
            <w:r>
              <w:rPr>
                <w:sz w:val="19"/>
              </w:rPr>
              <w:noBreakHyphen/>
              <w:t>8</w:t>
            </w:r>
          </w:p>
        </w:tc>
        <w:tc>
          <w:tcPr>
            <w:tcW w:w="2693" w:type="dxa"/>
          </w:tcPr>
          <w:p>
            <w:pPr>
              <w:pStyle w:val="nTable"/>
              <w:keepNext/>
              <w:spacing w:before="120"/>
              <w:rPr>
                <w:sz w:val="19"/>
              </w:rPr>
            </w:pPr>
            <w:r>
              <w:rPr>
                <w:sz w:val="19"/>
              </w:rPr>
              <w:t>3 Oct 1994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1995</w:t>
            </w:r>
          </w:p>
        </w:tc>
        <w:tc>
          <w:tcPr>
            <w:tcW w:w="1276" w:type="dxa"/>
          </w:tcPr>
          <w:p>
            <w:pPr>
              <w:pStyle w:val="nTable"/>
              <w:spacing w:before="120"/>
              <w:rPr>
                <w:sz w:val="19"/>
              </w:rPr>
            </w:pPr>
            <w:r>
              <w:rPr>
                <w:sz w:val="19"/>
              </w:rPr>
              <w:t>30 Jun 1995 p. 2696</w:t>
            </w:r>
            <w:r>
              <w:rPr>
                <w:sz w:val="19"/>
              </w:rPr>
              <w:noBreakHyphen/>
              <w:t>7</w:t>
            </w:r>
          </w:p>
        </w:tc>
        <w:tc>
          <w:tcPr>
            <w:tcW w:w="2693" w:type="dxa"/>
          </w:tcPr>
          <w:p>
            <w:pPr>
              <w:pStyle w:val="nTable"/>
              <w:spacing w:before="120"/>
              <w:rPr>
                <w:sz w:val="19"/>
              </w:rPr>
            </w:pPr>
            <w:r>
              <w:rPr>
                <w:sz w:val="19"/>
              </w:rPr>
              <w:t>3 Jul 1995 (see r. 2)</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1996</w:t>
            </w:r>
          </w:p>
        </w:tc>
        <w:tc>
          <w:tcPr>
            <w:tcW w:w="1276" w:type="dxa"/>
          </w:tcPr>
          <w:p>
            <w:pPr>
              <w:pStyle w:val="nTable"/>
              <w:spacing w:before="120"/>
              <w:rPr>
                <w:sz w:val="19"/>
              </w:rPr>
            </w:pPr>
            <w:r>
              <w:rPr>
                <w:sz w:val="19"/>
              </w:rPr>
              <w:t>23 Feb 1996 p. 683</w:t>
            </w:r>
            <w:r>
              <w:rPr>
                <w:sz w:val="19"/>
              </w:rPr>
              <w:noBreakHyphen/>
              <w:t>4</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120"/>
              <w:rPr>
                <w:sz w:val="19"/>
              </w:rPr>
            </w:pPr>
            <w:r>
              <w:rPr>
                <w:sz w:val="19"/>
              </w:rPr>
              <w:t>23 Feb 1996 p. 685</w:t>
            </w:r>
            <w:r>
              <w:rPr>
                <w:sz w:val="19"/>
              </w:rPr>
              <w:noBreakHyphen/>
              <w:t>7</w:t>
            </w:r>
          </w:p>
        </w:tc>
        <w:tc>
          <w:tcPr>
            <w:tcW w:w="2693" w:type="dxa"/>
          </w:tcPr>
          <w:p>
            <w:pPr>
              <w:pStyle w:val="nTable"/>
              <w:spacing w:before="120"/>
              <w:rPr>
                <w:sz w:val="19"/>
              </w:rPr>
            </w:pPr>
            <w:r>
              <w:rPr>
                <w:sz w:val="19"/>
              </w:rPr>
              <w:t>23 Feb 1996</w:t>
            </w:r>
          </w:p>
        </w:tc>
      </w:tr>
      <w:tr>
        <w:trPr>
          <w:cantSplit/>
        </w:trPr>
        <w:tc>
          <w:tcPr>
            <w:tcW w:w="3119" w:type="dxa"/>
          </w:tcPr>
          <w:p>
            <w:pPr>
              <w:pStyle w:val="nTable"/>
              <w:spacing w:before="12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120"/>
              <w:rPr>
                <w:sz w:val="19"/>
              </w:rPr>
            </w:pPr>
            <w:r>
              <w:rPr>
                <w:sz w:val="19"/>
              </w:rPr>
              <w:t>7 Jun 1996 p. 2423</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i/>
                <w:sz w:val="19"/>
              </w:rPr>
            </w:pPr>
            <w:r>
              <w:rPr>
                <w:i/>
                <w:sz w:val="19"/>
              </w:rPr>
              <w:t>Country Taxi</w:t>
            </w:r>
            <w:r>
              <w:rPr>
                <w:i/>
                <w:sz w:val="19"/>
              </w:rPr>
              <w:noBreakHyphen/>
              <w:t>cars (Fares and Charges) Amendment Regulations 2000</w:t>
            </w:r>
          </w:p>
        </w:tc>
        <w:tc>
          <w:tcPr>
            <w:tcW w:w="1276" w:type="dxa"/>
          </w:tcPr>
          <w:p>
            <w:pPr>
              <w:pStyle w:val="nTable"/>
              <w:spacing w:before="120"/>
              <w:rPr>
                <w:sz w:val="19"/>
              </w:rPr>
            </w:pPr>
            <w:r>
              <w:rPr>
                <w:sz w:val="19"/>
              </w:rPr>
              <w:t>28 Mar 2000 p. 1688</w:t>
            </w:r>
            <w:r>
              <w:rPr>
                <w:sz w:val="19"/>
              </w:rPr>
              <w:noBreakHyphen/>
              <w:t>94</w:t>
            </w:r>
          </w:p>
        </w:tc>
        <w:tc>
          <w:tcPr>
            <w:tcW w:w="2693" w:type="dxa"/>
          </w:tcPr>
          <w:p>
            <w:pPr>
              <w:pStyle w:val="nTable"/>
              <w:spacing w:before="120"/>
              <w:rPr>
                <w:sz w:val="19"/>
              </w:rPr>
            </w:pPr>
            <w:r>
              <w:rPr>
                <w:sz w:val="19"/>
              </w:rPr>
              <w:t>28 Mar 2000</w:t>
            </w:r>
          </w:p>
        </w:tc>
      </w:tr>
      <w:tr>
        <w:trPr>
          <w:cantSplit/>
        </w:trPr>
        <w:tc>
          <w:tcPr>
            <w:tcW w:w="3119" w:type="dxa"/>
          </w:tcPr>
          <w:p>
            <w:pPr>
              <w:pStyle w:val="nTable"/>
              <w:spacing w:before="120"/>
              <w:ind w:right="113"/>
              <w:rPr>
                <w:i/>
                <w:sz w:val="19"/>
              </w:rPr>
            </w:pPr>
            <w:r>
              <w:rPr>
                <w:i/>
                <w:sz w:val="19"/>
              </w:rPr>
              <w:t>Country Taxi-cars (Fares and Charges) Amendment Regulations (No. 2) 2000</w:t>
            </w:r>
          </w:p>
        </w:tc>
        <w:tc>
          <w:tcPr>
            <w:tcW w:w="1276" w:type="dxa"/>
          </w:tcPr>
          <w:p>
            <w:pPr>
              <w:pStyle w:val="nTable"/>
              <w:spacing w:before="120"/>
              <w:rPr>
                <w:sz w:val="19"/>
              </w:rPr>
            </w:pPr>
            <w:r>
              <w:rPr>
                <w:sz w:val="19"/>
              </w:rPr>
              <w:t>20 Jun 2000 p. 3071-5</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Country Taxi-Cars (Fares and Charges) Amendment Regulations (No. 3) 2000</w:t>
            </w:r>
          </w:p>
        </w:tc>
        <w:tc>
          <w:tcPr>
            <w:tcW w:w="1276" w:type="dxa"/>
          </w:tcPr>
          <w:p>
            <w:pPr>
              <w:pStyle w:val="nTable"/>
              <w:spacing w:before="120"/>
              <w:rPr>
                <w:sz w:val="19"/>
              </w:rPr>
            </w:pPr>
            <w:r>
              <w:rPr>
                <w:sz w:val="19"/>
              </w:rPr>
              <w:t>21 Nov 2000 p. 6326-9</w:t>
            </w:r>
          </w:p>
        </w:tc>
        <w:tc>
          <w:tcPr>
            <w:tcW w:w="2693" w:type="dxa"/>
          </w:tcPr>
          <w:p>
            <w:pPr>
              <w:pStyle w:val="nTable"/>
              <w:spacing w:before="120"/>
              <w:rPr>
                <w:sz w:val="19"/>
              </w:rPr>
            </w:pPr>
            <w:r>
              <w:rPr>
                <w:sz w:val="19"/>
              </w:rPr>
              <w:t>21 Nov 2000</w:t>
            </w:r>
          </w:p>
        </w:tc>
      </w:tr>
      <w:tr>
        <w:trPr>
          <w:cantSplit/>
        </w:trPr>
        <w:tc>
          <w:tcPr>
            <w:tcW w:w="3119" w:type="dxa"/>
          </w:tcPr>
          <w:p>
            <w:pPr>
              <w:pStyle w:val="nTable"/>
              <w:spacing w:before="120"/>
              <w:ind w:right="113"/>
              <w:rPr>
                <w:i/>
                <w:sz w:val="19"/>
              </w:rPr>
            </w:pPr>
            <w:r>
              <w:rPr>
                <w:i/>
                <w:sz w:val="19"/>
              </w:rPr>
              <w:t>Country Taxi-cars (Fares and Charges) Amendment Regulations 2002</w:t>
            </w:r>
          </w:p>
        </w:tc>
        <w:tc>
          <w:tcPr>
            <w:tcW w:w="1276" w:type="dxa"/>
          </w:tcPr>
          <w:p>
            <w:pPr>
              <w:pStyle w:val="nTable"/>
              <w:spacing w:before="120"/>
              <w:rPr>
                <w:sz w:val="19"/>
              </w:rPr>
            </w:pPr>
            <w:r>
              <w:rPr>
                <w:sz w:val="19"/>
              </w:rPr>
              <w:t>24 Dec 2002 p. 6605-6</w:t>
            </w:r>
          </w:p>
        </w:tc>
        <w:tc>
          <w:tcPr>
            <w:tcW w:w="2693" w:type="dxa"/>
          </w:tcPr>
          <w:p>
            <w:pPr>
              <w:pStyle w:val="nTable"/>
              <w:spacing w:before="120"/>
              <w:rPr>
                <w:sz w:val="19"/>
              </w:rPr>
            </w:pPr>
            <w:r>
              <w:rPr>
                <w:sz w:val="19"/>
              </w:rPr>
              <w:t>24 Dec 2002</w:t>
            </w:r>
          </w:p>
        </w:tc>
      </w:tr>
      <w:tr>
        <w:trPr>
          <w:cantSplit/>
        </w:trPr>
        <w:tc>
          <w:tcPr>
            <w:tcW w:w="3119" w:type="dxa"/>
          </w:tcPr>
          <w:p>
            <w:pPr>
              <w:pStyle w:val="nTable"/>
              <w:spacing w:before="120"/>
              <w:ind w:right="113"/>
              <w:rPr>
                <w:i/>
                <w:sz w:val="19"/>
              </w:rPr>
            </w:pPr>
            <w:r>
              <w:rPr>
                <w:i/>
                <w:noProof/>
                <w:snapToGrid w:val="0"/>
                <w:sz w:val="19"/>
              </w:rPr>
              <w:t>Country Taxi-cars (Fares and Charges) Amendment Regulations 2003</w:t>
            </w:r>
          </w:p>
        </w:tc>
        <w:tc>
          <w:tcPr>
            <w:tcW w:w="1276" w:type="dxa"/>
          </w:tcPr>
          <w:p>
            <w:pPr>
              <w:pStyle w:val="nTable"/>
              <w:spacing w:before="120"/>
              <w:rPr>
                <w:sz w:val="19"/>
              </w:rPr>
            </w:pPr>
            <w:r>
              <w:rPr>
                <w:sz w:val="19"/>
              </w:rPr>
              <w:t>24 Dec 2003 p. 5267-71</w:t>
            </w:r>
          </w:p>
        </w:tc>
        <w:tc>
          <w:tcPr>
            <w:tcW w:w="2693" w:type="dxa"/>
          </w:tcPr>
          <w:p>
            <w:pPr>
              <w:pStyle w:val="nTable"/>
              <w:spacing w:before="120"/>
              <w:rPr>
                <w:sz w:val="19"/>
              </w:rPr>
            </w:pPr>
            <w:r>
              <w:rPr>
                <w:sz w:val="19"/>
              </w:rPr>
              <w:t>24 Dec 2003</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2004</w:t>
            </w:r>
          </w:p>
        </w:tc>
        <w:tc>
          <w:tcPr>
            <w:tcW w:w="1276" w:type="dxa"/>
          </w:tcPr>
          <w:p>
            <w:pPr>
              <w:pStyle w:val="nTable"/>
              <w:spacing w:before="120"/>
              <w:rPr>
                <w:sz w:val="19"/>
              </w:rPr>
            </w:pPr>
            <w:r>
              <w:rPr>
                <w:sz w:val="19"/>
              </w:rPr>
              <w:t>10 Dec 2004 p. 5911-15</w:t>
            </w:r>
          </w:p>
        </w:tc>
        <w:tc>
          <w:tcPr>
            <w:tcW w:w="2693" w:type="dxa"/>
          </w:tcPr>
          <w:p>
            <w:pPr>
              <w:pStyle w:val="nTable"/>
              <w:spacing w:before="120"/>
              <w:rPr>
                <w:sz w:val="19"/>
              </w:rPr>
            </w:pPr>
            <w:r>
              <w:rPr>
                <w:sz w:val="19"/>
              </w:rPr>
              <w:t>10 Dec 2004</w:t>
            </w:r>
          </w:p>
        </w:tc>
      </w:tr>
      <w:tr>
        <w:trPr>
          <w:cantSplit/>
        </w:trPr>
        <w:tc>
          <w:tcPr>
            <w:tcW w:w="3119" w:type="dxa"/>
          </w:tcPr>
          <w:p>
            <w:pPr>
              <w:pStyle w:val="nTable"/>
              <w:spacing w:before="120"/>
              <w:ind w:right="113"/>
              <w:rPr>
                <w:i/>
                <w:noProof/>
                <w:snapToGrid w:val="0"/>
                <w:sz w:val="19"/>
              </w:rPr>
            </w:pPr>
            <w:r>
              <w:rPr>
                <w:i/>
                <w:noProof/>
                <w:snapToGrid w:val="0"/>
                <w:sz w:val="19"/>
              </w:rPr>
              <w:t>Country Taxi-cars (Fares and Charges) Amendment Regulations 2005</w:t>
            </w:r>
          </w:p>
        </w:tc>
        <w:tc>
          <w:tcPr>
            <w:tcW w:w="1276" w:type="dxa"/>
          </w:tcPr>
          <w:p>
            <w:pPr>
              <w:pStyle w:val="nTable"/>
              <w:spacing w:before="120"/>
              <w:rPr>
                <w:sz w:val="19"/>
              </w:rPr>
            </w:pPr>
            <w:r>
              <w:rPr>
                <w:sz w:val="19"/>
              </w:rPr>
              <w:t>21 Jan 2005 p. 270</w:t>
            </w:r>
            <w:r>
              <w:rPr>
                <w:sz w:val="19"/>
              </w:rPr>
              <w:noBreakHyphen/>
              <w:t>4</w:t>
            </w:r>
          </w:p>
        </w:tc>
        <w:tc>
          <w:tcPr>
            <w:tcW w:w="2693" w:type="dxa"/>
          </w:tcPr>
          <w:p>
            <w:pPr>
              <w:pStyle w:val="nTable"/>
              <w:spacing w:before="120"/>
              <w:rPr>
                <w:sz w:val="19"/>
              </w:rPr>
            </w:pPr>
            <w:r>
              <w:rPr>
                <w:sz w:val="19"/>
              </w:rPr>
              <w:t>21 Jan 2005</w:t>
            </w:r>
          </w:p>
        </w:tc>
      </w:tr>
      <w:tr>
        <w:trPr>
          <w:cantSplit/>
        </w:trPr>
        <w:tc>
          <w:tcPr>
            <w:tcW w:w="3119" w:type="dxa"/>
            <w:tcBorders>
              <w:bottom w:val="single" w:sz="4" w:space="0" w:color="auto"/>
            </w:tcBorders>
          </w:tcPr>
          <w:p>
            <w:pPr>
              <w:pStyle w:val="nTable"/>
              <w:spacing w:before="120"/>
              <w:ind w:right="113"/>
              <w:rPr>
                <w:i/>
                <w:noProof/>
                <w:snapToGrid w:val="0"/>
                <w:sz w:val="19"/>
              </w:rPr>
            </w:pPr>
            <w:r>
              <w:rPr>
                <w:i/>
                <w:noProof/>
                <w:snapToGrid w:val="0"/>
                <w:sz w:val="19"/>
              </w:rPr>
              <w:t>Country Taxi-cars (Fares and Charges) Amendment Regulations (No. 3) 2005</w:t>
            </w:r>
          </w:p>
        </w:tc>
        <w:tc>
          <w:tcPr>
            <w:tcW w:w="1276" w:type="dxa"/>
            <w:tcBorders>
              <w:bottom w:val="single" w:sz="4" w:space="0" w:color="auto"/>
            </w:tcBorders>
          </w:tcPr>
          <w:p>
            <w:pPr>
              <w:pStyle w:val="nTable"/>
              <w:spacing w:before="120"/>
              <w:rPr>
                <w:sz w:val="19"/>
              </w:rPr>
            </w:pPr>
            <w:r>
              <w:rPr>
                <w:sz w:val="19"/>
              </w:rPr>
              <w:t>1 Dec 2005 p. 5791-801</w:t>
            </w:r>
          </w:p>
        </w:tc>
        <w:tc>
          <w:tcPr>
            <w:tcW w:w="2693" w:type="dxa"/>
            <w:tcBorders>
              <w:bottom w:val="single" w:sz="4" w:space="0" w:color="auto"/>
            </w:tcBorders>
          </w:tcPr>
          <w:p>
            <w:pPr>
              <w:pStyle w:val="nTable"/>
              <w:spacing w:before="120"/>
              <w:rPr>
                <w:sz w:val="19"/>
              </w:rPr>
            </w:pPr>
            <w:r>
              <w:rPr>
                <w:sz w:val="19"/>
              </w:rPr>
              <w:t>1 Dec 2005</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C17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A1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D6B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EC0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96EA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2E3C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486C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AE60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2E8898"/>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44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79899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C7E7ED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3206</Words>
  <Characters>16033</Characters>
  <Application>Microsoft Office Word</Application>
  <DocSecurity>0</DocSecurity>
  <Lines>1145</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1991 - 01-g0-03</dc:title>
  <dc:subject/>
  <dc:creator/>
  <cp:keywords/>
  <dc:description/>
  <cp:lastModifiedBy>svcMRProcess</cp:lastModifiedBy>
  <cp:revision>4</cp:revision>
  <cp:lastPrinted>2000-04-26T05:55:00Z</cp:lastPrinted>
  <dcterms:created xsi:type="dcterms:W3CDTF">2018-09-10T09:04:00Z</dcterms:created>
  <dcterms:modified xsi:type="dcterms:W3CDTF">2018-09-10T09:04:00Z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20051201</vt:lpwstr>
  </property>
  <property fmtid="{D5CDD505-2E9C-101B-9397-08002B2CF9AE}" pid="4" name="DocumentType">
    <vt:lpwstr>Reg</vt:lpwstr>
  </property>
  <property fmtid="{D5CDD505-2E9C-101B-9397-08002B2CF9AE}" pid="5" name="OwlsUID">
    <vt:i4>4376</vt:i4>
  </property>
  <property fmtid="{D5CDD505-2E9C-101B-9397-08002B2CF9AE}" pid="6" name="AsAtDate">
    <vt:lpwstr>01 Dec 2005</vt:lpwstr>
  </property>
  <property fmtid="{D5CDD505-2E9C-101B-9397-08002B2CF9AE}" pid="7" name="Suffix">
    <vt:lpwstr>01-g0-03</vt:lpwstr>
  </property>
</Properties>
</file>