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Employment Agents Act 1976</w:t>
      </w:r>
      <w:r>
        <w:rPr>
          <w:sz w:val="48"/>
        </w:rPr>
        <w:fldChar w:fldCharType="end"/>
      </w:r>
    </w:p>
    <w:p>
      <w:pPr>
        <w:pStyle w:val="ReprintNo"/>
      </w:pPr>
      <w:r>
        <w:t>Reprint 3:  The Act as at 5 February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72CFA" w:rsidRDefault="00D72CF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72CFA" w:rsidRDefault="00D72CF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72CFA" w:rsidRDefault="00D72CF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72CFA" w:rsidRDefault="00D72CF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s>
        <w:ind w:left="1134" w:hanging="284"/>
        <w:rPr>
          <w:sz w:val="20"/>
        </w:rPr>
      </w:pPr>
      <w:r>
        <w:rPr>
          <w:sz w:val="20"/>
        </w:rPr>
        <w:t>removed (because it was repealed or deleted from the law); or</w:t>
      </w:r>
    </w:p>
    <w:p>
      <w:pPr>
        <w:numPr>
          <w:ilvl w:val="0"/>
          <w:numId w:val="2"/>
        </w:numPr>
        <w:tabs>
          <w:tab w:val="clear" w:pos="720"/>
        </w:tabs>
        <w:ind w:left="1134" w:hanging="284"/>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_Toc442255204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_Toc442255205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_Toc442255206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Employment agents</w:t>
      </w:r>
      <w:r>
        <w:tab/>
      </w:r>
      <w:r>
        <w:fldChar w:fldCharType="begin"/>
      </w:r>
      <w:r>
        <w:instrText xml:space="preserve"> PAGEREF _Toc442255207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this Act</w:t>
      </w:r>
      <w:r>
        <w:tab/>
      </w:r>
      <w:r>
        <w:fldChar w:fldCharType="begin"/>
      </w:r>
      <w:r>
        <w:instrText xml:space="preserve"> PAGEREF _Toc442255208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w:t>
      </w:r>
      <w:r>
        <w:tab/>
      </w:r>
      <w:r>
        <w:fldChar w:fldCharType="begin"/>
      </w:r>
      <w:r>
        <w:instrText xml:space="preserve"> PAGEREF _Toc442255209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Employment of seamen</w:t>
      </w:r>
      <w:r>
        <w:tab/>
      </w:r>
      <w:r>
        <w:fldChar w:fldCharType="begin"/>
      </w:r>
      <w:r>
        <w:instrText xml:space="preserve"> PAGEREF _Toc442255210 \h </w:instrText>
      </w:r>
      <w:r>
        <w:fldChar w:fldCharType="separate"/>
      </w:r>
      <w:r>
        <w:t>4</w:t>
      </w:r>
      <w:r>
        <w:fldChar w:fldCharType="end"/>
      </w:r>
    </w:p>
    <w:p>
      <w:pPr>
        <w:pStyle w:val="TOC8"/>
        <w:rPr>
          <w:rFonts w:asciiTheme="minorHAnsi" w:eastAsiaTheme="minorEastAsia" w:hAnsiTheme="minorHAnsi" w:cstheme="minorBidi"/>
          <w:szCs w:val="22"/>
        </w:rPr>
      </w:pPr>
      <w:r>
        <w:t>9A.</w:t>
      </w:r>
      <w:r>
        <w:tab/>
        <w:t>Commissioner</w:t>
      </w:r>
      <w:r>
        <w:tab/>
      </w:r>
      <w:r>
        <w:fldChar w:fldCharType="begin"/>
      </w:r>
      <w:r>
        <w:instrText xml:space="preserve"> PAGEREF _Toc442255211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Administrative arrangements</w:t>
      </w:r>
      <w:r>
        <w:tab/>
      </w:r>
      <w:r>
        <w:fldChar w:fldCharType="begin"/>
      </w:r>
      <w:r>
        <w:instrText xml:space="preserve"> PAGEREF _Toc442255212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_Toc442255213 \h </w:instrText>
      </w:r>
      <w:r>
        <w:fldChar w:fldCharType="separate"/>
      </w:r>
      <w:r>
        <w:t>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w:t>
      </w:r>
      <w:r>
        <w:tab/>
      </w:r>
      <w:r>
        <w:fldChar w:fldCharType="begin"/>
      </w:r>
      <w:r>
        <w:instrText xml:space="preserve"> PAGEREF _Toc442255214 \h </w:instrText>
      </w:r>
      <w:r>
        <w:fldChar w:fldCharType="separate"/>
      </w:r>
      <w:r>
        <w:t>6</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Conduct of proceedings</w:t>
      </w:r>
      <w:r>
        <w:tab/>
      </w:r>
      <w:r>
        <w:fldChar w:fldCharType="begin"/>
      </w:r>
      <w:r>
        <w:instrText xml:space="preserve"> PAGEREF _Toc442255215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Employment agents to be licensed</w:t>
      </w:r>
      <w:r>
        <w:tab/>
      </w:r>
      <w:r>
        <w:fldChar w:fldCharType="begin"/>
      </w:r>
      <w:r>
        <w:instrText xml:space="preserve"> PAGEREF _Toc442255216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_Toc442255217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Kinds of licence</w:t>
      </w:r>
      <w:r>
        <w:tab/>
      </w:r>
      <w:r>
        <w:fldChar w:fldCharType="begin"/>
      </w:r>
      <w:r>
        <w:instrText xml:space="preserve"> PAGEREF _Toc442255218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Classes of business</w:t>
      </w:r>
      <w:r>
        <w:tab/>
      </w:r>
      <w:r>
        <w:fldChar w:fldCharType="begin"/>
      </w:r>
      <w:r>
        <w:instrText xml:space="preserve"> PAGEREF _Toc442255219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Separate places of business, and change of address</w:t>
      </w:r>
      <w:r>
        <w:tab/>
      </w:r>
      <w:r>
        <w:fldChar w:fldCharType="begin"/>
      </w:r>
      <w:r>
        <w:instrText xml:space="preserve"> PAGEREF _Toc442255220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Supervision and management</w:t>
      </w:r>
      <w:r>
        <w:tab/>
      </w:r>
      <w:r>
        <w:fldChar w:fldCharType="begin"/>
      </w:r>
      <w:r>
        <w:instrText xml:space="preserve"> PAGEREF _Toc442255221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Applications</w:t>
      </w:r>
      <w:r>
        <w:tab/>
      </w:r>
      <w:r>
        <w:fldChar w:fldCharType="begin"/>
      </w:r>
      <w:r>
        <w:instrText xml:space="preserve"> PAGEREF _Toc442255222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Licences may be issued for benefit of firm or body corporate</w:t>
      </w:r>
      <w:r>
        <w:tab/>
      </w:r>
      <w:r>
        <w:fldChar w:fldCharType="begin"/>
      </w:r>
      <w:r>
        <w:instrText xml:space="preserve"> PAGEREF _Toc442255223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Objections</w:t>
      </w:r>
      <w:r>
        <w:tab/>
      </w:r>
      <w:r>
        <w:fldChar w:fldCharType="begin"/>
      </w:r>
      <w:r>
        <w:instrText xml:space="preserve"> PAGEREF _Toc442255224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Conditional licences</w:t>
      </w:r>
      <w:r>
        <w:tab/>
      </w:r>
      <w:r>
        <w:fldChar w:fldCharType="begin"/>
      </w:r>
      <w:r>
        <w:instrText xml:space="preserve"> PAGEREF _Toc442255225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Issue of licences</w:t>
      </w:r>
      <w:r>
        <w:tab/>
      </w:r>
      <w:r>
        <w:fldChar w:fldCharType="begin"/>
      </w:r>
      <w:r>
        <w:instrText xml:space="preserve"> PAGEREF _Toc442255226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Suspension, cancellation and disqualification</w:t>
      </w:r>
      <w:r>
        <w:tab/>
      </w:r>
      <w:r>
        <w:fldChar w:fldCharType="begin"/>
      </w:r>
      <w:r>
        <w:instrText xml:space="preserve"> PAGEREF _Toc442255227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w:t>
      </w:r>
      <w:r>
        <w:tab/>
      </w:r>
      <w:r>
        <w:fldChar w:fldCharType="begin"/>
      </w:r>
      <w:r>
        <w:instrText xml:space="preserve"> PAGEREF _Toc442255228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w:t>
      </w:r>
      <w:r>
        <w:tab/>
      </w:r>
      <w:r>
        <w:fldChar w:fldCharType="begin"/>
      </w:r>
      <w:r>
        <w:instrText xml:space="preserve"> PAGEREF _Toc442255229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period for offences</w:t>
      </w:r>
      <w:r>
        <w:tab/>
      </w:r>
      <w:r>
        <w:fldChar w:fldCharType="begin"/>
      </w:r>
      <w:r>
        <w:instrText xml:space="preserve"> PAGEREF _Toc442255230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Misrepresentation and allied offences</w:t>
      </w:r>
      <w:r>
        <w:tab/>
      </w:r>
      <w:r>
        <w:fldChar w:fldCharType="begin"/>
      </w:r>
      <w:r>
        <w:instrText xml:space="preserve"> PAGEREF _Toc442255231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w:t>
      </w:r>
      <w:r>
        <w:tab/>
      </w:r>
      <w:r>
        <w:fldChar w:fldCharType="begin"/>
      </w:r>
      <w:r>
        <w:instrText xml:space="preserve"> PAGEREF _Toc442255232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Facilitation of proof</w:t>
      </w:r>
      <w:r>
        <w:tab/>
      </w:r>
      <w:r>
        <w:fldChar w:fldCharType="begin"/>
      </w:r>
      <w:r>
        <w:instrText xml:space="preserve"> PAGEREF _Toc442255233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Contract for fees greater than scale to be voidable</w:t>
      </w:r>
      <w:r>
        <w:tab/>
      </w:r>
      <w:r>
        <w:fldChar w:fldCharType="begin"/>
      </w:r>
      <w:r>
        <w:instrText xml:space="preserve"> PAGEREF _Toc442255234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Fees demanded by persons other than licensed employment agents</w:t>
      </w:r>
      <w:r>
        <w:tab/>
      </w:r>
      <w:r>
        <w:fldChar w:fldCharType="begin"/>
      </w:r>
      <w:r>
        <w:instrText xml:space="preserve"> PAGEREF _Toc442255235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Employment by agent</w:t>
      </w:r>
      <w:r>
        <w:tab/>
      </w:r>
      <w:r>
        <w:fldChar w:fldCharType="begin"/>
      </w:r>
      <w:r>
        <w:instrText xml:space="preserve"> PAGEREF _Toc442255236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Single hirings</w:t>
      </w:r>
      <w:r>
        <w:tab/>
      </w:r>
      <w:r>
        <w:fldChar w:fldCharType="begin"/>
      </w:r>
      <w:r>
        <w:instrText xml:space="preserve"> PAGEREF _Toc442255237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Fees chargeable to employees generally</w:t>
      </w:r>
      <w:r>
        <w:tab/>
      </w:r>
      <w:r>
        <w:fldChar w:fldCharType="begin"/>
      </w:r>
      <w:r>
        <w:instrText xml:space="preserve"> PAGEREF _Toc442255238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chargeable to employers generally</w:t>
      </w:r>
      <w:r>
        <w:tab/>
      </w:r>
      <w:r>
        <w:fldChar w:fldCharType="begin"/>
      </w:r>
      <w:r>
        <w:instrText xml:space="preserve"> PAGEREF _Toc442255239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Scale of fees and expenses</w:t>
      </w:r>
      <w:r>
        <w:tab/>
      </w:r>
      <w:r>
        <w:fldChar w:fldCharType="begin"/>
      </w:r>
      <w:r>
        <w:instrText xml:space="preserve"> PAGEREF _Toc442255240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arrange employment</w:t>
      </w:r>
      <w:r>
        <w:tab/>
      </w:r>
      <w:r>
        <w:fldChar w:fldCharType="begin"/>
      </w:r>
      <w:r>
        <w:instrText xml:space="preserve"> PAGEREF _Toc442255241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Statements of account</w:t>
      </w:r>
      <w:r>
        <w:tab/>
      </w:r>
      <w:r>
        <w:fldChar w:fldCharType="begin"/>
      </w:r>
      <w:r>
        <w:instrText xml:space="preserve"> PAGEREF _Toc442255242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Short term placements, and spurious interviews</w:t>
      </w:r>
      <w:r>
        <w:tab/>
      </w:r>
      <w:r>
        <w:fldChar w:fldCharType="begin"/>
      </w:r>
      <w:r>
        <w:instrText xml:space="preserve"> PAGEREF _Toc442255243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of transactions</w:t>
      </w:r>
      <w:r>
        <w:tab/>
      </w:r>
      <w:r>
        <w:fldChar w:fldCharType="begin"/>
      </w:r>
      <w:r>
        <w:instrText xml:space="preserve"> PAGEREF _Toc442255244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Financial records</w:t>
      </w:r>
      <w:r>
        <w:tab/>
      </w:r>
      <w:r>
        <w:fldChar w:fldCharType="begin"/>
      </w:r>
      <w:r>
        <w:instrText xml:space="preserve"> PAGEREF _Toc442255245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Responsibility for entries</w:t>
      </w:r>
      <w:r>
        <w:tab/>
      </w:r>
      <w:r>
        <w:fldChar w:fldCharType="begin"/>
      </w:r>
      <w:r>
        <w:instrText xml:space="preserve"> PAGEREF _Toc442255246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Retention of records</w:t>
      </w:r>
      <w:r>
        <w:tab/>
      </w:r>
      <w:r>
        <w:fldChar w:fldCharType="begin"/>
      </w:r>
      <w:r>
        <w:instrText xml:space="preserve"> PAGEREF _Toc442255247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Inspection of records</w:t>
      </w:r>
      <w:r>
        <w:tab/>
      </w:r>
      <w:r>
        <w:fldChar w:fldCharType="begin"/>
      </w:r>
      <w:r>
        <w:instrText xml:space="preserve"> PAGEREF _Toc442255248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_Toc442255249 \h </w:instrText>
      </w:r>
      <w:r>
        <w:fldChar w:fldCharType="separate"/>
      </w:r>
      <w:r>
        <w:t>30</w:t>
      </w:r>
      <w:r>
        <w:fldChar w:fldCharType="end"/>
      </w:r>
    </w:p>
    <w:p>
      <w:pPr>
        <w:pStyle w:val="TOC8"/>
        <w:rPr>
          <w:rFonts w:asciiTheme="minorHAnsi" w:eastAsiaTheme="minorEastAsia" w:hAnsiTheme="minorHAnsi" w:cstheme="minorBidi"/>
          <w:szCs w:val="22"/>
        </w:rPr>
      </w:pPr>
      <w:r>
        <w:t>48.</w:t>
      </w:r>
      <w:r>
        <w:tab/>
        <w:t>Information officially obtained to be confidential</w:t>
      </w:r>
      <w:r>
        <w:tab/>
      </w:r>
      <w:r>
        <w:fldChar w:fldCharType="begin"/>
      </w:r>
      <w:r>
        <w:instrText xml:space="preserve"> PAGEREF _Toc442255250 \h </w:instrText>
      </w:r>
      <w:r>
        <w:fldChar w:fldCharType="separate"/>
      </w:r>
      <w:r>
        <w:t>31</w:t>
      </w:r>
      <w:r>
        <w:fldChar w:fldCharType="end"/>
      </w:r>
    </w:p>
    <w:p>
      <w:pPr>
        <w:pStyle w:val="TOC8"/>
        <w:rPr>
          <w:rFonts w:asciiTheme="minorHAnsi" w:eastAsiaTheme="minorEastAsia" w:hAnsiTheme="minorHAnsi" w:cstheme="minorBidi"/>
          <w:szCs w:val="22"/>
        </w:rPr>
      </w:pPr>
      <w:r>
        <w:t>48A.</w:t>
      </w:r>
      <w:r>
        <w:tab/>
        <w:t>Delegation by Commissioner</w:t>
      </w:r>
      <w:r>
        <w:tab/>
      </w:r>
      <w:r>
        <w:fldChar w:fldCharType="begin"/>
      </w:r>
      <w:r>
        <w:instrText xml:space="preserve"> PAGEREF _Toc442255251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Immunity</w:t>
      </w:r>
      <w:r>
        <w:tab/>
      </w:r>
      <w:r>
        <w:fldChar w:fldCharType="begin"/>
      </w:r>
      <w:r>
        <w:instrText xml:space="preserve"> PAGEREF _Toc442255252 \h </w:instrText>
      </w:r>
      <w:r>
        <w:fldChar w:fldCharType="separate"/>
      </w:r>
      <w:r>
        <w:t>32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r>
      <w:r>
        <w:t>Judicial</w:t>
      </w:r>
      <w:r>
        <w:rPr>
          <w:snapToGrid w:val="0"/>
        </w:rPr>
        <w:t xml:space="preserve"> notice</w:t>
      </w:r>
      <w:r>
        <w:tab/>
      </w:r>
      <w:r>
        <w:fldChar w:fldCharType="begin"/>
      </w:r>
      <w:r>
        <w:instrText xml:space="preserve"> PAGEREF _Toc442255253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Other rights and remedies</w:t>
      </w:r>
      <w:r>
        <w:tab/>
      </w:r>
      <w:r>
        <w:fldChar w:fldCharType="begin"/>
      </w:r>
      <w:r>
        <w:instrText xml:space="preserve"> PAGEREF _Toc442255254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Records to be available to clients</w:t>
      </w:r>
      <w:r>
        <w:tab/>
      </w:r>
      <w:r>
        <w:fldChar w:fldCharType="begin"/>
      </w:r>
      <w:r>
        <w:instrText xml:space="preserve"> PAGEREF _Toc442255255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_Toc442255256 \h </w:instrText>
      </w:r>
      <w:r>
        <w:fldChar w:fldCharType="separate"/>
      </w:r>
      <w:r>
        <w:t>33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_Toc442255258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2016</w:t>
            </w:r>
          </w:p>
        </w:tc>
      </w:tr>
    </w:tbl>
    <w:p>
      <w:pPr>
        <w:pStyle w:val="WA"/>
        <w:spacing w:before="120"/>
      </w:pPr>
      <w:r>
        <w:t>Western Australia</w:t>
      </w:r>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3" w:name="_Toc44225520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4" w:name="_Toc44225520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5" w:name="_Toc442255206"/>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Ednotedefpara"/>
        <w:tabs>
          <w:tab w:val="left" w:pos="851"/>
        </w:tabs>
        <w:ind w:left="1276" w:hanging="1276"/>
        <w:rPr>
          <w:i w:val="0"/>
        </w:rPr>
      </w:pPr>
      <w:r>
        <w:tab/>
        <w:t xml:space="preserve">[Definition of </w:t>
      </w:r>
      <w:r>
        <w:rPr>
          <w:b/>
        </w:rPr>
        <w:t>the repealed Acts</w:t>
      </w:r>
      <w:r>
        <w:t xml:space="preserve"> omitted under the Reprints Act 1984 s. 7(4)(e).]</w:t>
      </w:r>
    </w:p>
    <w:p>
      <w:pPr>
        <w:pStyle w:val="Footnotesection"/>
      </w:pPr>
      <w:r>
        <w:tab/>
        <w:t xml:space="preserve">[Section 4 amended by No. 70 of 1990 s. 4; No. 57 of 1997 s. 39(10); No. 55 of 2004 s. 276; No. 28 of 2006 s. 92; No. 6 of 2012 s. 39.] </w:t>
      </w:r>
    </w:p>
    <w:p>
      <w:pPr>
        <w:pStyle w:val="Heading5"/>
        <w:rPr>
          <w:snapToGrid w:val="0"/>
        </w:rPr>
      </w:pPr>
      <w:bookmarkStart w:id="6" w:name="_Toc442255207"/>
      <w:r>
        <w:rPr>
          <w:rStyle w:val="CharSectno"/>
        </w:rPr>
        <w:t>5</w:t>
      </w:r>
      <w:r>
        <w:rPr>
          <w:snapToGrid w:val="0"/>
        </w:rPr>
        <w:t>.</w:t>
      </w:r>
      <w:r>
        <w:rPr>
          <w:snapToGrid w:val="0"/>
        </w:rPr>
        <w:tab/>
        <w:t>Employment agents</w:t>
      </w:r>
      <w:bookmarkEnd w:id="6"/>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7" w:name="_Toc442255208"/>
      <w:r>
        <w:rPr>
          <w:rStyle w:val="CharSectno"/>
        </w:rPr>
        <w:t>7</w:t>
      </w:r>
      <w:r>
        <w:rPr>
          <w:snapToGrid w:val="0"/>
        </w:rPr>
        <w:t>.</w:t>
      </w:r>
      <w:r>
        <w:rPr>
          <w:snapToGrid w:val="0"/>
        </w:rPr>
        <w:tab/>
        <w:t>Application of this Act</w:t>
      </w:r>
      <w:bookmarkEnd w:id="7"/>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8" w:name="_Toc442255209"/>
      <w:r>
        <w:rPr>
          <w:rStyle w:val="CharSectno"/>
        </w:rPr>
        <w:t>8</w:t>
      </w:r>
      <w:r>
        <w:rPr>
          <w:snapToGrid w:val="0"/>
        </w:rPr>
        <w:t>.</w:t>
      </w:r>
      <w:r>
        <w:rPr>
          <w:snapToGrid w:val="0"/>
        </w:rPr>
        <w:tab/>
        <w:t>Exemptions</w:t>
      </w:r>
      <w:bookmarkEnd w:id="8"/>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9" w:name="_Toc442255210"/>
      <w:r>
        <w:rPr>
          <w:rStyle w:val="CharSectno"/>
        </w:rPr>
        <w:t>9</w:t>
      </w:r>
      <w:r>
        <w:rPr>
          <w:snapToGrid w:val="0"/>
        </w:rPr>
        <w:t>.</w:t>
      </w:r>
      <w:r>
        <w:rPr>
          <w:snapToGrid w:val="0"/>
        </w:rPr>
        <w:tab/>
        <w:t>Employment of seamen</w:t>
      </w:r>
      <w:bookmarkEnd w:id="9"/>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10" w:name="_Toc442255211"/>
      <w:r>
        <w:rPr>
          <w:rStyle w:val="CharSectno"/>
        </w:rPr>
        <w:t>9A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11" w:name="_Toc442255212"/>
      <w:r>
        <w:rPr>
          <w:rStyle w:val="CharSectno"/>
        </w:rPr>
        <w:t>10</w:t>
      </w:r>
      <w:r>
        <w:rPr>
          <w:snapToGrid w:val="0"/>
        </w:rPr>
        <w:t>.</w:t>
      </w:r>
      <w:r>
        <w:rPr>
          <w:snapToGrid w:val="0"/>
        </w:rPr>
        <w:tab/>
        <w:t>Administrative arrangements</w:t>
      </w:r>
      <w:bookmarkEnd w:id="1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12" w:name="_Toc442255213"/>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Sch. 1 cl. 56(1).] </w:t>
      </w:r>
    </w:p>
    <w:p>
      <w:pPr>
        <w:pStyle w:val="Ednotesection"/>
      </w:pPr>
      <w:r>
        <w:t>[</w:t>
      </w:r>
      <w:r>
        <w:rPr>
          <w:b/>
          <w:bCs/>
        </w:rPr>
        <w:t>11.</w:t>
      </w:r>
      <w:r>
        <w:tab/>
        <w:t>Deleted by No. 55 of 2004 s. 278.]</w:t>
      </w:r>
    </w:p>
    <w:p>
      <w:pPr>
        <w:pStyle w:val="Heading5"/>
        <w:rPr>
          <w:snapToGrid w:val="0"/>
        </w:rPr>
      </w:pPr>
      <w:bookmarkStart w:id="13" w:name="_Toc442255214"/>
      <w:r>
        <w:rPr>
          <w:rStyle w:val="CharSectno"/>
        </w:rPr>
        <w:t>11A</w:t>
      </w:r>
      <w:r>
        <w:rPr>
          <w:snapToGrid w:val="0"/>
        </w:rPr>
        <w:t>.</w:t>
      </w:r>
      <w:r>
        <w:rPr>
          <w:snapToGrid w:val="0"/>
        </w:rPr>
        <w:tab/>
        <w:t>Officers</w:t>
      </w:r>
      <w:bookmarkEnd w:id="1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r>
        <w:t>[</w:t>
      </w:r>
      <w:r>
        <w:rPr>
          <w:b/>
          <w:bCs/>
        </w:rPr>
        <w:t>11B-11D.</w:t>
      </w:r>
      <w:r>
        <w:rPr>
          <w:b/>
          <w:bCs/>
        </w:rPr>
        <w:tab/>
      </w:r>
      <w:r>
        <w:t>Deleted by No. 55 of 2004 s. 279.]</w:t>
      </w:r>
    </w:p>
    <w:p>
      <w:pPr>
        <w:pStyle w:val="Heading5"/>
        <w:rPr>
          <w:snapToGrid w:val="0"/>
        </w:rPr>
      </w:pPr>
      <w:bookmarkStart w:id="14" w:name="_Toc442255215"/>
      <w:r>
        <w:rPr>
          <w:rStyle w:val="CharSectno"/>
        </w:rPr>
        <w:t>11E</w:t>
      </w:r>
      <w:r>
        <w:rPr>
          <w:snapToGrid w:val="0"/>
        </w:rPr>
        <w:t>.</w:t>
      </w:r>
      <w:r>
        <w:rPr>
          <w:snapToGrid w:val="0"/>
        </w:rPr>
        <w:tab/>
        <w:t>Conduct of proceedings</w:t>
      </w:r>
      <w:bookmarkEnd w:id="1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15" w:name="_Toc442255216"/>
      <w:r>
        <w:rPr>
          <w:rStyle w:val="CharSectno"/>
        </w:rPr>
        <w:t>12</w:t>
      </w:r>
      <w:r>
        <w:rPr>
          <w:snapToGrid w:val="0"/>
        </w:rPr>
        <w:t>.</w:t>
      </w:r>
      <w:r>
        <w:rPr>
          <w:snapToGrid w:val="0"/>
        </w:rPr>
        <w:tab/>
        <w:t>Employment agents to be licensed</w:t>
      </w:r>
      <w:bookmarkEnd w:id="15"/>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 or</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 and</w:t>
      </w:r>
    </w:p>
    <w:p>
      <w:pPr>
        <w:pStyle w:val="Indenta"/>
        <w:rPr>
          <w:snapToGrid w:val="0"/>
        </w:rPr>
      </w:pPr>
      <w:r>
        <w:rPr>
          <w:snapToGrid w:val="0"/>
        </w:rPr>
        <w:tab/>
        <w:t>(b)</w:t>
      </w:r>
      <w:r>
        <w:rPr>
          <w:snapToGrid w:val="0"/>
        </w:rPr>
        <w:tab/>
        <w:t>at or from the place or places of business specified in that licence; and</w:t>
      </w:r>
    </w:p>
    <w:p>
      <w:pPr>
        <w:pStyle w:val="Indenta"/>
        <w:rPr>
          <w:snapToGrid w:val="0"/>
        </w:rPr>
      </w:pPr>
      <w:r>
        <w:rPr>
          <w:snapToGrid w:val="0"/>
        </w:rPr>
        <w:tab/>
        <w:t>(c)</w:t>
      </w:r>
      <w:r>
        <w:rPr>
          <w:snapToGrid w:val="0"/>
        </w:rPr>
        <w:tab/>
        <w:t>subject to section 25(5), during the period for which that licence remains in force; and</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6" w:name="_Toc442255217"/>
      <w:r>
        <w:rPr>
          <w:rStyle w:val="CharSectno"/>
        </w:rPr>
        <w:t>13</w:t>
      </w:r>
      <w:r>
        <w:rPr>
          <w:snapToGrid w:val="0"/>
        </w:rPr>
        <w:t>.</w:t>
      </w:r>
      <w:r>
        <w:rPr>
          <w:snapToGrid w:val="0"/>
        </w:rPr>
        <w:tab/>
        <w:t>Duration of licences</w:t>
      </w:r>
      <w:bookmarkEnd w:id="1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17" w:name="_Toc442255218"/>
      <w:r>
        <w:rPr>
          <w:rStyle w:val="CharSectno"/>
        </w:rPr>
        <w:t>14</w:t>
      </w:r>
      <w:r>
        <w:rPr>
          <w:snapToGrid w:val="0"/>
        </w:rPr>
        <w:t>.</w:t>
      </w:r>
      <w:r>
        <w:rPr>
          <w:snapToGrid w:val="0"/>
        </w:rPr>
        <w:tab/>
        <w:t>Kinds of licence</w:t>
      </w:r>
      <w:bookmarkEnd w:id="17"/>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 and</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8" w:name="_Toc442255219"/>
      <w:r>
        <w:rPr>
          <w:rStyle w:val="CharSectno"/>
        </w:rPr>
        <w:t>15</w:t>
      </w:r>
      <w:r>
        <w:rPr>
          <w:snapToGrid w:val="0"/>
        </w:rPr>
        <w:t>.</w:t>
      </w:r>
      <w:r>
        <w:rPr>
          <w:snapToGrid w:val="0"/>
        </w:rPr>
        <w:tab/>
        <w:t>Classes of business</w:t>
      </w:r>
      <w:bookmarkEnd w:id="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9" w:name="_Toc442255220"/>
      <w:r>
        <w:rPr>
          <w:rStyle w:val="CharSectno"/>
        </w:rPr>
        <w:t>16</w:t>
      </w:r>
      <w:r>
        <w:rPr>
          <w:snapToGrid w:val="0"/>
        </w:rPr>
        <w:t>.</w:t>
      </w:r>
      <w:r>
        <w:rPr>
          <w:snapToGrid w:val="0"/>
        </w:rPr>
        <w:tab/>
        <w:t>Separate places of business, and change of address</w:t>
      </w:r>
      <w:bookmarkEnd w:id="19"/>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20" w:name="_Toc442255221"/>
      <w:r>
        <w:rPr>
          <w:rStyle w:val="CharSectno"/>
        </w:rPr>
        <w:t>17</w:t>
      </w:r>
      <w:r>
        <w:rPr>
          <w:snapToGrid w:val="0"/>
        </w:rPr>
        <w:t>.</w:t>
      </w:r>
      <w:r>
        <w:rPr>
          <w:snapToGrid w:val="0"/>
        </w:rPr>
        <w:tab/>
        <w:t>Supervision and management</w:t>
      </w:r>
      <w:bookmarkEnd w:id="2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21" w:name="_Toc442255222"/>
      <w:r>
        <w:rPr>
          <w:rStyle w:val="CharSectno"/>
        </w:rPr>
        <w:t>18</w:t>
      </w:r>
      <w:r>
        <w:rPr>
          <w:snapToGrid w:val="0"/>
        </w:rPr>
        <w:t>.</w:t>
      </w:r>
      <w:r>
        <w:rPr>
          <w:snapToGrid w:val="0"/>
        </w:rPr>
        <w:tab/>
        <w:t>Applications</w:t>
      </w:r>
      <w:bookmarkEnd w:id="21"/>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Ednotesubsection"/>
      </w:pPr>
      <w:r>
        <w:tab/>
        <w:t>[(4), (5)</w:t>
      </w:r>
      <w:r>
        <w:tab/>
        <w:t>deleted]</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Footnotesection"/>
      </w:pPr>
      <w:r>
        <w:tab/>
        <w:t>[Section 18 amended by No. 55 of 2004 s. 294; No. 23 of 2014 s. 6.]</w:t>
      </w:r>
    </w:p>
    <w:p>
      <w:pPr>
        <w:pStyle w:val="Heading5"/>
        <w:spacing w:before="200"/>
        <w:rPr>
          <w:snapToGrid w:val="0"/>
        </w:rPr>
      </w:pPr>
      <w:bookmarkStart w:id="22" w:name="_Toc442255223"/>
      <w:r>
        <w:rPr>
          <w:rStyle w:val="CharSectno"/>
        </w:rPr>
        <w:t>19</w:t>
      </w:r>
      <w:r>
        <w:rPr>
          <w:snapToGrid w:val="0"/>
        </w:rPr>
        <w:t>.</w:t>
      </w:r>
      <w:r>
        <w:rPr>
          <w:snapToGrid w:val="0"/>
        </w:rPr>
        <w:tab/>
        <w:t>Licences may be issued for benefit of firm or body corporate</w:t>
      </w:r>
      <w:bookmarkEnd w:id="2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keepNext/>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spacing w:before="140"/>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spacing w:before="140"/>
        <w:rPr>
          <w:snapToGrid w:val="0"/>
        </w:rPr>
      </w:pPr>
      <w:r>
        <w:rPr>
          <w:snapToGrid w:val="0"/>
        </w:rPr>
        <w:tab/>
        <w:t>(3)</w:t>
      </w:r>
      <w:r>
        <w:rPr>
          <w:snapToGrid w:val="0"/>
        </w:rPr>
        <w:tab/>
        <w:t>Two or more licences may be granted on behalf of the same firm or body corporate.</w:t>
      </w:r>
    </w:p>
    <w:p>
      <w:pPr>
        <w:pStyle w:val="Subsection"/>
        <w:spacing w:before="140"/>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spacing w:before="140"/>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spacing w:before="140"/>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spacing w:before="80"/>
        <w:ind w:left="890" w:hanging="890"/>
      </w:pPr>
      <w:r>
        <w:tab/>
        <w:t>[Section 19 amended by No. 55 of 2004 s. 281 and 294.]</w:t>
      </w:r>
    </w:p>
    <w:p>
      <w:pPr>
        <w:pStyle w:val="Heading5"/>
        <w:rPr>
          <w:snapToGrid w:val="0"/>
        </w:rPr>
      </w:pPr>
      <w:bookmarkStart w:id="23" w:name="_Toc442255224"/>
      <w:r>
        <w:rPr>
          <w:rStyle w:val="CharSectno"/>
        </w:rPr>
        <w:t>20</w:t>
      </w:r>
      <w:r>
        <w:rPr>
          <w:snapToGrid w:val="0"/>
        </w:rPr>
        <w:t>.</w:t>
      </w:r>
      <w:r>
        <w:rPr>
          <w:snapToGrid w:val="0"/>
        </w:rPr>
        <w:tab/>
        <w:t>Objections</w:t>
      </w:r>
      <w:bookmarkEnd w:id="23"/>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r>
        <w:t xml:space="preserve">the Commissioner of Police,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Ednotesubsection"/>
      </w:pPr>
      <w:r>
        <w:tab/>
        <w:t>[(2)</w:t>
      </w:r>
      <w:r>
        <w:tab/>
        <w:t>deleted]</w:t>
      </w:r>
    </w:p>
    <w:p>
      <w:pPr>
        <w:pStyle w:val="Footnotesection"/>
      </w:pPr>
      <w:r>
        <w:tab/>
        <w:t xml:space="preserve">[Section 20 amended by No. 70 of 1990 s. 6; No. 55 of 2004 s. 282 and 294; No. 23 of 2014 s. 7.] </w:t>
      </w:r>
    </w:p>
    <w:p>
      <w:pPr>
        <w:pStyle w:val="Heading5"/>
        <w:rPr>
          <w:snapToGrid w:val="0"/>
        </w:rPr>
      </w:pPr>
      <w:bookmarkStart w:id="24" w:name="_Toc442255225"/>
      <w:r>
        <w:rPr>
          <w:rStyle w:val="CharSectno"/>
        </w:rPr>
        <w:t>21</w:t>
      </w:r>
      <w:r>
        <w:rPr>
          <w:snapToGrid w:val="0"/>
        </w:rPr>
        <w:t>.</w:t>
      </w:r>
      <w:r>
        <w:rPr>
          <w:snapToGrid w:val="0"/>
        </w:rPr>
        <w:tab/>
        <w:t>Conditional licences</w:t>
      </w:r>
      <w:bookmarkEnd w:id="2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 or</w:t>
      </w:r>
    </w:p>
    <w:p>
      <w:pPr>
        <w:pStyle w:val="Indenti"/>
        <w:rPr>
          <w:snapToGrid w:val="0"/>
        </w:rPr>
      </w:pPr>
      <w:r>
        <w:rPr>
          <w:snapToGrid w:val="0"/>
        </w:rPr>
        <w:tab/>
        <w:t>(ii)</w:t>
      </w:r>
      <w:r>
        <w:rPr>
          <w:snapToGrid w:val="0"/>
        </w:rPr>
        <w:tab/>
        <w:t>the place or circumstances at or in which it is to have effect; or</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25" w:name="_Toc442255226"/>
      <w:r>
        <w:rPr>
          <w:rStyle w:val="CharSectno"/>
        </w:rPr>
        <w:t>22</w:t>
      </w:r>
      <w:r>
        <w:rPr>
          <w:snapToGrid w:val="0"/>
        </w:rPr>
        <w:t>.</w:t>
      </w:r>
      <w:r>
        <w:rPr>
          <w:snapToGrid w:val="0"/>
        </w:rPr>
        <w:tab/>
        <w:t>Issue of licences</w:t>
      </w:r>
      <w:bookmarkEnd w:id="25"/>
      <w:r>
        <w:rPr>
          <w:snapToGrid w:val="0"/>
        </w:rPr>
        <w:t xml:space="preserve"> </w:t>
      </w:r>
    </w:p>
    <w:p>
      <w:pPr>
        <w:pStyle w:val="Subsection"/>
        <w:spacing w:before="14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4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40"/>
      </w:pPr>
      <w:r>
        <w:tab/>
        <w:t>(3)</w:t>
      </w:r>
      <w:r>
        <w:tab/>
        <w:t xml:space="preserve">The Commissioner must give notice in writing of the Commissioner’s decision — </w:t>
      </w:r>
    </w:p>
    <w:p>
      <w:pPr>
        <w:pStyle w:val="Indenta"/>
      </w:pPr>
      <w:r>
        <w:tab/>
        <w:t>(a)</w:t>
      </w:r>
      <w:r>
        <w:tab/>
        <w:t>to the applicant; and</w:t>
      </w:r>
    </w:p>
    <w:p>
      <w:pPr>
        <w:pStyle w:val="Indenta"/>
      </w:pPr>
      <w:r>
        <w:tab/>
        <w:t>(b)</w:t>
      </w:r>
      <w:r>
        <w:tab/>
        <w:t>if the Commissioner of Police lodged an objection with the Commissioner, to the Commissioner of Police.</w:t>
      </w:r>
    </w:p>
    <w:p>
      <w:pPr>
        <w:pStyle w:val="Subsection"/>
        <w:spacing w:before="140"/>
      </w:pPr>
      <w:r>
        <w:tab/>
        <w:t>(4A)</w:t>
      </w:r>
      <w:r>
        <w:tab/>
        <w:t xml:space="preserve">If notice is given under subsection (3) to a person who might be aggrieved by the decision, the Commissioner must in the notice — </w:t>
      </w:r>
    </w:p>
    <w:p>
      <w:pPr>
        <w:pStyle w:val="Indenta"/>
      </w:pPr>
      <w:r>
        <w:tab/>
        <w:t>(a)</w:t>
      </w:r>
      <w:r>
        <w:tab/>
        <w:t>set out the reasons for the decision; and</w:t>
      </w:r>
    </w:p>
    <w:p>
      <w:pPr>
        <w:pStyle w:val="Indenta"/>
      </w:pPr>
      <w:r>
        <w:tab/>
        <w:t>(b)</w:t>
      </w:r>
      <w:r>
        <w:tab/>
        <w:t>inform the person of the right to apply to the State Administrative Tribunal for a review of the decision.</w:t>
      </w:r>
    </w:p>
    <w:p>
      <w:pPr>
        <w:pStyle w:val="Subsection"/>
        <w:spacing w:before="120"/>
        <w:rPr>
          <w:snapToGrid w:val="0"/>
        </w:rPr>
      </w:pPr>
      <w:r>
        <w:rPr>
          <w:snapToGrid w:val="0"/>
        </w:rPr>
        <w:tab/>
        <w:t>(4)</w:t>
      </w:r>
      <w:r>
        <w:rPr>
          <w:snapToGrid w:val="0"/>
        </w:rPr>
        <w:tab/>
        <w:t xml:space="preserve">If the applicant </w:t>
      </w:r>
      <w:r>
        <w:t>or, if the Commissioner of Police lodged an objection with the Commissioner, the Commissioner of Police</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 No. 23 of 2014 s. 8.]</w:t>
      </w:r>
    </w:p>
    <w:p>
      <w:pPr>
        <w:pStyle w:val="Ednotesection"/>
        <w:spacing w:before="180"/>
      </w:pPr>
      <w:r>
        <w:t>[</w:t>
      </w:r>
      <w:r>
        <w:rPr>
          <w:b/>
          <w:bCs/>
        </w:rPr>
        <w:t>23, 24.</w:t>
      </w:r>
      <w:r>
        <w:tab/>
        <w:t>Deleted by No. 55 of 2004 s. 284.]</w:t>
      </w:r>
    </w:p>
    <w:p>
      <w:pPr>
        <w:pStyle w:val="Heading5"/>
        <w:spacing w:before="180"/>
        <w:rPr>
          <w:snapToGrid w:val="0"/>
        </w:rPr>
      </w:pPr>
      <w:bookmarkStart w:id="26" w:name="_Toc442255227"/>
      <w:r>
        <w:rPr>
          <w:rStyle w:val="CharSectno"/>
        </w:rPr>
        <w:t>25</w:t>
      </w:r>
      <w:r>
        <w:rPr>
          <w:snapToGrid w:val="0"/>
        </w:rPr>
        <w:t>.</w:t>
      </w:r>
      <w:r>
        <w:rPr>
          <w:snapToGrid w:val="0"/>
        </w:rPr>
        <w:tab/>
        <w:t>Suspension, cancellation and disqualification</w:t>
      </w:r>
      <w:bookmarkEnd w:id="26"/>
      <w:r>
        <w:rPr>
          <w:snapToGrid w:val="0"/>
        </w:rPr>
        <w:t xml:space="preserve"> </w:t>
      </w:r>
    </w:p>
    <w:p>
      <w:pPr>
        <w:pStyle w:val="Subsection"/>
        <w:spacing w:before="120"/>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by No. 55 of 2004 s. 285; No. 8 of 2009 s. 51(2).]</w:t>
      </w:r>
    </w:p>
    <w:p>
      <w:pPr>
        <w:pStyle w:val="Heading5"/>
        <w:rPr>
          <w:snapToGrid w:val="0"/>
        </w:rPr>
      </w:pPr>
      <w:bookmarkStart w:id="27" w:name="_Toc442255228"/>
      <w:r>
        <w:rPr>
          <w:rStyle w:val="CharSectno"/>
        </w:rPr>
        <w:t>26</w:t>
      </w:r>
      <w:r>
        <w:rPr>
          <w:snapToGrid w:val="0"/>
        </w:rPr>
        <w:t>.</w:t>
      </w:r>
      <w:r>
        <w:rPr>
          <w:snapToGrid w:val="0"/>
        </w:rPr>
        <w:tab/>
        <w:t>Form of licence</w:t>
      </w:r>
      <w:bookmarkEnd w:id="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 and</w:t>
      </w:r>
    </w:p>
    <w:p>
      <w:pPr>
        <w:pStyle w:val="Indenta"/>
        <w:spacing w:before="60"/>
        <w:rPr>
          <w:snapToGrid w:val="0"/>
        </w:rPr>
      </w:pPr>
      <w:r>
        <w:rPr>
          <w:snapToGrid w:val="0"/>
        </w:rPr>
        <w:tab/>
        <w:t>(b)</w:t>
      </w:r>
      <w:r>
        <w:rPr>
          <w:snapToGrid w:val="0"/>
        </w:rPr>
        <w:tab/>
        <w:t>the address of the place or places of business in respect of which it is taken out; and</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28" w:name="_Toc442255229"/>
      <w:r>
        <w:rPr>
          <w:rStyle w:val="CharSectno"/>
        </w:rPr>
        <w:t>27</w:t>
      </w:r>
      <w:r>
        <w:rPr>
          <w:snapToGrid w:val="0"/>
        </w:rPr>
        <w:t>.</w:t>
      </w:r>
      <w:r>
        <w:rPr>
          <w:snapToGrid w:val="0"/>
        </w:rPr>
        <w:tab/>
        <w:t>Register</w:t>
      </w:r>
      <w:bookmarkEnd w:id="28"/>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pPr>
      <w:bookmarkStart w:id="29" w:name="_Toc442255230"/>
      <w:r>
        <w:rPr>
          <w:rStyle w:val="CharSectno"/>
        </w:rPr>
        <w:t>28</w:t>
      </w:r>
      <w:r>
        <w:t>.</w:t>
      </w:r>
      <w:r>
        <w:tab/>
        <w:t>Limitation period for offences</w:t>
      </w:r>
      <w:bookmarkEnd w:id="29"/>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30" w:name="_Toc442255231"/>
      <w:r>
        <w:rPr>
          <w:rStyle w:val="CharSectno"/>
        </w:rPr>
        <w:t>29</w:t>
      </w:r>
      <w:r>
        <w:rPr>
          <w:snapToGrid w:val="0"/>
        </w:rPr>
        <w:t>.</w:t>
      </w:r>
      <w:r>
        <w:rPr>
          <w:snapToGrid w:val="0"/>
        </w:rPr>
        <w:tab/>
        <w:t>Misrepresentation and allied offences</w:t>
      </w:r>
      <w:bookmarkEnd w:id="3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31" w:name="_Toc442255232"/>
      <w:r>
        <w:rPr>
          <w:rStyle w:val="CharSectno"/>
        </w:rPr>
        <w:t>30</w:t>
      </w:r>
      <w:r>
        <w:rPr>
          <w:snapToGrid w:val="0"/>
        </w:rPr>
        <w:t>.</w:t>
      </w:r>
      <w:r>
        <w:rPr>
          <w:snapToGrid w:val="0"/>
        </w:rPr>
        <w:tab/>
        <w:t>Offences</w:t>
      </w:r>
      <w:bookmarkEnd w:id="3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 or</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 or</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by No. 55 of 2004 s. 287.]</w:t>
      </w:r>
    </w:p>
    <w:p>
      <w:pPr>
        <w:pStyle w:val="Heading5"/>
        <w:rPr>
          <w:snapToGrid w:val="0"/>
        </w:rPr>
      </w:pPr>
      <w:bookmarkStart w:id="32" w:name="_Toc442255233"/>
      <w:r>
        <w:rPr>
          <w:rStyle w:val="CharSectno"/>
        </w:rPr>
        <w:t>31</w:t>
      </w:r>
      <w:r>
        <w:rPr>
          <w:snapToGrid w:val="0"/>
        </w:rPr>
        <w:t>.</w:t>
      </w:r>
      <w:r>
        <w:rPr>
          <w:snapToGrid w:val="0"/>
        </w:rPr>
        <w:tab/>
        <w:t>Facilitation of proof</w:t>
      </w:r>
      <w:bookmarkEnd w:id="3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 and</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 and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 and</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pPr>
      <w:r>
        <w:tab/>
        <w:t xml:space="preserve">[Section 31 amended by No. 70 of 1990 s. 6; No. 55 of 2004 s. 288 and 294; No. 84 of 2004 s. 79 and 82; No. 8 of 2009 s. 51(3).] </w:t>
      </w:r>
    </w:p>
    <w:p>
      <w:pPr>
        <w:pStyle w:val="Heading5"/>
        <w:spacing w:before="180"/>
        <w:rPr>
          <w:snapToGrid w:val="0"/>
        </w:rPr>
      </w:pPr>
      <w:bookmarkStart w:id="33" w:name="_Toc442255234"/>
      <w:r>
        <w:rPr>
          <w:rStyle w:val="CharSectno"/>
        </w:rPr>
        <w:t>32</w:t>
      </w:r>
      <w:r>
        <w:rPr>
          <w:snapToGrid w:val="0"/>
        </w:rPr>
        <w:t>.</w:t>
      </w:r>
      <w:r>
        <w:rPr>
          <w:snapToGrid w:val="0"/>
        </w:rPr>
        <w:tab/>
        <w:t>Contract for fees greater than scale to be voidable</w:t>
      </w:r>
      <w:bookmarkEnd w:id="33"/>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34" w:name="_Toc442255235"/>
      <w:r>
        <w:rPr>
          <w:rStyle w:val="CharSectno"/>
        </w:rPr>
        <w:t>33</w:t>
      </w:r>
      <w:r>
        <w:rPr>
          <w:snapToGrid w:val="0"/>
        </w:rPr>
        <w:t>.</w:t>
      </w:r>
      <w:r>
        <w:rPr>
          <w:snapToGrid w:val="0"/>
        </w:rPr>
        <w:tab/>
        <w:t>Fees demanded by persons other than licensed employment agents</w:t>
      </w:r>
      <w:bookmarkEnd w:id="3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35" w:name="_Toc442255236"/>
      <w:r>
        <w:rPr>
          <w:rStyle w:val="CharSectno"/>
        </w:rPr>
        <w:t>34</w:t>
      </w:r>
      <w:r>
        <w:rPr>
          <w:snapToGrid w:val="0"/>
        </w:rPr>
        <w:t>.</w:t>
      </w:r>
      <w:r>
        <w:rPr>
          <w:snapToGrid w:val="0"/>
        </w:rPr>
        <w:tab/>
        <w:t>Employment by agent</w:t>
      </w:r>
      <w:bookmarkEnd w:id="35"/>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36" w:name="_Toc442255237"/>
      <w:r>
        <w:rPr>
          <w:rStyle w:val="CharSectno"/>
        </w:rPr>
        <w:t>35</w:t>
      </w:r>
      <w:r>
        <w:rPr>
          <w:snapToGrid w:val="0"/>
        </w:rPr>
        <w:t>.</w:t>
      </w:r>
      <w:r>
        <w:rPr>
          <w:snapToGrid w:val="0"/>
        </w:rPr>
        <w:tab/>
        <w:t>Single hirings</w:t>
      </w:r>
      <w:bookmarkEnd w:id="3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37" w:name="_Toc442255238"/>
      <w:r>
        <w:rPr>
          <w:rStyle w:val="CharSectno"/>
        </w:rPr>
        <w:t>36</w:t>
      </w:r>
      <w:r>
        <w:rPr>
          <w:snapToGrid w:val="0"/>
        </w:rPr>
        <w:t>.</w:t>
      </w:r>
      <w:r>
        <w:rPr>
          <w:snapToGrid w:val="0"/>
        </w:rPr>
        <w:tab/>
        <w:t>Fees chargeable to employees generally</w:t>
      </w:r>
      <w:bookmarkEnd w:id="37"/>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38" w:name="_Toc442255239"/>
      <w:r>
        <w:rPr>
          <w:rStyle w:val="CharSectno"/>
        </w:rPr>
        <w:t>37</w:t>
      </w:r>
      <w:r>
        <w:rPr>
          <w:snapToGrid w:val="0"/>
        </w:rPr>
        <w:t>.</w:t>
      </w:r>
      <w:r>
        <w:rPr>
          <w:snapToGrid w:val="0"/>
        </w:rPr>
        <w:tab/>
        <w:t>Fees chargeable to employers generally</w:t>
      </w:r>
      <w:bookmarkEnd w:id="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39" w:name="_Toc442255240"/>
      <w:r>
        <w:rPr>
          <w:rStyle w:val="CharSectno"/>
        </w:rPr>
        <w:t>38</w:t>
      </w:r>
      <w:r>
        <w:rPr>
          <w:snapToGrid w:val="0"/>
        </w:rPr>
        <w:t>.</w:t>
      </w:r>
      <w:r>
        <w:rPr>
          <w:snapToGrid w:val="0"/>
        </w:rPr>
        <w:tab/>
        <w:t>Scale of fees and expenses</w:t>
      </w:r>
      <w:bookmarkEnd w:id="39"/>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 and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 and</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 and</w:t>
      </w:r>
    </w:p>
    <w:p>
      <w:pPr>
        <w:pStyle w:val="Indenta"/>
        <w:spacing w:before="120"/>
        <w:rPr>
          <w:snapToGrid w:val="0"/>
        </w:rPr>
      </w:pPr>
      <w:r>
        <w:rPr>
          <w:snapToGrid w:val="0"/>
        </w:rPr>
        <w:tab/>
        <w:t>(d)</w:t>
      </w:r>
      <w:r>
        <w:rPr>
          <w:snapToGrid w:val="0"/>
        </w:rPr>
        <w:tab/>
        <w:t>the time for payment; and</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40" w:name="_Toc442255241"/>
      <w:r>
        <w:rPr>
          <w:rStyle w:val="CharSectno"/>
        </w:rPr>
        <w:t>39</w:t>
      </w:r>
      <w:r>
        <w:rPr>
          <w:snapToGrid w:val="0"/>
        </w:rPr>
        <w:t>.</w:t>
      </w:r>
      <w:r>
        <w:rPr>
          <w:snapToGrid w:val="0"/>
        </w:rPr>
        <w:tab/>
        <w:t>Failure to arrange employment</w:t>
      </w:r>
      <w:bookmarkEnd w:id="4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41" w:name="_Toc442255242"/>
      <w:r>
        <w:rPr>
          <w:rStyle w:val="CharSectno"/>
        </w:rPr>
        <w:t>40</w:t>
      </w:r>
      <w:r>
        <w:rPr>
          <w:snapToGrid w:val="0"/>
        </w:rPr>
        <w:t>.</w:t>
      </w:r>
      <w:r>
        <w:rPr>
          <w:snapToGrid w:val="0"/>
        </w:rPr>
        <w:tab/>
        <w:t>Statements of account</w:t>
      </w:r>
      <w:bookmarkEnd w:id="4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 and</w:t>
      </w:r>
    </w:p>
    <w:p>
      <w:pPr>
        <w:pStyle w:val="Indenti"/>
        <w:keepNext/>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 and</w:t>
      </w:r>
    </w:p>
    <w:p>
      <w:pPr>
        <w:pStyle w:val="Indenti"/>
        <w:rPr>
          <w:snapToGrid w:val="0"/>
        </w:rPr>
      </w:pPr>
      <w:r>
        <w:rPr>
          <w:snapToGrid w:val="0"/>
        </w:rPr>
        <w:tab/>
        <w:t>(ii)</w:t>
      </w:r>
      <w:r>
        <w:rPr>
          <w:snapToGrid w:val="0"/>
        </w:rPr>
        <w:tab/>
        <w:t>the period of the employment; and</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42" w:name="_Toc442255243"/>
      <w:r>
        <w:rPr>
          <w:rStyle w:val="CharSectno"/>
        </w:rPr>
        <w:t>41</w:t>
      </w:r>
      <w:r>
        <w:rPr>
          <w:snapToGrid w:val="0"/>
        </w:rPr>
        <w:t>.</w:t>
      </w:r>
      <w:r>
        <w:rPr>
          <w:snapToGrid w:val="0"/>
        </w:rPr>
        <w:tab/>
        <w:t>Short term placements, and spurious interviews</w:t>
      </w:r>
      <w:bookmarkEnd w:id="4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43" w:name="_Toc442255244"/>
      <w:r>
        <w:rPr>
          <w:rStyle w:val="CharSectno"/>
        </w:rPr>
        <w:t>42</w:t>
      </w:r>
      <w:r>
        <w:rPr>
          <w:snapToGrid w:val="0"/>
        </w:rPr>
        <w:t>.</w:t>
      </w:r>
      <w:r>
        <w:rPr>
          <w:snapToGrid w:val="0"/>
        </w:rPr>
        <w:tab/>
        <w:t>Records of transactions</w:t>
      </w:r>
      <w:bookmarkEnd w:id="43"/>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 and</w:t>
      </w:r>
    </w:p>
    <w:p>
      <w:pPr>
        <w:pStyle w:val="Indenta"/>
        <w:rPr>
          <w:snapToGrid w:val="0"/>
        </w:rPr>
      </w:pPr>
      <w:r>
        <w:rPr>
          <w:snapToGrid w:val="0"/>
        </w:rPr>
        <w:tab/>
        <w:t>(b)</w:t>
      </w:r>
      <w:r>
        <w:rPr>
          <w:snapToGrid w:val="0"/>
        </w:rPr>
        <w:tab/>
        <w:t>the name and business address of the proposed employer; and</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pageBreakBefore/>
        <w:spacing w:before="0"/>
        <w:rPr>
          <w:snapToGrid w:val="0"/>
        </w:rPr>
      </w:pPr>
      <w:bookmarkStart w:id="44" w:name="_Toc442255245"/>
      <w:r>
        <w:rPr>
          <w:rStyle w:val="CharSectno"/>
        </w:rPr>
        <w:t>43</w:t>
      </w:r>
      <w:r>
        <w:rPr>
          <w:snapToGrid w:val="0"/>
        </w:rPr>
        <w:t>.</w:t>
      </w:r>
      <w:r>
        <w:rPr>
          <w:snapToGrid w:val="0"/>
        </w:rPr>
        <w:tab/>
        <w:t>Financial records</w:t>
      </w:r>
      <w:bookmarkEnd w:id="4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45" w:name="_Toc442255246"/>
      <w:r>
        <w:rPr>
          <w:rStyle w:val="CharSectno"/>
        </w:rPr>
        <w:t>44</w:t>
      </w:r>
      <w:r>
        <w:rPr>
          <w:snapToGrid w:val="0"/>
        </w:rPr>
        <w:t>.</w:t>
      </w:r>
      <w:r>
        <w:rPr>
          <w:snapToGrid w:val="0"/>
        </w:rPr>
        <w:tab/>
        <w:t>Responsibility for entries</w:t>
      </w:r>
      <w:bookmarkEnd w:id="45"/>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46" w:name="_Toc442255247"/>
      <w:r>
        <w:rPr>
          <w:rStyle w:val="CharSectno"/>
        </w:rPr>
        <w:t>45</w:t>
      </w:r>
      <w:r>
        <w:rPr>
          <w:snapToGrid w:val="0"/>
        </w:rPr>
        <w:t>.</w:t>
      </w:r>
      <w:r>
        <w:rPr>
          <w:snapToGrid w:val="0"/>
        </w:rPr>
        <w:tab/>
        <w:t>Retention of records</w:t>
      </w:r>
      <w:bookmarkEnd w:id="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by No. 55 of 2004 s. 294.]</w:t>
      </w:r>
    </w:p>
    <w:p>
      <w:pPr>
        <w:pStyle w:val="Heading5"/>
        <w:rPr>
          <w:snapToGrid w:val="0"/>
        </w:rPr>
      </w:pPr>
      <w:bookmarkStart w:id="47" w:name="_Toc442255248"/>
      <w:r>
        <w:rPr>
          <w:rStyle w:val="CharSectno"/>
        </w:rPr>
        <w:t>46</w:t>
      </w:r>
      <w:r>
        <w:rPr>
          <w:snapToGrid w:val="0"/>
        </w:rPr>
        <w:t>.</w:t>
      </w:r>
      <w:r>
        <w:rPr>
          <w:snapToGrid w:val="0"/>
        </w:rPr>
        <w:tab/>
        <w:t>Inspection of records</w:t>
      </w:r>
      <w:bookmarkEnd w:id="47"/>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Sch. 1 cl. 56(2).] </w:t>
      </w:r>
    </w:p>
    <w:p>
      <w:pPr>
        <w:pStyle w:val="Heading5"/>
        <w:rPr>
          <w:snapToGrid w:val="0"/>
        </w:rPr>
      </w:pPr>
      <w:bookmarkStart w:id="48" w:name="_Toc442255249"/>
      <w:r>
        <w:rPr>
          <w:rStyle w:val="CharSectno"/>
        </w:rPr>
        <w:t>47</w:t>
      </w:r>
      <w:r>
        <w:rPr>
          <w:snapToGrid w:val="0"/>
        </w:rPr>
        <w:t>.</w:t>
      </w:r>
      <w:r>
        <w:rPr>
          <w:snapToGrid w:val="0"/>
        </w:rPr>
        <w:tab/>
        <w:t>Offences</w:t>
      </w:r>
      <w:bookmarkEnd w:id="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 or</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 or</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 or</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 or</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 or</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 or</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49" w:name="_Toc442255250"/>
      <w:r>
        <w:rPr>
          <w:rStyle w:val="CharSectno"/>
        </w:rPr>
        <w:t>48</w:t>
      </w:r>
      <w:r>
        <w:t>.</w:t>
      </w:r>
      <w:r>
        <w:tab/>
        <w:t>Information officially obtained to be confidential</w:t>
      </w:r>
      <w:bookmarkEnd w:id="4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50" w:name="_Toc442255251"/>
      <w:r>
        <w:rPr>
          <w:rStyle w:val="CharSectno"/>
        </w:rPr>
        <w:t>48A</w:t>
      </w:r>
      <w:r>
        <w:t>.</w:t>
      </w:r>
      <w:r>
        <w:tab/>
        <w:t>Delegation by Commissioner</w:t>
      </w:r>
      <w:bookmarkEnd w:id="5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51" w:name="_Toc442255252"/>
      <w:r>
        <w:rPr>
          <w:rStyle w:val="CharSectno"/>
        </w:rPr>
        <w:t>49</w:t>
      </w:r>
      <w:r>
        <w:rPr>
          <w:snapToGrid w:val="0"/>
        </w:rPr>
        <w:t>.</w:t>
      </w:r>
      <w:r>
        <w:rPr>
          <w:snapToGrid w:val="0"/>
        </w:rPr>
        <w:tab/>
        <w:t>Immunity</w:t>
      </w:r>
      <w:bookmarkEnd w:id="51"/>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52" w:name="_Toc442255253"/>
      <w:r>
        <w:rPr>
          <w:rStyle w:val="CharSectno"/>
        </w:rPr>
        <w:t>49A</w:t>
      </w:r>
      <w:r>
        <w:rPr>
          <w:snapToGrid w:val="0"/>
        </w:rPr>
        <w:t>.</w:t>
      </w:r>
      <w:r>
        <w:rPr>
          <w:snapToGrid w:val="0"/>
        </w:rPr>
        <w:tab/>
      </w:r>
      <w:r>
        <w:t>Judicial</w:t>
      </w:r>
      <w:r>
        <w:rPr>
          <w:snapToGrid w:val="0"/>
        </w:rPr>
        <w:t xml:space="preserve"> notice</w:t>
      </w:r>
      <w:bookmarkEnd w:id="5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53" w:name="_Toc442255254"/>
      <w:r>
        <w:rPr>
          <w:rStyle w:val="CharSectno"/>
        </w:rPr>
        <w:t>50</w:t>
      </w:r>
      <w:r>
        <w:rPr>
          <w:snapToGrid w:val="0"/>
        </w:rPr>
        <w:t>.</w:t>
      </w:r>
      <w:r>
        <w:rPr>
          <w:snapToGrid w:val="0"/>
        </w:rPr>
        <w:tab/>
        <w:t>Other rights and remedies</w:t>
      </w:r>
      <w:bookmarkEnd w:id="5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4" w:name="_Toc442255255"/>
      <w:r>
        <w:rPr>
          <w:rStyle w:val="CharSectno"/>
        </w:rPr>
        <w:t>51</w:t>
      </w:r>
      <w:r>
        <w:rPr>
          <w:snapToGrid w:val="0"/>
        </w:rPr>
        <w:t>.</w:t>
      </w:r>
      <w:r>
        <w:rPr>
          <w:snapToGrid w:val="0"/>
        </w:rPr>
        <w:tab/>
        <w:t>Records to be available to clients</w:t>
      </w:r>
      <w:bookmarkEnd w:id="5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55" w:name="_Toc442255256"/>
      <w:r>
        <w:rPr>
          <w:rStyle w:val="CharSectno"/>
        </w:rPr>
        <w:t>52</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 and</w:t>
      </w:r>
    </w:p>
    <w:p>
      <w:pPr>
        <w:pStyle w:val="Indenta"/>
        <w:rPr>
          <w:snapToGrid w:val="0"/>
        </w:rPr>
      </w:pPr>
      <w:r>
        <w:rPr>
          <w:snapToGrid w:val="0"/>
        </w:rPr>
        <w:tab/>
        <w:t>(b)</w:t>
      </w:r>
      <w:r>
        <w:rPr>
          <w:snapToGrid w:val="0"/>
        </w:rPr>
        <w:tab/>
        <w:t>impose penalties not exceeding a fine of $200 in respect of a contravention of any of the regulations; and</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 and</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56" w:name="_Toc441134496"/>
      <w:bookmarkStart w:id="57" w:name="_Toc442255257"/>
      <w:r>
        <w:t>Notes</w:t>
      </w:r>
      <w:bookmarkEnd w:id="56"/>
      <w:bookmarkEnd w:id="57"/>
    </w:p>
    <w:p>
      <w:pPr>
        <w:pStyle w:val="nSubsection"/>
      </w:pPr>
      <w:r>
        <w:rPr>
          <w:vertAlign w:val="superscript"/>
        </w:rPr>
        <w:t>1</w:t>
      </w:r>
      <w:r>
        <w:tab/>
        <w:t xml:space="preserve">This reprint is a compilation as at 5 February 2016 of the </w:t>
      </w:r>
      <w:r>
        <w:rPr>
          <w:i/>
        </w:rPr>
        <w:t xml:space="preserve">Employment Agents Act 1976 </w:t>
      </w:r>
      <w:r>
        <w:t>and includes the amendments made by the other written laws referred to in the following table.  The table also contains information about any reprint.</w:t>
      </w:r>
    </w:p>
    <w:p>
      <w:pPr>
        <w:pStyle w:val="nHeading3"/>
        <w:rPr>
          <w:snapToGrid w:val="0"/>
        </w:rPr>
      </w:pPr>
      <w:bookmarkStart w:id="58" w:name="_Toc442255258"/>
      <w:r>
        <w:rPr>
          <w:snapToGrid w:val="0"/>
        </w:rP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Employment Agents Act 1976</w:t>
            </w:r>
          </w:p>
        </w:tc>
        <w:tc>
          <w:tcPr>
            <w:tcW w:w="1134" w:type="dxa"/>
            <w:tcBorders>
              <w:top w:val="single" w:sz="8" w:space="0" w:color="auto"/>
            </w:tcBorders>
          </w:tcPr>
          <w:p>
            <w:pPr>
              <w:pStyle w:val="nTable"/>
              <w:spacing w:after="40"/>
            </w:pPr>
            <w:r>
              <w:t>10 of 1976</w:t>
            </w:r>
          </w:p>
        </w:tc>
        <w:tc>
          <w:tcPr>
            <w:tcW w:w="1134" w:type="dxa"/>
            <w:tcBorders>
              <w:top w:val="single" w:sz="8" w:space="0" w:color="auto"/>
            </w:tcBorders>
          </w:tcPr>
          <w:p>
            <w:pPr>
              <w:pStyle w:val="nTable"/>
              <w:spacing w:after="40"/>
            </w:pPr>
            <w:r>
              <w:t>27 May 1976</w:t>
            </w:r>
          </w:p>
        </w:tc>
        <w:tc>
          <w:tcPr>
            <w:tcW w:w="2552" w:type="dxa"/>
            <w:tcBorders>
              <w:top w:val="single" w:sz="8" w:space="0" w:color="auto"/>
            </w:tcBorders>
          </w:tcPr>
          <w:p>
            <w:pPr>
              <w:pStyle w:val="nTable"/>
              <w:spacing w:after="40"/>
            </w:pPr>
            <w:r>
              <w:t xml:space="preserve">1 Nov 1976 (see s. 2 and </w:t>
            </w:r>
            <w:r>
              <w:rPr>
                <w:i/>
              </w:rPr>
              <w:t>Gazette</w:t>
            </w:r>
            <w:r>
              <w:t xml:space="preserve"> 24 Sep 1976 p. 3493)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Employment Agents Amendment Act 1990</w:t>
            </w:r>
          </w:p>
        </w:tc>
        <w:tc>
          <w:tcPr>
            <w:tcW w:w="1134" w:type="dxa"/>
          </w:tcPr>
          <w:p>
            <w:pPr>
              <w:pStyle w:val="nTable"/>
              <w:spacing w:after="40"/>
            </w:pPr>
            <w:r>
              <w:t>70 of 1990</w:t>
            </w:r>
          </w:p>
        </w:tc>
        <w:tc>
          <w:tcPr>
            <w:tcW w:w="1134" w:type="dxa"/>
          </w:tcPr>
          <w:p>
            <w:pPr>
              <w:pStyle w:val="nTable"/>
              <w:spacing w:after="40"/>
            </w:pPr>
            <w:r>
              <w:t>22 Dec 1990</w:t>
            </w:r>
          </w:p>
        </w:tc>
        <w:tc>
          <w:tcPr>
            <w:tcW w:w="2552" w:type="dxa"/>
          </w:tcPr>
          <w:p>
            <w:pPr>
              <w:pStyle w:val="nTable"/>
              <w:spacing w:after="40"/>
            </w:pPr>
            <w:r>
              <w:t xml:space="preserve">19 Apr 1991 (see s. 2 and </w:t>
            </w:r>
            <w:r>
              <w:rPr>
                <w:i/>
              </w:rPr>
              <w:t>Gazette</w:t>
            </w:r>
            <w:r>
              <w:t xml:space="preserve"> 19 Apr 1991 p. 1711)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Business Licensing Amendment Act 1995</w:t>
            </w:r>
            <w:r>
              <w:t xml:space="preserve"> Pt. 4 </w:t>
            </w:r>
            <w:r>
              <w:rPr>
                <w:vertAlign w:val="superscript"/>
              </w:rPr>
              <w:t>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1 Jan 1996 (see s. 2(3))</w:t>
            </w:r>
          </w:p>
        </w:tc>
      </w:tr>
      <w:tr>
        <w:trPr>
          <w:cantSplit/>
        </w:trPr>
        <w:tc>
          <w:tcPr>
            <w:tcW w:w="2268" w:type="dxa"/>
          </w:tcPr>
          <w:p>
            <w:pPr>
              <w:pStyle w:val="nTable"/>
              <w:spacing w:after="40"/>
              <w:ind w:right="113"/>
            </w:pPr>
            <w:r>
              <w:rPr>
                <w:i/>
              </w:rPr>
              <w:t>Statutes (Repeals and Minor Amendments) Act 1997</w:t>
            </w:r>
            <w:r>
              <w:t xml:space="preserve"> 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Pr>
          <w:p>
            <w:pPr>
              <w:pStyle w:val="nTable"/>
              <w:spacing w:after="40"/>
              <w:rPr>
                <w:bCs/>
                <w:i/>
                <w:snapToGrid w:val="0"/>
                <w:vertAlign w:val="superscript"/>
              </w:rPr>
            </w:pPr>
            <w:r>
              <w:rPr>
                <w:i/>
                <w:iCs/>
                <w:snapToGrid w:val="0"/>
              </w:rPr>
              <w:t>Courts Legislation Amendment and Repeal Act 2004</w:t>
            </w:r>
            <w:r>
              <w:rPr>
                <w:snapToGrid w:val="0"/>
              </w:rPr>
              <w:t xml:space="preserve"> s. 141 </w:t>
            </w:r>
            <w:r>
              <w:rPr>
                <w:snapToGrid w:val="0"/>
                <w:vertAlign w:val="superscript"/>
              </w:rPr>
              <w:t>4</w:t>
            </w:r>
          </w:p>
        </w:tc>
        <w:tc>
          <w:tcPr>
            <w:tcW w:w="1134" w:type="dxa"/>
          </w:tcPr>
          <w:p>
            <w:pPr>
              <w:pStyle w:val="nTable"/>
              <w:spacing w:after="40"/>
              <w:rPr>
                <w:bCs/>
              </w:rPr>
            </w:pPr>
            <w:r>
              <w:rPr>
                <w:snapToGrid w:val="0"/>
              </w:rPr>
              <w:t>59 of 2004 (as amended by No. 2 of 2008 s. 77(13))</w:t>
            </w:r>
          </w:p>
        </w:tc>
        <w:tc>
          <w:tcPr>
            <w:tcW w:w="1134" w:type="dxa"/>
          </w:tcPr>
          <w:p>
            <w:pPr>
              <w:pStyle w:val="nTable"/>
              <w:spacing w:after="40"/>
              <w:rPr>
                <w:bCs/>
              </w:rPr>
            </w:pPr>
            <w:r>
              <w:rPr>
                <w:snapToGrid w:val="0"/>
              </w:rPr>
              <w:t>23 Nov 2004</w:t>
            </w:r>
          </w:p>
        </w:tc>
        <w:tc>
          <w:tcPr>
            <w:tcW w:w="2552" w:type="dxa"/>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5</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b/>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11 </w:t>
            </w:r>
            <w:r>
              <w:rPr>
                <w:bCs/>
                <w:snapToGrid w:val="0"/>
                <w:vertAlign w:val="superscript"/>
              </w:rPr>
              <w:t>6</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88" w:type="dxa"/>
            <w:gridSpan w:val="4"/>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Pr>
          <w:p>
            <w:pPr>
              <w:pStyle w:val="nTable"/>
              <w:spacing w:after="40"/>
              <w:rPr>
                <w:bCs/>
                <w:i/>
                <w:snapToGrid w:val="0"/>
              </w:rPr>
            </w:pPr>
            <w:r>
              <w:rPr>
                <w:i/>
                <w:snapToGrid w:val="0"/>
              </w:rPr>
              <w:t xml:space="preserve">Financial Legislation Amendment and Repeal Act 2006 </w:t>
            </w:r>
            <w:r>
              <w:rPr>
                <w:iCs/>
                <w:snapToGrid w:val="0"/>
              </w:rPr>
              <w:t>Sch. 1 cl. 56</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pPr>
            <w:r>
              <w:rPr>
                <w:i/>
                <w:noProof/>
                <w:snapToGrid w:val="0"/>
              </w:rPr>
              <w:t xml:space="preserve">Business Names (Commonwealth Powers) Act 2012 </w:t>
            </w:r>
            <w:r>
              <w:rPr>
                <w:snapToGrid w:val="0"/>
              </w:rPr>
              <w:t>Pt. 4 Div. 2</w:t>
            </w:r>
          </w:p>
        </w:tc>
        <w:tc>
          <w:tcPr>
            <w:tcW w:w="1134" w:type="dxa"/>
          </w:tcPr>
          <w:p>
            <w:pPr>
              <w:pStyle w:val="nTable"/>
              <w:spacing w:after="40"/>
            </w:pPr>
            <w:r>
              <w:t>6 of 2012</w:t>
            </w:r>
          </w:p>
        </w:tc>
        <w:tc>
          <w:tcPr>
            <w:tcW w:w="1134" w:type="dxa"/>
          </w:tcPr>
          <w:p>
            <w:pPr>
              <w:pStyle w:val="nTable"/>
              <w:spacing w:after="40"/>
            </w:pPr>
            <w:r>
              <w:t>10 Apr 2012</w:t>
            </w:r>
          </w:p>
        </w:tc>
        <w:tc>
          <w:tcPr>
            <w:tcW w:w="2552" w:type="dxa"/>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r>
        <w:trPr>
          <w:cantSplit/>
        </w:trPr>
        <w:tc>
          <w:tcPr>
            <w:tcW w:w="2268" w:type="dxa"/>
            <w:shd w:val="clear" w:color="auto" w:fill="auto"/>
          </w:tcPr>
          <w:p>
            <w:pPr>
              <w:pStyle w:val="nTable"/>
              <w:spacing w:after="40"/>
              <w:ind w:right="113"/>
              <w:rPr>
                <w:i/>
                <w:noProof/>
                <w:snapToGrid w:val="0"/>
              </w:rPr>
            </w:pPr>
            <w:r>
              <w:rPr>
                <w:i/>
                <w:noProof/>
                <w:snapToGrid w:val="0"/>
              </w:rPr>
              <w:t>Consumer Protection Legislation Amendment Act 2014</w:t>
            </w:r>
            <w:r>
              <w:rPr>
                <w:noProof/>
                <w:snapToGrid w:val="0"/>
              </w:rPr>
              <w:t xml:space="preserve"> Pt. 3</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Employment Agents Act 1976</w:t>
            </w:r>
            <w:r>
              <w:rPr>
                <w:b/>
                <w:snapToGrid w:val="0"/>
              </w:rPr>
              <w:t xml:space="preserve"> as at 5 Feb 2016</w:t>
            </w:r>
            <w:r>
              <w:rPr>
                <w:snapToGrid w:val="0"/>
              </w:rPr>
              <w:t xml:space="preserve"> (includes amendments listed above)</w:t>
            </w:r>
          </w:p>
        </w:tc>
      </w:tr>
    </w:tbl>
    <w:p>
      <w:pPr>
        <w:pStyle w:val="nSubsection"/>
        <w:spacing w:before="160"/>
      </w:pPr>
      <w:r>
        <w:rPr>
          <w:vertAlign w:val="superscript"/>
        </w:rPr>
        <w:t>2</w:t>
      </w:r>
      <w:r>
        <w:tab/>
        <w:t xml:space="preserve">On the date as at which this reprint was prepared the department principally assisting the Minister in the administration of the </w:t>
      </w:r>
      <w:r>
        <w:rPr>
          <w:i/>
        </w:rPr>
        <w:t>Consumer Affairs Act 1971</w:t>
      </w:r>
      <w:r>
        <w:t xml:space="preserve"> was the Department of Commerce.</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snapToGrid w:val="0"/>
        </w:rPr>
      </w:pPr>
      <w:r>
        <w:rPr>
          <w:snapToGrid w:val="0"/>
          <w:vertAlign w:val="superscript"/>
        </w:rPr>
        <w:t>4</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6</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60" w:name="_Toc441134498"/>
      <w:bookmarkStart w:id="61" w:name="_Toc442255259"/>
      <w:r>
        <w:rPr>
          <w:sz w:val="28"/>
        </w:rPr>
        <w:t>Defined terms</w:t>
      </w:r>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D72CFA" w:rsidRDefault="00D72CF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7B2A"/>
    <w:multiLevelType w:val="multilevel"/>
    <w:tmpl w:val="ABBCD4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7EEC751F"/>
    <w:multiLevelType w:val="multilevel"/>
    <w:tmpl w:val="D2D4A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1101045"/>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 w:name="WAFER_20160121101045" w:val="RemoveTocBookmarks,RemoveUnusedBookmarks,RemoveLanguageTags,UsedStyles,RemoveTrackChanges"/>
    <w:docVar w:name="WAFER_20160121101045_GUID" w:val="2ff3cb1e-2a3d-48d5-8222-ff6e8a6fbc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10728</Words>
  <Characters>49993</Characters>
  <Application>Microsoft Office Word</Application>
  <DocSecurity>0</DocSecurity>
  <Lines>1388</Lines>
  <Paragraphs>722</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59999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1976 - 03-00-00</dc:title>
  <dc:subject/>
  <dc:creator/>
  <cp:keywords/>
  <dc:description/>
  <cp:lastModifiedBy>svcMRProcess</cp:lastModifiedBy>
  <cp:revision>4</cp:revision>
  <cp:lastPrinted>2016-02-16T03:41:00Z</cp:lastPrinted>
  <dcterms:created xsi:type="dcterms:W3CDTF">2020-03-07T18:38:00Z</dcterms:created>
  <dcterms:modified xsi:type="dcterms:W3CDTF">2020-03-07T18:38:00Z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20160205</vt:lpwstr>
  </property>
  <property fmtid="{D5CDD505-2E9C-101B-9397-08002B2CF9AE}" pid="4" name="DocumentType">
    <vt:lpwstr>Act</vt:lpwstr>
  </property>
  <property fmtid="{D5CDD505-2E9C-101B-9397-08002B2CF9AE}" pid="5" name="OwlsUID">
    <vt:i4>250</vt:i4>
  </property>
  <property fmtid="{D5CDD505-2E9C-101B-9397-08002B2CF9AE}" pid="6" name="AsAtDate">
    <vt:lpwstr>05 Feb 2016</vt:lpwstr>
  </property>
  <property fmtid="{D5CDD505-2E9C-101B-9397-08002B2CF9AE}" pid="7" name="Suffix">
    <vt:lpwstr>03-00-00</vt:lpwstr>
  </property>
  <property fmtid="{D5CDD505-2E9C-101B-9397-08002B2CF9AE}" pid="8" name="ReprintedAsAt">
    <vt:filetime>2016-02-04T16:00:00Z</vt:filetime>
  </property>
  <property fmtid="{D5CDD505-2E9C-101B-9397-08002B2CF9AE}" pid="9" name="ReprintNo">
    <vt:lpwstr>3</vt:lpwstr>
  </property>
</Properties>
</file>