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(Rules of Conduct)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_Toc444852473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_Toc444852474 \h </w:instrText>
      </w:r>
      <w:r>
        <w:fldChar w:fldCharType="separate"/>
      </w:r>
      <w:r>
        <w:t>1</w:t>
      </w:r>
      <w:r>
        <w:fldChar w:fldCharType="end"/>
      </w:r>
    </w:p>
    <w:p>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_Toc444852475 \h </w:instrText>
      </w:r>
      <w:r>
        <w:fldChar w:fldCharType="separate"/>
      </w:r>
      <w:r>
        <w:t>1</w:t>
      </w:r>
      <w:r>
        <w:fldChar w:fldCharType="end"/>
      </w:r>
    </w:p>
    <w:p>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_Toc444852476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Rules of conduct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_Toc444852479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Rules of conduct: general</w:t>
      </w:r>
    </w:p>
    <w:p>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_Toc444852481 \h </w:instrText>
      </w:r>
      <w:r>
        <w:fldChar w:fldCharType="separate"/>
      </w:r>
      <w:r>
        <w:t>3</w:t>
      </w:r>
      <w:r>
        <w:fldChar w:fldCharType="end"/>
      </w:r>
    </w:p>
    <w:p>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_Toc444852482 \h </w:instrText>
      </w:r>
      <w:r>
        <w:fldChar w:fldCharType="separate"/>
      </w:r>
      <w:r>
        <w:t>4</w:t>
      </w:r>
      <w:r>
        <w:fldChar w:fldCharType="end"/>
      </w:r>
    </w:p>
    <w:p>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_Toc444852483 \h </w:instrText>
      </w:r>
      <w:r>
        <w:fldChar w:fldCharType="separate"/>
      </w:r>
      <w:r>
        <w:t>4</w:t>
      </w:r>
      <w:r>
        <w:fldChar w:fldCharType="end"/>
      </w:r>
    </w:p>
    <w:p>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_Toc444852484 \h </w:instrText>
      </w:r>
      <w:r>
        <w:fldChar w:fldCharType="separate"/>
      </w:r>
      <w:r>
        <w:t>5</w:t>
      </w:r>
      <w:r>
        <w:fldChar w:fldCharType="end"/>
      </w:r>
    </w:p>
    <w:p>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_Toc444852485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_Toc444852486 \h </w:instrText>
      </w:r>
      <w:r>
        <w:fldChar w:fldCharType="separate"/>
      </w:r>
      <w:r>
        <w:t>6</w:t>
      </w:r>
      <w:r>
        <w:fldChar w:fldCharType="end"/>
      </w:r>
    </w:p>
    <w:p>
      <w:pPr>
        <w:pStyle w:val="TOC8"/>
        <w:rPr>
          <w:rFonts w:asciiTheme="minorHAnsi" w:eastAsiaTheme="minorEastAsia" w:hAnsiTheme="minorHAnsi" w:cstheme="minorBidi"/>
          <w:szCs w:val="22"/>
        </w:rPr>
      </w:pPr>
      <w:r>
        <w:t>12.</w:t>
      </w:r>
      <w:r>
        <w:tab/>
        <w:t>Gifts</w:t>
      </w:r>
      <w:r>
        <w:tab/>
      </w:r>
      <w:r>
        <w:fldChar w:fldCharType="begin"/>
      </w:r>
      <w:r>
        <w:instrText xml:space="preserve"> PAGEREF _Toc444852487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Rules of conduct: transitional period</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_Toc444852489 \h </w:instrText>
      </w:r>
      <w:r>
        <w:fldChar w:fldCharType="separate"/>
      </w:r>
      <w:r>
        <w:t>9</w:t>
      </w:r>
      <w:r>
        <w:fldChar w:fldCharType="end"/>
      </w:r>
    </w:p>
    <w:p>
      <w:pPr>
        <w:pStyle w:val="TOC8"/>
        <w:rPr>
          <w:rFonts w:asciiTheme="minorHAnsi" w:eastAsiaTheme="minorEastAsia" w:hAnsiTheme="minorHAnsi" w:cstheme="minorBidi"/>
          <w:szCs w:val="22"/>
        </w:rPr>
      </w:pPr>
      <w:r>
        <w:t>14.</w:t>
      </w:r>
      <w:r>
        <w:tab/>
        <w:t>Disclosure of gifts</w:t>
      </w:r>
      <w:r>
        <w:tab/>
      </w:r>
      <w:r>
        <w:fldChar w:fldCharType="begin"/>
      </w:r>
      <w:r>
        <w:instrText xml:space="preserve"> PAGEREF _Toc444852490 \h </w:instrText>
      </w:r>
      <w:r>
        <w:fldChar w:fldCharType="separate"/>
      </w:r>
      <w:r>
        <w:t>9</w:t>
      </w:r>
      <w:r>
        <w:fldChar w:fldCharType="end"/>
      </w:r>
    </w:p>
    <w:p>
      <w:pPr>
        <w:pStyle w:val="TOC8"/>
        <w:rPr>
          <w:rFonts w:asciiTheme="minorHAnsi" w:eastAsiaTheme="minorEastAsia" w:hAnsiTheme="minorHAnsi" w:cstheme="minorBidi"/>
          <w:szCs w:val="22"/>
        </w:rPr>
      </w:pPr>
      <w:r>
        <w:t>15.</w:t>
      </w:r>
      <w:r>
        <w:tab/>
        <w:t>Disclosure of travel contributions</w:t>
      </w:r>
      <w:r>
        <w:tab/>
      </w:r>
      <w:r>
        <w:fldChar w:fldCharType="begin"/>
      </w:r>
      <w:r>
        <w:instrText xml:space="preserve"> PAGEREF _Toc444852491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_Toc444852493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spacing w:before="0" w:after="0"/>
      </w:pPr>
      <w:r>
        <w:t>Local Government (Rules of Conduct) Regulations 2007</w:t>
      </w:r>
    </w:p>
    <w:p>
      <w:pPr>
        <w:pStyle w:val="Heading2"/>
        <w:pageBreakBefore w:val="0"/>
        <w:spacing w:before="240"/>
      </w:pPr>
      <w:bookmarkStart w:id="3" w:name="_Toc379205772"/>
      <w:bookmarkStart w:id="4" w:name="_Toc421011428"/>
      <w:bookmarkStart w:id="5" w:name="_Toc421011444"/>
      <w:bookmarkStart w:id="6" w:name="_Toc444851425"/>
      <w:bookmarkStart w:id="7" w:name="_Toc444852472"/>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p>
    <w:p>
      <w:pPr>
        <w:pStyle w:val="Heading5"/>
      </w:pPr>
      <w:bookmarkStart w:id="8" w:name="_Toc379205773"/>
      <w:bookmarkStart w:id="9" w:name="_Toc444852473"/>
      <w:r>
        <w:rPr>
          <w:rStyle w:val="CharSectno"/>
        </w:rPr>
        <w:t>1</w:t>
      </w:r>
      <w:r>
        <w:t>.</w:t>
      </w:r>
      <w:r>
        <w:tab/>
        <w:t>Citation</w:t>
      </w:r>
      <w:bookmarkEnd w:id="8"/>
      <w:bookmarkEnd w:id="9"/>
    </w:p>
    <w:p>
      <w:pPr>
        <w:pStyle w:val="Subsection"/>
        <w:ind w:right="282"/>
      </w:pPr>
      <w:r>
        <w:tab/>
      </w:r>
      <w:r>
        <w:tab/>
      </w:r>
      <w:bookmarkStart w:id="10" w:name="Start_Cursor"/>
      <w:bookmarkEnd w:id="10"/>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11" w:name="_Toc379205774"/>
      <w:bookmarkStart w:id="12" w:name="_Toc444852474"/>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3" w:name="_Toc379205775"/>
      <w:bookmarkStart w:id="14" w:name="_Toc444852475"/>
      <w:r>
        <w:rPr>
          <w:rStyle w:val="CharSectno"/>
        </w:rPr>
        <w:t>3</w:t>
      </w:r>
      <w:r>
        <w:t>.</w:t>
      </w:r>
      <w:r>
        <w:tab/>
        <w:t>General principles to guide the behaviour of council members</w:t>
      </w:r>
      <w:bookmarkEnd w:id="13"/>
      <w:bookmarkEnd w:id="14"/>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5" w:name="_Toc379205776"/>
      <w:bookmarkStart w:id="16" w:name="_Toc444852476"/>
      <w:r>
        <w:rPr>
          <w:rStyle w:val="CharSectno"/>
        </w:rPr>
        <w:t>4</w:t>
      </w:r>
      <w:r>
        <w:t>.</w:t>
      </w:r>
      <w:r>
        <w:tab/>
        <w:t>Contravention of certain local laws</w:t>
      </w:r>
      <w:bookmarkEnd w:id="15"/>
      <w:bookmarkEnd w:id="16"/>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7" w:name="_Toc379205777"/>
      <w:bookmarkStart w:id="18" w:name="_Toc421011433"/>
      <w:bookmarkStart w:id="19" w:name="_Toc421011449"/>
      <w:bookmarkStart w:id="20" w:name="_Toc444851430"/>
      <w:bookmarkStart w:id="21" w:name="_Toc444852477"/>
      <w:r>
        <w:rPr>
          <w:rStyle w:val="CharPartNo"/>
        </w:rPr>
        <w:t>Part 2</w:t>
      </w:r>
      <w:r>
        <w:t> — </w:t>
      </w:r>
      <w:r>
        <w:rPr>
          <w:rStyle w:val="CharPartText"/>
        </w:rPr>
        <w:t>Rules of conduct</w:t>
      </w:r>
      <w:bookmarkEnd w:id="17"/>
      <w:bookmarkEnd w:id="18"/>
      <w:bookmarkEnd w:id="19"/>
      <w:bookmarkEnd w:id="20"/>
      <w:bookmarkEnd w:id="21"/>
    </w:p>
    <w:p>
      <w:pPr>
        <w:pStyle w:val="Heading3"/>
      </w:pPr>
      <w:bookmarkStart w:id="22" w:name="_Toc444851431"/>
      <w:bookmarkStart w:id="23" w:name="_Toc444852478"/>
      <w:bookmarkStart w:id="24" w:name="_Toc379205778"/>
      <w:r>
        <w:rPr>
          <w:rStyle w:val="CharDivNo"/>
        </w:rPr>
        <w:t>Division 1</w:t>
      </w:r>
      <w:r>
        <w:t> — </w:t>
      </w:r>
      <w:r>
        <w:rPr>
          <w:rStyle w:val="CharDivText"/>
        </w:rPr>
        <w:t>Preliminary</w:t>
      </w:r>
      <w:bookmarkEnd w:id="22"/>
      <w:bookmarkEnd w:id="23"/>
    </w:p>
    <w:p>
      <w:pPr>
        <w:pStyle w:val="Footnoteheading"/>
      </w:pPr>
      <w:r>
        <w:tab/>
        <w:t>[Heading inserted in Gazette 4 Mar 2016 p. 659.]</w:t>
      </w:r>
    </w:p>
    <w:p>
      <w:pPr>
        <w:pStyle w:val="Heading5"/>
      </w:pPr>
      <w:bookmarkStart w:id="25" w:name="_Toc444852479"/>
      <w:r>
        <w:rPr>
          <w:rStyle w:val="CharSectno"/>
        </w:rPr>
        <w:t>5</w:t>
      </w:r>
      <w:r>
        <w:t>.</w:t>
      </w:r>
      <w:r>
        <w:tab/>
        <w:t>Rules of conduct</w:t>
      </w:r>
      <w:bookmarkEnd w:id="24"/>
      <w:bookmarkEnd w:id="25"/>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26" w:name="_Toc444851433"/>
      <w:bookmarkStart w:id="27" w:name="_Toc444852480"/>
      <w:bookmarkStart w:id="28" w:name="_Toc379205779"/>
      <w:r>
        <w:rPr>
          <w:rStyle w:val="CharDivNo"/>
        </w:rPr>
        <w:t>Division 2</w:t>
      </w:r>
      <w:r>
        <w:t> — </w:t>
      </w:r>
      <w:r>
        <w:rPr>
          <w:rStyle w:val="CharDivText"/>
        </w:rPr>
        <w:t>Rules of conduct: general</w:t>
      </w:r>
      <w:bookmarkEnd w:id="26"/>
      <w:bookmarkEnd w:id="27"/>
    </w:p>
    <w:p>
      <w:pPr>
        <w:pStyle w:val="Footnoteheading"/>
      </w:pPr>
      <w:r>
        <w:tab/>
        <w:t>[Heading inserted in Gazette 4 Mar 2016 p. 660.]</w:t>
      </w:r>
    </w:p>
    <w:p>
      <w:pPr>
        <w:pStyle w:val="Heading5"/>
      </w:pPr>
      <w:bookmarkStart w:id="29" w:name="_Toc444852481"/>
      <w:r>
        <w:rPr>
          <w:rStyle w:val="CharSectno"/>
        </w:rPr>
        <w:t>6</w:t>
      </w:r>
      <w:r>
        <w:t>.</w:t>
      </w:r>
      <w:r>
        <w:tab/>
        <w:t>Use of information</w:t>
      </w:r>
      <w:bookmarkEnd w:id="28"/>
      <w:bookmarkEnd w:id="29"/>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30" w:name="_Toc379205780"/>
      <w:bookmarkStart w:id="31" w:name="_Toc444852482"/>
      <w:r>
        <w:rPr>
          <w:rStyle w:val="CharSectno"/>
        </w:rPr>
        <w:t>7</w:t>
      </w:r>
      <w:r>
        <w:t>.</w:t>
      </w:r>
      <w:r>
        <w:tab/>
        <w:t>Securing personal advantage or disadvantaging others</w:t>
      </w:r>
      <w:bookmarkEnd w:id="30"/>
      <w:bookmarkEnd w:id="31"/>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32" w:name="_Toc379205781"/>
      <w:bookmarkStart w:id="33" w:name="_Toc444852483"/>
      <w:r>
        <w:rPr>
          <w:rStyle w:val="CharSectno"/>
        </w:rPr>
        <w:t>8</w:t>
      </w:r>
      <w:r>
        <w:t>.</w:t>
      </w:r>
      <w:r>
        <w:tab/>
        <w:t>Misuse of local government resources</w:t>
      </w:r>
      <w:bookmarkEnd w:id="32"/>
      <w:bookmarkEnd w:id="33"/>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34" w:name="_Toc379205782"/>
      <w:bookmarkStart w:id="35" w:name="_Toc444852484"/>
      <w:r>
        <w:rPr>
          <w:rStyle w:val="CharSectno"/>
        </w:rPr>
        <w:t>9</w:t>
      </w:r>
      <w:r>
        <w:t>.</w:t>
      </w:r>
      <w:r>
        <w:tab/>
        <w:t>Prohibition against involvement in administration</w:t>
      </w:r>
      <w:bookmarkEnd w:id="34"/>
      <w:bookmarkEnd w:id="35"/>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36" w:name="_Toc379205783"/>
      <w:bookmarkStart w:id="37" w:name="_Toc444852485"/>
      <w:r>
        <w:rPr>
          <w:rStyle w:val="CharSectno"/>
        </w:rPr>
        <w:t>10</w:t>
      </w:r>
      <w:r>
        <w:t>.</w:t>
      </w:r>
      <w:r>
        <w:tab/>
        <w:t>Relations with local government employees</w:t>
      </w:r>
      <w:bookmarkEnd w:id="36"/>
      <w:bookmarkEnd w:id="37"/>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38" w:name="_Toc379205784"/>
      <w:bookmarkStart w:id="39" w:name="_Toc444852486"/>
      <w:r>
        <w:rPr>
          <w:rStyle w:val="CharSectno"/>
        </w:rPr>
        <w:t>11</w:t>
      </w:r>
      <w:r>
        <w:t>.</w:t>
      </w:r>
      <w:r>
        <w:tab/>
        <w:t>Disclosure of interest</w:t>
      </w:r>
      <w:bookmarkEnd w:id="38"/>
      <w:bookmarkEnd w:id="39"/>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pPr>
      <w:bookmarkStart w:id="40" w:name="_Toc379205785"/>
      <w:bookmarkStart w:id="41" w:name="_Toc444852487"/>
      <w:r>
        <w:rPr>
          <w:rStyle w:val="CharSectno"/>
        </w:rPr>
        <w:t>12</w:t>
      </w:r>
      <w:r>
        <w:t>.</w:t>
      </w:r>
      <w:r>
        <w:tab/>
        <w:t>Gifts</w:t>
      </w:r>
      <w:bookmarkEnd w:id="40"/>
      <w:bookmarkEnd w:id="41"/>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of the Act except that it does not include — </w:t>
      </w:r>
    </w:p>
    <w:p>
      <w:pPr>
        <w:pStyle w:val="Defpara"/>
      </w:pPr>
      <w:r>
        <w:tab/>
        <w:t>(a)</w:t>
      </w:r>
      <w:r>
        <w:tab/>
        <w:t>a gift from a relative as defined in section 5.74(1) of the Act;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 council member,</w:t>
      </w:r>
      <w:r>
        <w:t xml:space="preserve"> means — </w:t>
      </w:r>
    </w:p>
    <w:p>
      <w:pPr>
        <w:pStyle w:val="Defpara"/>
      </w:pPr>
      <w:r>
        <w:tab/>
        <w:t>(a)</w:t>
      </w:r>
      <w:r>
        <w:tab/>
        <w:t>a gift worth between $50 and $300; or</w:t>
      </w:r>
    </w:p>
    <w:p>
      <w:pPr>
        <w:pStyle w:val="Defpara"/>
      </w:pPr>
      <w:r>
        <w:tab/>
        <w:t>(b)</w:t>
      </w:r>
      <w:r>
        <w:tab/>
        <w:t>a gift that is one of 2 or more gifts given to the council member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 council member, </w:t>
      </w:r>
      <w:r>
        <w:t xml:space="preserve">means — </w:t>
      </w:r>
    </w:p>
    <w:p>
      <w:pPr>
        <w:pStyle w:val="Defpara"/>
      </w:pPr>
      <w:r>
        <w:tab/>
        <w:t>(a)</w:t>
      </w:r>
      <w:r>
        <w:tab/>
        <w:t>a gift worth $300 or more; or</w:t>
      </w:r>
    </w:p>
    <w:p>
      <w:pPr>
        <w:pStyle w:val="Defpara"/>
        <w:rPr>
          <w:rStyle w:val="DraftersNotes"/>
        </w:rPr>
      </w:pPr>
      <w:r>
        <w:tab/>
        <w:t>(b)</w:t>
      </w:r>
      <w:r>
        <w:tab/>
        <w:t>a gift that is one of 2 or more gifts given to the council member by the same person within a period of 6 months that are in total worth $300 or more.</w:t>
      </w:r>
    </w:p>
    <w:p>
      <w:pPr>
        <w:pStyle w:val="Subsection"/>
      </w:pPr>
      <w:r>
        <w:tab/>
        <w:t>(2)</w:t>
      </w:r>
      <w:r>
        <w:tab/>
        <w:t xml:space="preserve">A person who is a council member must not accept a prohibited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w:t>
      </w:r>
    </w:p>
    <w:p>
      <w:pPr>
        <w:pStyle w:val="Subsection"/>
      </w:pPr>
      <w:r>
        <w:tab/>
        <w:t>(3)</w:t>
      </w:r>
      <w:r>
        <w:tab/>
        <w:t xml:space="preserve">A person who is a council member and who accepts a notifiable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 must, within 10 days of accepting the gift, notify the CEO of the acceptance in accordance with subregulation (4).</w:t>
      </w:r>
    </w:p>
    <w:p>
      <w:pPr>
        <w:pStyle w:val="Subsection"/>
      </w:pPr>
      <w:r>
        <w:tab/>
        <w:t>(4)</w:t>
      </w:r>
      <w:r>
        <w:tab/>
        <w:t xml:space="preserve">Notification of the acceptance of a notifiable gift is to be in writing and is to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 council member and the person who gave the gift; and</w:t>
      </w:r>
    </w:p>
    <w:p>
      <w:pPr>
        <w:pStyle w:val="Indenta"/>
      </w:pPr>
      <w:r>
        <w:tab/>
        <w:t>(e)</w:t>
      </w:r>
      <w:r>
        <w:tab/>
        <w:t xml:space="preserve">if the gift is a notifiable gift under paragraph (b) of the definition of “notifiable gift”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pStyle w:val="Heading3"/>
      </w:pPr>
      <w:bookmarkStart w:id="42" w:name="_Toc444851441"/>
      <w:bookmarkStart w:id="43" w:name="_Toc444852488"/>
      <w:r>
        <w:rPr>
          <w:rStyle w:val="CharDivNo"/>
        </w:rPr>
        <w:t>Division 3</w:t>
      </w:r>
      <w:r>
        <w:t> — </w:t>
      </w:r>
      <w:r>
        <w:rPr>
          <w:rStyle w:val="CharDivText"/>
        </w:rPr>
        <w:t>Rules of conduct: transitional period</w:t>
      </w:r>
      <w:bookmarkEnd w:id="42"/>
      <w:bookmarkEnd w:id="43"/>
    </w:p>
    <w:p>
      <w:pPr>
        <w:pStyle w:val="Footnoteheading"/>
      </w:pPr>
      <w:r>
        <w:tab/>
        <w:t>[Heading inserted in Gazette 4 Mar 2016 p. 660.]</w:t>
      </w:r>
    </w:p>
    <w:p>
      <w:pPr>
        <w:pStyle w:val="Heading5"/>
      </w:pPr>
      <w:bookmarkStart w:id="44" w:name="_Toc444852489"/>
      <w:r>
        <w:rPr>
          <w:rStyle w:val="CharSectno"/>
        </w:rPr>
        <w:t>13</w:t>
      </w:r>
      <w:r>
        <w:t>.</w:t>
      </w:r>
      <w:r>
        <w:tab/>
        <w:t>Terms used</w:t>
      </w:r>
      <w:bookmarkEnd w:id="44"/>
    </w:p>
    <w:p>
      <w:pPr>
        <w:pStyle w:val="Subsection"/>
      </w:pPr>
      <w:r>
        <w:tab/>
      </w:r>
      <w:r>
        <w:tab/>
        <w:t xml:space="preserve">In this Division — </w:t>
      </w:r>
    </w:p>
    <w:p>
      <w:pPr>
        <w:pStyle w:val="Defstart"/>
      </w:pPr>
      <w:r>
        <w:rPr>
          <w:b/>
          <w:i/>
        </w:rPr>
        <w:tab/>
      </w:r>
      <w:r>
        <w:rPr>
          <w:rStyle w:val="CharDefText"/>
        </w:rPr>
        <w:t>address</w:t>
      </w:r>
      <w:r>
        <w:t xml:space="preserve"> has the meaning given in section 5.74(1) of the Act;</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 of the Act;</w:t>
      </w:r>
    </w:p>
    <w:p>
      <w:pPr>
        <w:pStyle w:val="Defstart"/>
      </w:pPr>
      <w:r>
        <w:tab/>
      </w:r>
      <w:r>
        <w:rPr>
          <w:rStyle w:val="CharDefText"/>
        </w:rPr>
        <w:t>gift</w:t>
      </w:r>
      <w:r>
        <w:t xml:space="preserve"> has the meaning given in section 5.82(4) of the Act;</w:t>
      </w:r>
    </w:p>
    <w:p>
      <w:pPr>
        <w:pStyle w:val="Defstart"/>
      </w:pPr>
      <w:r>
        <w:tab/>
      </w:r>
      <w:r>
        <w:rPr>
          <w:rStyle w:val="CharDefText"/>
        </w:rPr>
        <w:t>political party</w:t>
      </w:r>
      <w:r>
        <w:t xml:space="preserve"> has the meaning given in section 5.83(4) of the Act;</w:t>
      </w:r>
    </w:p>
    <w:p>
      <w:pPr>
        <w:pStyle w:val="Defstart"/>
      </w:pPr>
      <w:r>
        <w:tab/>
      </w:r>
      <w:r>
        <w:rPr>
          <w:rStyle w:val="CharDefText"/>
        </w:rPr>
        <w:t>relative</w:t>
      </w:r>
      <w:r>
        <w:t xml:space="preserve"> has the meaning given in section 5.74(1) of the Act;</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 of the Act;</w:t>
      </w:r>
    </w:p>
    <w:p>
      <w:pPr>
        <w:pStyle w:val="Defstart"/>
      </w:pPr>
      <w:r>
        <w:rPr>
          <w:b/>
          <w:i/>
        </w:rPr>
        <w:tab/>
      </w:r>
      <w:r>
        <w:rPr>
          <w:rStyle w:val="CharDefText"/>
        </w:rPr>
        <w:t>travel contribution</w:t>
      </w:r>
      <w:r>
        <w:t>, in relation to a person, means a financial or other contribution that has been made to any travel undertaken by the person.</w:t>
      </w:r>
    </w:p>
    <w:p>
      <w:pPr>
        <w:pStyle w:val="Footnotesection"/>
      </w:pPr>
      <w:r>
        <w:tab/>
        <w:t>[Regulation 13 inserted in Gazette 4 Mar 2016 p. 660</w:t>
      </w:r>
      <w:r>
        <w:noBreakHyphen/>
        <w:t>1.]</w:t>
      </w:r>
    </w:p>
    <w:p>
      <w:pPr>
        <w:pStyle w:val="Heading5"/>
      </w:pPr>
      <w:bookmarkStart w:id="45" w:name="_Toc444852490"/>
      <w:r>
        <w:rPr>
          <w:rStyle w:val="CharSectno"/>
        </w:rPr>
        <w:t>14</w:t>
      </w:r>
      <w:r>
        <w:t>.</w:t>
      </w:r>
      <w:r>
        <w:tab/>
        <w:t>Disclosure of gifts</w:t>
      </w:r>
      <w:bookmarkEnd w:id="45"/>
    </w:p>
    <w:p>
      <w:pPr>
        <w:pStyle w:val="Subsection"/>
      </w:pPr>
      <w:r>
        <w:tab/>
        <w:t>(1)</w:t>
      </w:r>
      <w:r>
        <w:tab/>
        <w:t>A person who is a council member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council member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14 inserted in Gazette 4 Mar 2016 p. 661</w:t>
      </w:r>
      <w:r>
        <w:noBreakHyphen/>
        <w:t>2.]</w:t>
      </w:r>
    </w:p>
    <w:p>
      <w:pPr>
        <w:pStyle w:val="Heading5"/>
      </w:pPr>
      <w:bookmarkStart w:id="46" w:name="_Toc444852491"/>
      <w:r>
        <w:rPr>
          <w:rStyle w:val="CharSectno"/>
        </w:rPr>
        <w:t>15</w:t>
      </w:r>
      <w:r>
        <w:t>.</w:t>
      </w:r>
      <w:r>
        <w:tab/>
        <w:t>Disclosure of travel contributions</w:t>
      </w:r>
      <w:bookmarkEnd w:id="46"/>
    </w:p>
    <w:p>
      <w:pPr>
        <w:pStyle w:val="Subsection"/>
      </w:pPr>
      <w:r>
        <w:tab/>
        <w:t>(1)</w:t>
      </w:r>
      <w:r>
        <w:tab/>
        <w:t>A person who is a council member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council member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15 inserted in Gazette 4 Mar 2016 p. 662</w:t>
      </w:r>
      <w:r>
        <w:noBreakHyphen/>
        <w:t>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 w:name="_Toc379205786"/>
      <w:bookmarkStart w:id="48" w:name="_Toc421011442"/>
      <w:bookmarkStart w:id="49" w:name="_Toc421011458"/>
      <w:bookmarkStart w:id="50" w:name="_Toc444851445"/>
      <w:bookmarkStart w:id="51" w:name="_Toc444852492"/>
      <w:r>
        <w:t>Notes</w:t>
      </w:r>
      <w:bookmarkEnd w:id="47"/>
      <w:bookmarkEnd w:id="48"/>
      <w:bookmarkEnd w:id="49"/>
      <w:bookmarkEnd w:id="50"/>
      <w:bookmarkEnd w:id="51"/>
    </w:p>
    <w:p>
      <w:pPr>
        <w:pStyle w:val="nSubsection"/>
      </w:pPr>
      <w:r>
        <w:rPr>
          <w:vertAlign w:val="superscript"/>
        </w:rPr>
        <w:t>1</w:t>
      </w:r>
      <w:r>
        <w:tab/>
        <w:t xml:space="preserve">This is a compilation of the </w:t>
      </w:r>
      <w:r>
        <w:rPr>
          <w:i/>
          <w:noProof/>
        </w:rPr>
        <w:t>Local Government (Rules of Conduct) Regulations 2007</w:t>
      </w:r>
      <w:r>
        <w:t xml:space="preserve"> and includes the amendments made by the other written laws referred to in the following table.</w:t>
      </w:r>
    </w:p>
    <w:p>
      <w:pPr>
        <w:pStyle w:val="nHeading3"/>
      </w:pPr>
      <w:bookmarkStart w:id="52" w:name="_Toc379205787"/>
      <w:bookmarkStart w:id="53" w:name="_Toc444852493"/>
      <w:r>
        <w:t>Compilation table</w:t>
      </w:r>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single" w:sz="4" w:space="0" w:color="auto"/>
            </w:tcBorders>
          </w:tcPr>
          <w:p>
            <w:pPr>
              <w:pStyle w:val="nTable"/>
              <w:spacing w:after="40"/>
              <w:rPr>
                <w:i/>
                <w:noProof/>
                <w:snapToGrid w:val="0"/>
              </w:rPr>
            </w:pPr>
            <w:r>
              <w:rPr>
                <w:i/>
              </w:rPr>
              <w:t>Local Government (Rules of Conduct) Amendment Regulations 2016</w:t>
            </w:r>
          </w:p>
        </w:tc>
        <w:tc>
          <w:tcPr>
            <w:tcW w:w="1276" w:type="dxa"/>
            <w:tcBorders>
              <w:top w:val="nil"/>
              <w:bottom w:val="single" w:sz="4" w:space="0" w:color="auto"/>
            </w:tcBorders>
          </w:tcPr>
          <w:p>
            <w:pPr>
              <w:pStyle w:val="nTable"/>
              <w:spacing w:after="40"/>
            </w:pPr>
            <w:r>
              <w:t>4 Mar 2016 p. 659</w:t>
            </w:r>
            <w:r>
              <w:noBreakHyphen/>
              <w:t>64</w:t>
            </w:r>
          </w:p>
        </w:tc>
        <w:tc>
          <w:tcPr>
            <w:tcW w:w="2693" w:type="dxa"/>
            <w:tcBorders>
              <w:top w:val="nil"/>
              <w:bottom w:val="single" w:sz="4" w:space="0" w:color="auto"/>
            </w:tcBorders>
          </w:tcPr>
          <w:p>
            <w:pPr>
              <w:pStyle w:val="nTable"/>
              <w:spacing w:after="40"/>
            </w:pPr>
            <w:r>
              <w:t>r. 1 and 2: 4 Mar 2016 (see r. 2(a))</w:t>
            </w:r>
            <w:r>
              <w:br/>
              <w:t>Regulations other than r. 1 and 2: 5 Mar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5" w:name="_Toc444851447"/>
      <w:bookmarkStart w:id="56" w:name="_Toc444852494"/>
      <w:r>
        <w:rPr>
          <w:sz w:val="28"/>
        </w:rPr>
        <w:t>Defined terms</w:t>
      </w:r>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12(1)</w:t>
      </w:r>
    </w:p>
    <w:p>
      <w:pPr>
        <w:pStyle w:val="DefinedTerms"/>
      </w:pPr>
      <w:r>
        <w:t>address</w:t>
      </w:r>
      <w:r>
        <w:tab/>
        <w:t>13</w:t>
      </w:r>
    </w:p>
    <w:p>
      <w:pPr>
        <w:pStyle w:val="DefinedTerms"/>
      </w:pPr>
      <w:r>
        <w:t>assent day</w:t>
      </w:r>
      <w:r>
        <w:tab/>
        <w:t>13</w:t>
      </w:r>
    </w:p>
    <w:p>
      <w:pPr>
        <w:pStyle w:val="DefinedTerms"/>
      </w:pPr>
      <w:r>
        <w:t>closed meeting</w:t>
      </w:r>
      <w:r>
        <w:tab/>
        <w:t>6(1)</w:t>
      </w:r>
    </w:p>
    <w:p>
      <w:pPr>
        <w:pStyle w:val="DefinedTerms"/>
      </w:pPr>
      <w:r>
        <w:t>confidential document</w:t>
      </w:r>
      <w:r>
        <w:tab/>
        <w:t>6(1)</w:t>
      </w:r>
    </w:p>
    <w:p>
      <w:pPr>
        <w:pStyle w:val="DefinedTerms"/>
      </w:pPr>
      <w:r>
        <w:t>designated employee</w:t>
      </w:r>
      <w:r>
        <w:tab/>
        <w:t>13</w:t>
      </w:r>
    </w:p>
    <w:p>
      <w:pPr>
        <w:pStyle w:val="DefinedTerms"/>
      </w:pPr>
      <w:r>
        <w:t>gift</w:t>
      </w:r>
      <w:r>
        <w:tab/>
        <w:t>12(1), 13</w:t>
      </w:r>
    </w:p>
    <w:p>
      <w:pPr>
        <w:pStyle w:val="DefinedTerms"/>
      </w:pPr>
      <w:r>
        <w:t>interest</w:t>
      </w:r>
      <w:r>
        <w:tab/>
        <w:t>11(1)</w:t>
      </w:r>
    </w:p>
    <w:p>
      <w:pPr>
        <w:pStyle w:val="DefinedTerms"/>
      </w:pPr>
      <w:r>
        <w:t>local law as to conduct</w:t>
      </w:r>
      <w:r>
        <w:tab/>
        <w:t>4(1)</w:t>
      </w:r>
    </w:p>
    <w:p>
      <w:pPr>
        <w:pStyle w:val="DefinedTerms"/>
      </w:pPr>
      <w:r>
        <w:t>non</w:t>
      </w:r>
      <w:r>
        <w:noBreakHyphen/>
        <w:t>confidential document</w:t>
      </w:r>
      <w:r>
        <w:tab/>
        <w:t>6(1)</w:t>
      </w:r>
    </w:p>
    <w:p>
      <w:pPr>
        <w:pStyle w:val="DefinedTerms"/>
      </w:pPr>
      <w:r>
        <w:t>notifiable gift</w:t>
      </w:r>
      <w:r>
        <w:tab/>
        <w:t>12(1)</w:t>
      </w:r>
    </w:p>
    <w:p>
      <w:pPr>
        <w:pStyle w:val="DefinedTerms"/>
      </w:pPr>
      <w:r>
        <w:t>political party</w:t>
      </w:r>
      <w:r>
        <w:tab/>
        <w:t>13</w:t>
      </w:r>
    </w:p>
    <w:p>
      <w:pPr>
        <w:pStyle w:val="DefinedTerms"/>
      </w:pPr>
      <w:r>
        <w:t>prohibited gift</w:t>
      </w:r>
      <w:r>
        <w:tab/>
        <w:t>12(1)</w:t>
      </w:r>
    </w:p>
    <w:p>
      <w:pPr>
        <w:pStyle w:val="DefinedTerms"/>
      </w:pPr>
      <w:r>
        <w:t>relative</w:t>
      </w:r>
      <w:r>
        <w:tab/>
        <w:t>13</w:t>
      </w:r>
    </w:p>
    <w:p>
      <w:pPr>
        <w:pStyle w:val="DefinedTerms"/>
      </w:pPr>
      <w:r>
        <w:t>transitional period</w:t>
      </w:r>
      <w:r>
        <w:tab/>
        <w:t>13</w:t>
      </w:r>
    </w:p>
    <w:p>
      <w:pPr>
        <w:pStyle w:val="DefinedTerms"/>
      </w:pPr>
      <w:r>
        <w:t>travel</w:t>
      </w:r>
      <w:r>
        <w:tab/>
        <w:t>13</w:t>
      </w:r>
    </w:p>
    <w:p>
      <w:pPr>
        <w:pStyle w:val="DefinedTerms"/>
      </w:pPr>
      <w:r>
        <w:t>travel contribution</w:t>
      </w:r>
      <w:r>
        <w:tab/>
        <w:t>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5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3101</Words>
  <Characters>14575</Characters>
  <Application>Microsoft Office Word</Application>
  <DocSecurity>0</DocSecurity>
  <Lines>441</Lines>
  <Paragraphs>304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2007 - 00-c0-00</dc:title>
  <dc:subject/>
  <dc:creator/>
  <cp:keywords/>
  <dc:description/>
  <cp:lastModifiedBy>svcMRProcess</cp:lastModifiedBy>
  <cp:revision>4</cp:revision>
  <cp:lastPrinted>2007-08-06T07:07:00Z</cp:lastPrinted>
  <dcterms:created xsi:type="dcterms:W3CDTF">2018-09-17T05:30:00Z</dcterms:created>
  <dcterms:modified xsi:type="dcterms:W3CDTF">2018-09-17T05:30:00Z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AsAtDate">
    <vt:lpwstr>05 Mar 2016</vt:lpwstr>
  </property>
  <property fmtid="{D5CDD505-2E9C-101B-9397-08002B2CF9AE}" pid="6" name="Suffix">
    <vt:lpwstr>00-c0-00</vt:lpwstr>
  </property>
  <property fmtid="{D5CDD505-2E9C-101B-9397-08002B2CF9AE}" pid="7" name="CommencementDate">
    <vt:lpwstr>20160305</vt:lpwstr>
  </property>
</Properties>
</file>