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Anzac Day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_Toc446425043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_Toc446425044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 meetings on Anzac Day</w:t>
      </w:r>
      <w:r>
        <w:tab/>
      </w:r>
      <w:r>
        <w:fldChar w:fldCharType="begin"/>
      </w:r>
      <w:r>
        <w:instrText xml:space="preserve"> PAGEREF _Toc446425045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Large race events on Anzac Day</w:t>
      </w:r>
      <w:r>
        <w:tab/>
      </w:r>
      <w:r>
        <w:fldChar w:fldCharType="begin"/>
      </w:r>
      <w:r>
        <w:instrText xml:space="preserve"> PAGEREF _Toc446425046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Sport events on Anzac Day</w:t>
      </w:r>
      <w:r>
        <w:tab/>
      </w:r>
      <w:r>
        <w:fldChar w:fldCharType="begin"/>
      </w:r>
      <w:r>
        <w:instrText xml:space="preserve"> PAGEREF _Toc446425047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sport events on Anzac Day</w:t>
      </w:r>
      <w:r>
        <w:tab/>
      </w:r>
      <w:r>
        <w:fldChar w:fldCharType="begin"/>
      </w:r>
      <w:r>
        <w:instrText xml:space="preserve"> PAGEREF _Toc446425048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of Anzac Day Trust Account</w:t>
      </w:r>
      <w:r>
        <w:tab/>
      </w:r>
      <w:r>
        <w:fldChar w:fldCharType="begin"/>
      </w:r>
      <w:r>
        <w:instrText xml:space="preserve"> PAGEREF _Toc446425049 \h </w:instrText>
      </w:r>
      <w:r>
        <w:fldChar w:fldCharType="separate"/>
      </w:r>
      <w:r>
        <w:t>6</w:t>
      </w:r>
      <w:r>
        <w:fldChar w:fldCharType="end"/>
      </w:r>
    </w:p>
    <w:p>
      <w:pPr>
        <w:pStyle w:val="TOC8"/>
        <w:rPr>
          <w:rFonts w:asciiTheme="minorHAnsi" w:eastAsiaTheme="minorEastAsia" w:hAnsiTheme="minorHAnsi" w:cstheme="minorBidi"/>
          <w:szCs w:val="22"/>
        </w:rPr>
      </w:pPr>
      <w:r>
        <w:t>10A.</w:t>
      </w:r>
      <w:r>
        <w:tab/>
        <w:t>Approved alternative amounts to be paid to Trust</w:t>
      </w:r>
      <w:r>
        <w:tab/>
      </w:r>
      <w:r>
        <w:fldChar w:fldCharType="begin"/>
      </w:r>
      <w:r>
        <w:instrText xml:space="preserve"> PAGEREF _Toc446425050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Anzac Day Trust constituted</w:t>
      </w:r>
      <w:r>
        <w:tab/>
      </w:r>
      <w:r>
        <w:fldChar w:fldCharType="begin"/>
      </w:r>
      <w:r>
        <w:instrText xml:space="preserve"> PAGEREF _Toc446425051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 to be a body corporate</w:t>
      </w:r>
      <w:r>
        <w:tab/>
      </w:r>
      <w:r>
        <w:fldChar w:fldCharType="begin"/>
      </w:r>
      <w:r>
        <w:instrText xml:space="preserve"> PAGEREF _Toc446425052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Eligibility of Trustees</w:t>
      </w:r>
      <w:r>
        <w:tab/>
      </w:r>
      <w:r>
        <w:fldChar w:fldCharType="begin"/>
      </w:r>
      <w:r>
        <w:instrText xml:space="preserve"> PAGEREF _Toc446425053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offices of Trustees</w:t>
      </w:r>
      <w:r>
        <w:tab/>
      </w:r>
      <w:r>
        <w:fldChar w:fldCharType="begin"/>
      </w:r>
      <w:r>
        <w:instrText xml:space="preserve"> PAGEREF _Toc446425054 \h </w:instrText>
      </w:r>
      <w:r>
        <w:fldChar w:fldCharType="separate"/>
      </w:r>
      <w:r>
        <w:t>9</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proceeds</w:t>
      </w:r>
      <w:r>
        <w:tab/>
      </w:r>
      <w:r>
        <w:fldChar w:fldCharType="begin"/>
      </w:r>
      <w:r>
        <w:instrText xml:space="preserve"> PAGEREF _Toc446425055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the </w:t>
      </w:r>
      <w:r>
        <w:rPr>
          <w:i/>
        </w:rPr>
        <w:t>Financial Management Act 2006</w:t>
      </w:r>
      <w:r>
        <w:t xml:space="preserve"> and </w:t>
      </w:r>
      <w:r>
        <w:rPr>
          <w:i/>
        </w:rPr>
        <w:t>Auditor General Act 2006</w:t>
      </w:r>
      <w:r>
        <w:tab/>
      </w:r>
      <w:r>
        <w:fldChar w:fldCharType="begin"/>
      </w:r>
      <w:r>
        <w:instrText xml:space="preserve"> PAGEREF _Toc446425056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Authentication of documents</w:t>
      </w:r>
      <w:r>
        <w:tab/>
      </w:r>
      <w:r>
        <w:fldChar w:fldCharType="begin"/>
      </w:r>
      <w:r>
        <w:instrText xml:space="preserve"> PAGEREF _Toc446425057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_Toc446425058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_Toc446425060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r>
        <w:tab/>
        <w:t>[Long title amended by No. 77 of 2006 s. 17.]</w:t>
      </w:r>
    </w:p>
    <w:p>
      <w:pPr>
        <w:pStyle w:val="Heading5"/>
        <w:rPr>
          <w:snapToGrid w:val="0"/>
        </w:rPr>
      </w:pPr>
      <w:bookmarkStart w:id="3" w:name="_Toc377995033"/>
      <w:bookmarkStart w:id="4" w:name="_Toc44642504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5" w:name="_Toc377995034"/>
      <w:bookmarkStart w:id="6" w:name="_Toc446425044"/>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lastRenderedPageBreak/>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 xml:space="preserve">[Section 3 amended by No. 14 of 1964 s. 2; No. 9 of 1975 s. 2; No. 28 of 2003 s. 12; No. 4 of 2016 s. 4.] </w:t>
      </w:r>
    </w:p>
    <w:p>
      <w:pPr>
        <w:pStyle w:val="Heading5"/>
        <w:rPr>
          <w:snapToGrid w:val="0"/>
        </w:rPr>
      </w:pPr>
      <w:bookmarkStart w:id="7" w:name="_Toc377995035"/>
      <w:bookmarkStart w:id="8" w:name="_Toc446425045"/>
      <w:r>
        <w:rPr>
          <w:rStyle w:val="CharSectno"/>
        </w:rPr>
        <w:t>4</w:t>
      </w:r>
      <w:r>
        <w:rPr>
          <w:snapToGrid w:val="0"/>
        </w:rPr>
        <w:t>.</w:t>
      </w:r>
      <w:r>
        <w:rPr>
          <w:snapToGrid w:val="0"/>
        </w:rPr>
        <w:tab/>
        <w:t>Race meetings on Anzac Day</w:t>
      </w:r>
      <w:bookmarkEnd w:id="7"/>
      <w:bookmarkEnd w:id="8"/>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p>
    <w:p>
      <w:pPr>
        <w:pStyle w:val="Penstart"/>
      </w:pPr>
      <w:r>
        <w:tab/>
        <w:t>Penalty for this subsection: a fine of $5 000.</w:t>
      </w:r>
    </w:p>
    <w:p>
      <w:pPr>
        <w:pStyle w:val="Footnotesection"/>
      </w:pPr>
      <w:r>
        <w:tab/>
        <w:t xml:space="preserve">[Section 4 amended by No. 113 of 1965 s. 8(1); No. 9 of 1975 s. 3; No. 35 of 2003 s. 73(2) and (3); No. 62 of 2003 s. 4; No. 4 of 2016 s. 5.] </w:t>
      </w:r>
    </w:p>
    <w:p>
      <w:pPr>
        <w:pStyle w:val="Heading5"/>
        <w:rPr>
          <w:snapToGrid w:val="0"/>
        </w:rPr>
      </w:pPr>
      <w:bookmarkStart w:id="9" w:name="_Toc377995036"/>
      <w:bookmarkStart w:id="10" w:name="_Toc446425046"/>
      <w:r>
        <w:rPr>
          <w:rStyle w:val="CharSectno"/>
        </w:rPr>
        <w:t>5</w:t>
      </w:r>
      <w:r>
        <w:rPr>
          <w:snapToGrid w:val="0"/>
        </w:rPr>
        <w:t>.</w:t>
      </w:r>
      <w:r>
        <w:rPr>
          <w:snapToGrid w:val="0"/>
        </w:rPr>
        <w:tab/>
        <w:t>Large race events on Anzac Day</w:t>
      </w:r>
      <w:bookmarkEnd w:id="9"/>
      <w:bookmarkEnd w:id="10"/>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club, and each member of the managing body or committee of that racing club, commits an </w:t>
      </w:r>
      <w:r>
        <w:t>offence.</w:t>
      </w:r>
    </w:p>
    <w:p>
      <w:pPr>
        <w:pStyle w:val="Penstart"/>
      </w:pPr>
      <w:r>
        <w:tab/>
        <w:t>Penalty for this subsection: a fine of $5 000.</w:t>
      </w:r>
    </w:p>
    <w:p>
      <w:pPr>
        <w:pStyle w:val="Ednotesubsection"/>
      </w:pPr>
      <w:r>
        <w:tab/>
        <w:t>[(3). (4)</w:t>
      </w:r>
      <w:r>
        <w:tab/>
        <w:t>deleted]</w:t>
      </w:r>
    </w:p>
    <w:p>
      <w:pPr>
        <w:pStyle w:val="Footnotesection"/>
      </w:pPr>
      <w:r>
        <w:tab/>
        <w:t xml:space="preserve">[Section 5 amended by No. 14 of 1964 s. 3; No. 113 of 1965 s. 8(1); No. 1 of 1976 s. 2; No. 35 of 2003 s. 73(4); No. 38 of 2005 s. 15; No. 4 of 2016 s. 6; No. 5 of 2016 s. 4.] </w:t>
      </w:r>
    </w:p>
    <w:p>
      <w:pPr>
        <w:pStyle w:val="Heading5"/>
        <w:rPr>
          <w:snapToGrid w:val="0"/>
        </w:rPr>
      </w:pPr>
      <w:bookmarkStart w:id="11" w:name="_Toc377995037"/>
      <w:bookmarkStart w:id="12" w:name="_Toc446425047"/>
      <w:r>
        <w:rPr>
          <w:rStyle w:val="CharSectno"/>
        </w:rPr>
        <w:t>6</w:t>
      </w:r>
      <w:r>
        <w:rPr>
          <w:snapToGrid w:val="0"/>
        </w:rPr>
        <w:t>.</w:t>
      </w:r>
      <w:r>
        <w:rPr>
          <w:snapToGrid w:val="0"/>
        </w:rPr>
        <w:tab/>
        <w:t>Sport events on Anzac Day</w:t>
      </w:r>
      <w:bookmarkEnd w:id="11"/>
      <w:bookmarkEnd w:id="12"/>
    </w:p>
    <w:p>
      <w:pPr>
        <w:pStyle w:val="Subsection"/>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pPr>
      <w:r>
        <w:tab/>
        <w:t>[(3)</w:t>
      </w:r>
      <w:r>
        <w:tab/>
        <w:t>deleted]</w:t>
      </w:r>
    </w:p>
    <w:p>
      <w:pPr>
        <w:pStyle w:val="Subsection"/>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held, and each member of the managing body or committee of that club, association or body, commits an </w:t>
      </w:r>
      <w:r>
        <w:t>offence.</w:t>
      </w:r>
    </w:p>
    <w:p>
      <w:pPr>
        <w:pStyle w:val="Penstart"/>
      </w:pPr>
      <w:r>
        <w:tab/>
        <w:t>Penalty for this subsection: a fine of $5 000.</w:t>
      </w:r>
    </w:p>
    <w:p>
      <w:pPr>
        <w:pStyle w:val="Footnotesection"/>
      </w:pPr>
      <w:r>
        <w:tab/>
        <w:t xml:space="preserve">[Section 6 amended by No. 113 of 1965 s. 8(1); No. 14 of 1996 s. 4; No. 4 of 2016 s. 7.] </w:t>
      </w:r>
    </w:p>
    <w:p>
      <w:pPr>
        <w:pStyle w:val="Heading5"/>
        <w:rPr>
          <w:snapToGrid w:val="0"/>
        </w:rPr>
      </w:pPr>
      <w:bookmarkStart w:id="13" w:name="_Toc446425048"/>
      <w:bookmarkStart w:id="14" w:name="_Toc377995038"/>
      <w:r>
        <w:rPr>
          <w:rStyle w:val="CharSectno"/>
        </w:rPr>
        <w:t>7</w:t>
      </w:r>
      <w:r>
        <w:rPr>
          <w:snapToGrid w:val="0"/>
        </w:rPr>
        <w:t>.</w:t>
      </w:r>
      <w:r>
        <w:rPr>
          <w:snapToGrid w:val="0"/>
        </w:rPr>
        <w:tab/>
        <w:t>Professional sport events on Anzac Day</w:t>
      </w:r>
      <w:bookmarkEnd w:id="13"/>
      <w:r>
        <w:rPr>
          <w:snapToGrid w:val="0"/>
        </w:rPr>
        <w:t xml:space="preserve"> </w:t>
      </w:r>
      <w:bookmarkEnd w:id="14"/>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body, and each member of its managing body or committee, commits an offence but no such member is liable if it is shown that such failure occurred without his knowledge or approval.</w:t>
      </w:r>
    </w:p>
    <w:p>
      <w:pPr>
        <w:pStyle w:val="Penstart"/>
      </w:pPr>
      <w:r>
        <w:tab/>
        <w:t>Penalty for this subsection: a fine of $5 000.</w:t>
      </w:r>
    </w:p>
    <w:p>
      <w:pPr>
        <w:pStyle w:val="Ednotesubsection"/>
      </w:pPr>
      <w:r>
        <w:tab/>
        <w:t>[(3)</w:t>
      </w:r>
      <w:r>
        <w:tab/>
        <w:t>deleted]</w:t>
      </w:r>
    </w:p>
    <w:p>
      <w:pPr>
        <w:pStyle w:val="Footnotesection"/>
      </w:pPr>
      <w:r>
        <w:tab/>
        <w:t xml:space="preserve">[Section 7 amended by No. 113 of 1965 s. 8(1); No. 1 of 1976 s. 3; No. 4 of 2016 s. 8; No. 5 of 2016 s. 5.]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pPr>
      <w:bookmarkStart w:id="15" w:name="_Toc446402339"/>
      <w:bookmarkStart w:id="16" w:name="_Toc446405394"/>
      <w:bookmarkStart w:id="17" w:name="_Toc446413194"/>
      <w:bookmarkStart w:id="18" w:name="_Toc446425050"/>
      <w:bookmarkStart w:id="19" w:name="_Toc377995039"/>
      <w:bookmarkStart w:id="20" w:name="_Toc446425049"/>
      <w:r>
        <w:rPr>
          <w:rStyle w:val="CharSectno"/>
        </w:rPr>
        <w:t>10A</w:t>
      </w:r>
      <w:r>
        <w:t>.</w:t>
      </w:r>
      <w:r>
        <w:tab/>
        <w:t>Approved alternative amounts to be paid to Trust</w:t>
      </w:r>
      <w:bookmarkEnd w:id="15"/>
      <w:bookmarkEnd w:id="16"/>
      <w:bookmarkEnd w:id="17"/>
      <w:bookmarkEnd w:id="18"/>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by No. 5 of 2016 s. 6.]</w:t>
      </w:r>
    </w:p>
    <w:p>
      <w:pPr>
        <w:pStyle w:val="Heading5"/>
        <w:rPr>
          <w:snapToGrid w:val="0"/>
        </w:rPr>
      </w:pPr>
      <w:r>
        <w:rPr>
          <w:rStyle w:val="CharSectno"/>
        </w:rPr>
        <w:t>10</w:t>
      </w:r>
      <w:r>
        <w:rPr>
          <w:snapToGrid w:val="0"/>
        </w:rPr>
        <w:t>.</w:t>
      </w:r>
      <w:r>
        <w:rPr>
          <w:snapToGrid w:val="0"/>
        </w:rPr>
        <w:tab/>
        <w:t>Establishment of Anzac Day Trust Account</w:t>
      </w:r>
      <w:bookmarkEnd w:id="19"/>
      <w:bookmarkEnd w:id="20"/>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pPr>
      <w:r>
        <w:tab/>
        <w:t>(3)</w:t>
      </w:r>
      <w:r>
        <w:tab/>
        <w:t xml:space="preserve">The money standing to the credit of the Account — </w:t>
      </w:r>
    </w:p>
    <w:p>
      <w:pPr>
        <w:pStyle w:val="Indenta"/>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No. 4 of 2016 s. 9.] </w:t>
      </w:r>
    </w:p>
    <w:p>
      <w:pPr>
        <w:pStyle w:val="Heading5"/>
        <w:rPr>
          <w:snapToGrid w:val="0"/>
        </w:rPr>
      </w:pPr>
      <w:bookmarkStart w:id="21" w:name="_Toc377995040"/>
      <w:bookmarkStart w:id="22" w:name="_Toc446425051"/>
      <w:r>
        <w:rPr>
          <w:rStyle w:val="CharSectno"/>
        </w:rPr>
        <w:t>11</w:t>
      </w:r>
      <w:r>
        <w:rPr>
          <w:snapToGrid w:val="0"/>
        </w:rPr>
        <w:t>.</w:t>
      </w:r>
      <w:r>
        <w:rPr>
          <w:snapToGrid w:val="0"/>
        </w:rPr>
        <w:tab/>
        <w:t>The Anzac Day Trust constituted</w:t>
      </w:r>
      <w:bookmarkEnd w:id="21"/>
      <w:bookmarkEnd w:id="22"/>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Ednotesubsection"/>
      </w:pPr>
      <w:r>
        <w:tab/>
        <w:t>[(4A)-(4C)</w:t>
      </w:r>
      <w:r>
        <w:tab/>
        <w:t>deleted]</w:t>
      </w:r>
    </w:p>
    <w:p>
      <w:pPr>
        <w:pStyle w:val="Subsection"/>
        <w:rPr>
          <w:snapToGrid w:val="0"/>
        </w:rPr>
      </w:pPr>
      <w:r>
        <w:tab/>
        <w:t>(5)</w:t>
      </w:r>
      <w:r>
        <w:tab/>
        <w:t>A person who is a member or employee of an ex</w:t>
      </w:r>
      <w:r>
        <w:noBreakHyphen/>
        <w:t>service organisation is not eligible to be appointed as a Trustee.</w:t>
      </w:r>
    </w:p>
    <w:p>
      <w:pPr>
        <w:pStyle w:val="Ednotesubsection"/>
      </w:pPr>
      <w:r>
        <w:tab/>
        <w:t>[(5A)-(5C)</w:t>
      </w:r>
      <w:r>
        <w:tab/>
        <w:t>deleted]</w:t>
      </w:r>
    </w:p>
    <w:p>
      <w:pPr>
        <w:pStyle w:val="Subsection"/>
        <w:rPr>
          <w:snapToGrid w:val="0"/>
        </w:rPr>
      </w:pPr>
      <w:r>
        <w:rPr>
          <w:snapToGrid w:val="0"/>
        </w:rPr>
        <w:tab/>
        <w:t>(6)</w:t>
      </w:r>
      <w:r>
        <w:rPr>
          <w:snapToGrid w:val="0"/>
        </w:rPr>
        <w:tab/>
        <w:t>Any 3 Trustees shall form a quorum.</w:t>
      </w:r>
    </w:p>
    <w:p>
      <w:pPr>
        <w:pStyle w:val="Subsection"/>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by No. 14 of 1964 s. 5; No. 62 of 2003 s. 6; No. 19 of 2010 s. 51; No. 4 of 2016 s. 10.] </w:t>
      </w:r>
    </w:p>
    <w:p>
      <w:pPr>
        <w:pStyle w:val="Heading5"/>
        <w:rPr>
          <w:snapToGrid w:val="0"/>
        </w:rPr>
      </w:pPr>
      <w:bookmarkStart w:id="23" w:name="_Toc377995041"/>
      <w:bookmarkStart w:id="24" w:name="_Toc446425052"/>
      <w:r>
        <w:rPr>
          <w:rStyle w:val="CharSectno"/>
        </w:rPr>
        <w:t>12</w:t>
      </w:r>
      <w:r>
        <w:rPr>
          <w:snapToGrid w:val="0"/>
        </w:rPr>
        <w:t>.</w:t>
      </w:r>
      <w:r>
        <w:rPr>
          <w:snapToGrid w:val="0"/>
        </w:rPr>
        <w:tab/>
        <w:t>Trust to be a body corporate</w:t>
      </w:r>
      <w:bookmarkEnd w:id="23"/>
      <w:bookmarkEnd w:id="24"/>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25" w:name="_Toc377995042"/>
      <w:bookmarkStart w:id="26" w:name="_Toc446425053"/>
      <w:r>
        <w:rPr>
          <w:rStyle w:val="CharSectno"/>
        </w:rPr>
        <w:t>13</w:t>
      </w:r>
      <w:r>
        <w:rPr>
          <w:snapToGrid w:val="0"/>
        </w:rPr>
        <w:t>.</w:t>
      </w:r>
      <w:r>
        <w:rPr>
          <w:snapToGrid w:val="0"/>
        </w:rPr>
        <w:tab/>
        <w:t>Eligibility of Trustees</w:t>
      </w:r>
      <w:bookmarkEnd w:id="25"/>
      <w:bookmarkEnd w:id="26"/>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by No. 18 of 2009 s. 10(2); No. 4 of 2016 s. 11.]</w:t>
      </w:r>
    </w:p>
    <w:p>
      <w:pPr>
        <w:pStyle w:val="Heading5"/>
        <w:rPr>
          <w:snapToGrid w:val="0"/>
        </w:rPr>
      </w:pPr>
      <w:bookmarkStart w:id="27" w:name="_Toc377995043"/>
      <w:bookmarkStart w:id="28" w:name="_Toc446425054"/>
      <w:r>
        <w:rPr>
          <w:rStyle w:val="CharSectno"/>
        </w:rPr>
        <w:t>14</w:t>
      </w:r>
      <w:r>
        <w:rPr>
          <w:snapToGrid w:val="0"/>
        </w:rPr>
        <w:t>.</w:t>
      </w:r>
      <w:r>
        <w:rPr>
          <w:snapToGrid w:val="0"/>
        </w:rPr>
        <w:tab/>
        <w:t>Tenure of offices of Trustees</w:t>
      </w:r>
      <w:bookmarkEnd w:id="27"/>
      <w:bookmarkEnd w:id="28"/>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 No. 4 of 2016 s. 12.]</w:t>
      </w:r>
    </w:p>
    <w:p>
      <w:pPr>
        <w:pStyle w:val="Heading5"/>
        <w:spacing w:before="240"/>
        <w:rPr>
          <w:snapToGrid w:val="0"/>
        </w:rPr>
      </w:pPr>
      <w:bookmarkStart w:id="29" w:name="_Toc377995044"/>
      <w:bookmarkStart w:id="30" w:name="_Toc446425055"/>
      <w:r>
        <w:rPr>
          <w:rStyle w:val="CharSectno"/>
        </w:rPr>
        <w:t>14A</w:t>
      </w:r>
      <w:r>
        <w:rPr>
          <w:snapToGrid w:val="0"/>
        </w:rPr>
        <w:t>.</w:t>
      </w:r>
      <w:r>
        <w:rPr>
          <w:snapToGrid w:val="0"/>
        </w:rPr>
        <w:tab/>
        <w:t>Recovery of proceeds</w:t>
      </w:r>
      <w:bookmarkEnd w:id="29"/>
      <w:bookmarkEnd w:id="30"/>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31" w:name="_Toc377995045"/>
      <w:bookmarkStart w:id="32" w:name="_Toc446425056"/>
      <w:r>
        <w:rPr>
          <w:rStyle w:val="CharSectno"/>
        </w:rPr>
        <w:t>15</w:t>
      </w:r>
      <w:r>
        <w:rPr>
          <w:snapToGrid w:val="0"/>
        </w:rPr>
        <w:t>.</w:t>
      </w:r>
      <w:r>
        <w:rPr>
          <w:snapToGrid w:val="0"/>
        </w:rPr>
        <w:tab/>
        <w:t xml:space="preserve">Application of the </w:t>
      </w:r>
      <w:r>
        <w:rPr>
          <w:i/>
        </w:rPr>
        <w:t>Financial Management Act 2006</w:t>
      </w:r>
      <w:r>
        <w:t xml:space="preserve"> and </w:t>
      </w:r>
      <w:r>
        <w:rPr>
          <w:i/>
        </w:rPr>
        <w:t>Auditor General Act 2006</w:t>
      </w:r>
      <w:bookmarkEnd w:id="31"/>
      <w:bookmarkEnd w:id="32"/>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33" w:name="_Toc377995046"/>
      <w:bookmarkStart w:id="34" w:name="_Toc446425057"/>
      <w:r>
        <w:rPr>
          <w:rStyle w:val="CharSectno"/>
        </w:rPr>
        <w:t>16</w:t>
      </w:r>
      <w:r>
        <w:rPr>
          <w:snapToGrid w:val="0"/>
        </w:rPr>
        <w:t>.</w:t>
      </w:r>
      <w:r>
        <w:rPr>
          <w:snapToGrid w:val="0"/>
        </w:rPr>
        <w:tab/>
        <w:t>Authentication of documents</w:t>
      </w:r>
      <w:bookmarkEnd w:id="33"/>
      <w:bookmarkEnd w:id="34"/>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by No. 4 of 2016 s. 13.]</w:t>
      </w:r>
    </w:p>
    <w:p>
      <w:pPr>
        <w:pStyle w:val="Heading5"/>
        <w:spacing w:before="240"/>
        <w:rPr>
          <w:snapToGrid w:val="0"/>
        </w:rPr>
      </w:pPr>
      <w:bookmarkStart w:id="35" w:name="_Toc377995047"/>
      <w:bookmarkStart w:id="36" w:name="_Toc446425058"/>
      <w:r>
        <w:rPr>
          <w:rStyle w:val="CharSectno"/>
        </w:rPr>
        <w:t>17</w:t>
      </w:r>
      <w:r>
        <w:rPr>
          <w:snapToGrid w:val="0"/>
        </w:rPr>
        <w:t>.</w:t>
      </w:r>
      <w:r>
        <w:rPr>
          <w:snapToGrid w:val="0"/>
        </w:rPr>
        <w:tab/>
        <w:t>Regulations</w:t>
      </w:r>
      <w:bookmarkEnd w:id="35"/>
      <w:bookmarkEnd w:id="36"/>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by No. 113 of 1965 s. 8(1); No. 2 of 1970 s. 3; No. 4 of 2016 s. 14.] </w:t>
      </w:r>
    </w:p>
    <w:p>
      <w:pPr>
        <w:pStyle w:val="yEdnoteschedule"/>
        <w:spacing w:before="480"/>
      </w:pPr>
      <w:r>
        <w:t>[The Schedule 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7" w:name="_Toc377995048"/>
      <w:bookmarkStart w:id="38" w:name="_Toc412628727"/>
      <w:bookmarkStart w:id="39" w:name="_Toc412628750"/>
      <w:bookmarkStart w:id="40" w:name="_Toc412628780"/>
      <w:bookmarkStart w:id="41" w:name="_Toc446425059"/>
      <w:r>
        <w:t>Notes</w:t>
      </w:r>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7995049"/>
      <w:bookmarkStart w:id="43" w:name="_Toc446425060"/>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trPr>
          <w:gridAfter w:val="1"/>
          <w:wAfter w:w="18" w:type="dxa"/>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9" w:type="dxa"/>
            <w:tcBorders>
              <w:top w:val="single" w:sz="8" w:space="0" w:color="auto"/>
            </w:tcBorders>
          </w:tcPr>
          <w:p>
            <w:pPr>
              <w:pStyle w:val="nTable"/>
              <w:spacing w:after="40"/>
              <w:ind w:right="113"/>
            </w:pPr>
            <w:r>
              <w:rPr>
                <w:i/>
              </w:rPr>
              <w:t>Anzac Day Act 1960</w:t>
            </w:r>
          </w:p>
        </w:tc>
        <w:tc>
          <w:tcPr>
            <w:tcW w:w="1134" w:type="dxa"/>
            <w:gridSpan w:val="2"/>
            <w:tcBorders>
              <w:top w:val="single" w:sz="8" w:space="0" w:color="auto"/>
            </w:tcBorders>
          </w:tcPr>
          <w:p>
            <w:pPr>
              <w:pStyle w:val="nTable"/>
              <w:spacing w:after="40"/>
            </w:pPr>
            <w:r>
              <w:t>73 of 1960 (9 Eliz. II No. 73)</w:t>
            </w:r>
          </w:p>
        </w:tc>
        <w:tc>
          <w:tcPr>
            <w:tcW w:w="1134" w:type="dxa"/>
            <w:gridSpan w:val="2"/>
            <w:tcBorders>
              <w:top w:val="single" w:sz="8" w:space="0" w:color="auto"/>
            </w:tcBorders>
          </w:tcPr>
          <w:p>
            <w:pPr>
              <w:pStyle w:val="nTable"/>
              <w:spacing w:after="40"/>
            </w:pPr>
            <w:r>
              <w:t>12 Dec 1960</w:t>
            </w:r>
          </w:p>
        </w:tc>
        <w:tc>
          <w:tcPr>
            <w:tcW w:w="2552" w:type="dxa"/>
            <w:gridSpan w:val="2"/>
            <w:tcBorders>
              <w:top w:val="single" w:sz="8" w:space="0" w:color="auto"/>
            </w:tcBorders>
          </w:tcPr>
          <w:p>
            <w:pPr>
              <w:pStyle w:val="nTable"/>
              <w:spacing w:after="40"/>
            </w:pPr>
            <w:r>
              <w:t>12 Dec 1960</w:t>
            </w:r>
          </w:p>
        </w:tc>
      </w:tr>
      <w:tr>
        <w:trPr>
          <w:gridAfter w:val="1"/>
          <w:wAfter w:w="18" w:type="dxa"/>
          <w:cantSplit/>
        </w:trPr>
        <w:tc>
          <w:tcPr>
            <w:tcW w:w="2269" w:type="dxa"/>
          </w:tcPr>
          <w:p>
            <w:pPr>
              <w:pStyle w:val="nTable"/>
              <w:spacing w:after="40"/>
              <w:ind w:right="113"/>
            </w:pPr>
            <w:r>
              <w:rPr>
                <w:i/>
              </w:rPr>
              <w:t>Anzac Day Act Amendment Act 1964</w:t>
            </w:r>
          </w:p>
        </w:tc>
        <w:tc>
          <w:tcPr>
            <w:tcW w:w="1134" w:type="dxa"/>
            <w:gridSpan w:val="2"/>
          </w:tcPr>
          <w:p>
            <w:pPr>
              <w:pStyle w:val="nTable"/>
              <w:spacing w:after="40"/>
            </w:pPr>
            <w:r>
              <w:t>14 of 1964 (13 Eliz. II No. 14)</w:t>
            </w:r>
          </w:p>
        </w:tc>
        <w:tc>
          <w:tcPr>
            <w:tcW w:w="1134" w:type="dxa"/>
            <w:gridSpan w:val="2"/>
          </w:tcPr>
          <w:p>
            <w:pPr>
              <w:pStyle w:val="nTable"/>
              <w:spacing w:after="40"/>
            </w:pPr>
            <w:r>
              <w:t>2 Oct 1964</w:t>
            </w:r>
          </w:p>
        </w:tc>
        <w:tc>
          <w:tcPr>
            <w:tcW w:w="2552" w:type="dxa"/>
            <w:gridSpan w:val="2"/>
          </w:tcPr>
          <w:p>
            <w:pPr>
              <w:pStyle w:val="nTable"/>
              <w:spacing w:after="40"/>
            </w:pPr>
            <w:r>
              <w:t>2 Oct 1964</w:t>
            </w:r>
          </w:p>
        </w:tc>
      </w:tr>
      <w:tr>
        <w:trPr>
          <w:gridAfter w:val="1"/>
          <w:wAfter w:w="18" w:type="dxa"/>
          <w:cantSplit/>
        </w:trPr>
        <w:tc>
          <w:tcPr>
            <w:tcW w:w="2269"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w:t>
            </w:r>
            <w:r>
              <w:noBreakHyphen/>
              <w:t>9: 14 Feb 1966 (see s. 2(2))</w:t>
            </w:r>
          </w:p>
        </w:tc>
      </w:tr>
      <w:tr>
        <w:trPr>
          <w:gridAfter w:val="1"/>
          <w:wAfter w:w="18" w:type="dxa"/>
          <w:cantSplit/>
        </w:trPr>
        <w:tc>
          <w:tcPr>
            <w:tcW w:w="2269" w:type="dxa"/>
          </w:tcPr>
          <w:p>
            <w:pPr>
              <w:pStyle w:val="nTable"/>
              <w:spacing w:after="40"/>
              <w:ind w:right="113"/>
            </w:pPr>
            <w:r>
              <w:rPr>
                <w:i/>
              </w:rPr>
              <w:t>Anzac Day Act Amendment Act 1970</w:t>
            </w:r>
          </w:p>
        </w:tc>
        <w:tc>
          <w:tcPr>
            <w:tcW w:w="1134" w:type="dxa"/>
            <w:gridSpan w:val="2"/>
          </w:tcPr>
          <w:p>
            <w:pPr>
              <w:pStyle w:val="nTable"/>
              <w:spacing w:after="40"/>
            </w:pPr>
            <w:r>
              <w:t>2 of 1970</w:t>
            </w:r>
          </w:p>
        </w:tc>
        <w:tc>
          <w:tcPr>
            <w:tcW w:w="1134" w:type="dxa"/>
            <w:gridSpan w:val="2"/>
          </w:tcPr>
          <w:p>
            <w:pPr>
              <w:pStyle w:val="nTable"/>
              <w:spacing w:after="40"/>
            </w:pPr>
            <w:r>
              <w:t>29 Apr 1970</w:t>
            </w:r>
          </w:p>
        </w:tc>
        <w:tc>
          <w:tcPr>
            <w:tcW w:w="2552" w:type="dxa"/>
            <w:gridSpan w:val="2"/>
          </w:tcPr>
          <w:p>
            <w:pPr>
              <w:pStyle w:val="nTable"/>
              <w:spacing w:after="40"/>
            </w:pPr>
            <w:r>
              <w:t>29 Apr 1970</w:t>
            </w:r>
          </w:p>
        </w:tc>
      </w:tr>
      <w:tr>
        <w:trPr>
          <w:gridAfter w:val="1"/>
          <w:wAfter w:w="18" w:type="dxa"/>
          <w:cantSplit/>
        </w:trPr>
        <w:tc>
          <w:tcPr>
            <w:tcW w:w="7089" w:type="dxa"/>
            <w:gridSpan w:val="7"/>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gridAfter w:val="1"/>
          <w:wAfter w:w="18" w:type="dxa"/>
          <w:cantSplit/>
        </w:trPr>
        <w:tc>
          <w:tcPr>
            <w:tcW w:w="2269" w:type="dxa"/>
          </w:tcPr>
          <w:p>
            <w:pPr>
              <w:pStyle w:val="nTable"/>
              <w:spacing w:after="40"/>
              <w:ind w:right="113"/>
            </w:pPr>
            <w:r>
              <w:rPr>
                <w:i/>
              </w:rPr>
              <w:t>Anzac Day Act Amendment Act 1975</w:t>
            </w:r>
          </w:p>
        </w:tc>
        <w:tc>
          <w:tcPr>
            <w:tcW w:w="1134" w:type="dxa"/>
            <w:gridSpan w:val="2"/>
          </w:tcPr>
          <w:p>
            <w:pPr>
              <w:pStyle w:val="nTable"/>
              <w:spacing w:after="40"/>
            </w:pPr>
            <w:r>
              <w:t>9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gridAfter w:val="1"/>
          <w:wAfter w:w="18" w:type="dxa"/>
          <w:cantSplit/>
        </w:trPr>
        <w:tc>
          <w:tcPr>
            <w:tcW w:w="2269" w:type="dxa"/>
          </w:tcPr>
          <w:p>
            <w:pPr>
              <w:pStyle w:val="nTable"/>
              <w:spacing w:after="40"/>
              <w:ind w:right="113"/>
            </w:pPr>
            <w:r>
              <w:rPr>
                <w:i/>
              </w:rPr>
              <w:t>Anzac Day Act Amendment Act 1976</w:t>
            </w:r>
          </w:p>
        </w:tc>
        <w:tc>
          <w:tcPr>
            <w:tcW w:w="1134" w:type="dxa"/>
            <w:gridSpan w:val="2"/>
          </w:tcPr>
          <w:p>
            <w:pPr>
              <w:pStyle w:val="nTable"/>
              <w:spacing w:after="40"/>
            </w:pPr>
            <w:r>
              <w:t>1 of 1976</w:t>
            </w:r>
          </w:p>
        </w:tc>
        <w:tc>
          <w:tcPr>
            <w:tcW w:w="1134" w:type="dxa"/>
            <w:gridSpan w:val="2"/>
          </w:tcPr>
          <w:p>
            <w:pPr>
              <w:pStyle w:val="nTable"/>
              <w:spacing w:after="40"/>
            </w:pPr>
            <w:r>
              <w:t>12 Apr 1976</w:t>
            </w:r>
          </w:p>
        </w:tc>
        <w:tc>
          <w:tcPr>
            <w:tcW w:w="2552" w:type="dxa"/>
            <w:gridSpan w:val="2"/>
          </w:tcPr>
          <w:p>
            <w:pPr>
              <w:pStyle w:val="nTable"/>
              <w:spacing w:after="40"/>
            </w:pPr>
            <w:r>
              <w:t>12 Apr 1976</w:t>
            </w:r>
          </w:p>
        </w:tc>
      </w:tr>
      <w:tr>
        <w:trPr>
          <w:gridAfter w:val="1"/>
          <w:wAfter w:w="18" w:type="dxa"/>
          <w:cantSplit/>
        </w:trPr>
        <w:tc>
          <w:tcPr>
            <w:tcW w:w="2269" w:type="dxa"/>
          </w:tcPr>
          <w:p>
            <w:pPr>
              <w:pStyle w:val="nTable"/>
              <w:spacing w:after="40"/>
              <w:ind w:right="113"/>
            </w:pPr>
            <w:r>
              <w:rPr>
                <w:i/>
              </w:rPr>
              <w:t>Acts Amendment (Betting Control) Act 1985</w:t>
            </w:r>
            <w:r>
              <w:t xml:space="preserve"> Pt. III</w:t>
            </w:r>
          </w:p>
        </w:tc>
        <w:tc>
          <w:tcPr>
            <w:tcW w:w="1134" w:type="dxa"/>
            <w:gridSpan w:val="2"/>
          </w:tcPr>
          <w:p>
            <w:pPr>
              <w:pStyle w:val="nTable"/>
              <w:spacing w:after="40"/>
            </w:pPr>
            <w:r>
              <w:t>34 of 1985</w:t>
            </w:r>
          </w:p>
        </w:tc>
        <w:tc>
          <w:tcPr>
            <w:tcW w:w="1134" w:type="dxa"/>
            <w:gridSpan w:val="2"/>
          </w:tcPr>
          <w:p>
            <w:pPr>
              <w:pStyle w:val="nTable"/>
              <w:spacing w:after="40"/>
            </w:pPr>
            <w:r>
              <w:t>24 Apr 1985</w:t>
            </w:r>
          </w:p>
        </w:tc>
        <w:tc>
          <w:tcPr>
            <w:tcW w:w="2552" w:type="dxa"/>
            <w:gridSpan w:val="2"/>
          </w:tcPr>
          <w:p>
            <w:pPr>
              <w:pStyle w:val="nTable"/>
              <w:spacing w:after="40"/>
            </w:pPr>
            <w:r>
              <w:t>24 Apr 1985 (see s. 2)</w:t>
            </w:r>
          </w:p>
        </w:tc>
      </w:tr>
      <w:tr>
        <w:trPr>
          <w:gridAfter w:val="1"/>
          <w:wAfter w:w="18" w:type="dxa"/>
          <w:cantSplit/>
        </w:trPr>
        <w:tc>
          <w:tcPr>
            <w:tcW w:w="2269" w:type="dxa"/>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r>
              <w:br/>
              <w:t>(as amended by No. 4 of 1986 s. 3)</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18" w:type="dxa"/>
          <w:cantSplit/>
        </w:trPr>
        <w:tc>
          <w:tcPr>
            <w:tcW w:w="2269"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After w:val="1"/>
          <w:wAfter w:w="18" w:type="dxa"/>
          <w:cantSplit/>
        </w:trPr>
        <w:tc>
          <w:tcPr>
            <w:tcW w:w="2269" w:type="dxa"/>
          </w:tcPr>
          <w:p>
            <w:pPr>
              <w:pStyle w:val="nTable"/>
              <w:spacing w:after="40"/>
              <w:ind w:right="113"/>
            </w:pPr>
            <w:r>
              <w:rPr>
                <w:i/>
              </w:rPr>
              <w:t>Financial Legislation Amendment Act 1996</w:t>
            </w:r>
            <w:r>
              <w:t xml:space="preserve"> s. 64 </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After w:val="1"/>
          <w:wAfter w:w="18" w:type="dxa"/>
          <w:cantSplit/>
        </w:trPr>
        <w:tc>
          <w:tcPr>
            <w:tcW w:w="7089" w:type="dxa"/>
            <w:gridSpan w:val="7"/>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gridAfter w:val="1"/>
          <w:wAfter w:w="18" w:type="dxa"/>
          <w:cantSplit/>
        </w:trPr>
        <w:tc>
          <w:tcPr>
            <w:tcW w:w="2269" w:type="dxa"/>
          </w:tcPr>
          <w:p>
            <w:pPr>
              <w:pStyle w:val="nTable"/>
              <w:spacing w:after="40"/>
              <w:ind w:right="113"/>
            </w:pPr>
            <w:r>
              <w:rPr>
                <w:i/>
              </w:rPr>
              <w:t>Acts Amendment (Equality of Status) Act 2003</w:t>
            </w:r>
            <w:r>
              <w:t xml:space="preserve"> Pt. 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30 Jun 2003 p. 2579)</w:t>
            </w:r>
          </w:p>
        </w:tc>
      </w:tr>
      <w:tr>
        <w:trPr>
          <w:gridAfter w:val="1"/>
          <w:wAfter w:w="18" w:type="dxa"/>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After w:val="1"/>
          <w:wAfter w:w="18" w:type="dxa"/>
          <w:cantSplit/>
        </w:trPr>
        <w:tc>
          <w:tcPr>
            <w:tcW w:w="2269" w:type="dxa"/>
          </w:tcPr>
          <w:p>
            <w:pPr>
              <w:pStyle w:val="nTable"/>
              <w:spacing w:after="40"/>
              <w:ind w:right="113"/>
              <w:rPr>
                <w:i/>
              </w:rPr>
            </w:pPr>
            <w:r>
              <w:rPr>
                <w:i/>
              </w:rPr>
              <w:t>Anzac Day Amendment Act 2003</w:t>
            </w:r>
          </w:p>
        </w:tc>
        <w:tc>
          <w:tcPr>
            <w:tcW w:w="1134" w:type="dxa"/>
            <w:gridSpan w:val="2"/>
          </w:tcPr>
          <w:p>
            <w:pPr>
              <w:pStyle w:val="nTable"/>
              <w:spacing w:after="40"/>
            </w:pPr>
            <w:r>
              <w:t>62 of 2003</w:t>
            </w:r>
          </w:p>
        </w:tc>
        <w:tc>
          <w:tcPr>
            <w:tcW w:w="1134" w:type="dxa"/>
            <w:gridSpan w:val="2"/>
          </w:tcPr>
          <w:p>
            <w:pPr>
              <w:pStyle w:val="nTable"/>
              <w:spacing w:after="40"/>
            </w:pPr>
            <w:r>
              <w:t>26 Nov 2003</w:t>
            </w:r>
          </w:p>
        </w:tc>
        <w:tc>
          <w:tcPr>
            <w:tcW w:w="2552" w:type="dxa"/>
            <w:gridSpan w:val="2"/>
          </w:tcPr>
          <w:p>
            <w:pPr>
              <w:pStyle w:val="nTable"/>
              <w:spacing w:after="40"/>
            </w:pPr>
            <w:r>
              <w:t>26 Nov 2003 (see s. 2)</w:t>
            </w:r>
          </w:p>
        </w:tc>
      </w:tr>
      <w:tr>
        <w:trPr>
          <w:gridAfter w:val="1"/>
          <w:wAfter w:w="18" w:type="dxa"/>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pPr>
            <w:r>
              <w:t xml:space="preserve">9 Apr 2006 (see s. 2 and </w:t>
            </w:r>
            <w:r>
              <w:rPr>
                <w:i/>
              </w:rPr>
              <w:t>Gazette</w:t>
            </w:r>
            <w:r>
              <w:t xml:space="preserve"> 21 Mar 2006 p. 1078)</w:t>
            </w:r>
          </w:p>
        </w:tc>
      </w:tr>
      <w:tr>
        <w:trPr>
          <w:gridAfter w:val="1"/>
          <w:wAfter w:w="18" w:type="dxa"/>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rPr>
              <w:t>Gazette</w:t>
            </w:r>
            <w:r>
              <w:t xml:space="preserve"> 27 Jun 2006 p. 2347)</w:t>
            </w:r>
          </w:p>
        </w:tc>
      </w:tr>
      <w:tr>
        <w:trPr>
          <w:gridAfter w:val="1"/>
          <w:wAfter w:w="18" w:type="dxa"/>
          <w:cantSplit/>
        </w:trPr>
        <w:tc>
          <w:tcPr>
            <w:tcW w:w="7089" w:type="dxa"/>
            <w:gridSpan w:val="7"/>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gridAfter w:val="1"/>
          <w:wAfter w:w="18" w:type="dxa"/>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gridAfter w:val="1"/>
          <w:wAfter w:w="1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Pr>
          <w:p>
            <w:pPr>
              <w:pStyle w:val="nTable"/>
              <w:spacing w:after="40"/>
              <w:ind w:right="113"/>
              <w:rPr>
                <w:i/>
                <w:snapToGrid w:val="0"/>
              </w:rPr>
            </w:pPr>
            <w:r>
              <w:rPr>
                <w:i/>
                <w:snapToGrid w:val="0"/>
              </w:rPr>
              <w:t>Anzac Day Amendment Act 2016</w:t>
            </w:r>
          </w:p>
        </w:tc>
        <w:tc>
          <w:tcPr>
            <w:tcW w:w="1139" w:type="dxa"/>
            <w:gridSpan w:val="2"/>
          </w:tcPr>
          <w:p>
            <w:pPr>
              <w:pStyle w:val="nTable"/>
              <w:spacing w:after="40"/>
              <w:rPr>
                <w:snapToGrid w:val="0"/>
              </w:rPr>
            </w:pPr>
            <w:r>
              <w:rPr>
                <w:snapToGrid w:val="0"/>
              </w:rPr>
              <w:t>4 of 2016</w:t>
            </w:r>
          </w:p>
        </w:tc>
        <w:tc>
          <w:tcPr>
            <w:tcW w:w="1136" w:type="dxa"/>
            <w:gridSpan w:val="2"/>
          </w:tcPr>
          <w:p>
            <w:pPr>
              <w:pStyle w:val="nTable"/>
              <w:spacing w:after="40"/>
              <w:rPr>
                <w:snapToGrid w:val="0"/>
              </w:rPr>
            </w:pPr>
            <w:r>
              <w:rPr>
                <w:snapToGrid w:val="0"/>
              </w:rPr>
              <w:t>21 Mar 2016</w:t>
            </w:r>
          </w:p>
        </w:tc>
        <w:tc>
          <w:tcPr>
            <w:tcW w:w="2554" w:type="dxa"/>
            <w:gridSpan w:val="2"/>
          </w:tcPr>
          <w:p>
            <w:pPr>
              <w:pStyle w:val="nTable"/>
              <w:spacing w:after="40"/>
              <w:rPr>
                <w:snapToGrid w:val="0"/>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r>
        <w:trPr>
          <w:cantSplit/>
        </w:trPr>
        <w:tc>
          <w:tcPr>
            <w:tcW w:w="2278" w:type="dxa"/>
            <w:gridSpan w:val="2"/>
            <w:tcBorders>
              <w:bottom w:val="single" w:sz="4" w:space="0" w:color="auto"/>
            </w:tcBorders>
          </w:tcPr>
          <w:p>
            <w:pPr>
              <w:pStyle w:val="nTable"/>
              <w:spacing w:after="40"/>
              <w:ind w:right="113"/>
              <w:rPr>
                <w:i/>
                <w:snapToGrid w:val="0"/>
              </w:rPr>
            </w:pPr>
            <w:r>
              <w:rPr>
                <w:i/>
                <w:snapToGrid w:val="0"/>
              </w:rPr>
              <w:t>Anzac Day Amendment Act (No. 2) 2016</w:t>
            </w:r>
          </w:p>
        </w:tc>
        <w:tc>
          <w:tcPr>
            <w:tcW w:w="1139" w:type="dxa"/>
            <w:gridSpan w:val="2"/>
            <w:tcBorders>
              <w:bottom w:val="single" w:sz="4" w:space="0" w:color="auto"/>
            </w:tcBorders>
          </w:tcPr>
          <w:p>
            <w:pPr>
              <w:pStyle w:val="nTable"/>
              <w:spacing w:after="40"/>
              <w:rPr>
                <w:snapToGrid w:val="0"/>
              </w:rPr>
            </w:pPr>
            <w:r>
              <w:rPr>
                <w:snapToGrid w:val="0"/>
              </w:rPr>
              <w:t>5 of 2016</w:t>
            </w:r>
          </w:p>
        </w:tc>
        <w:tc>
          <w:tcPr>
            <w:tcW w:w="1136" w:type="dxa"/>
            <w:gridSpan w:val="2"/>
            <w:tcBorders>
              <w:bottom w:val="single" w:sz="4" w:space="0" w:color="auto"/>
            </w:tcBorders>
          </w:tcPr>
          <w:p>
            <w:pPr>
              <w:pStyle w:val="nTable"/>
              <w:spacing w:after="40"/>
              <w:rPr>
                <w:snapToGrid w:val="0"/>
              </w:rPr>
            </w:pPr>
            <w:r>
              <w:rPr>
                <w:snapToGrid w:val="0"/>
              </w:rPr>
              <w:t>21 Mar 2016</w:t>
            </w:r>
          </w:p>
        </w:tc>
        <w:tc>
          <w:tcPr>
            <w:tcW w:w="2554"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5" w:name="_Toc446425061"/>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10(1)</w:t>
      </w:r>
    </w:p>
    <w:p>
      <w:pPr>
        <w:pStyle w:val="DefinedTerms"/>
      </w:pPr>
      <w:r>
        <w:t>Anzac Day</w:t>
      </w:r>
      <w:r>
        <w:tab/>
        <w:t>3</w:t>
      </w:r>
    </w:p>
    <w:p>
      <w:pPr>
        <w:pStyle w:val="DefinedTerms"/>
      </w:pPr>
      <w:r>
        <w:t>ex</w:t>
      </w:r>
      <w:r>
        <w:noBreakHyphen/>
        <w:t>service organisation</w:t>
      </w:r>
      <w:r>
        <w:tab/>
        <w:t>3</w:t>
      </w:r>
    </w:p>
    <w:p>
      <w:pPr>
        <w:pStyle w:val="DefinedTerms"/>
      </w:pPr>
      <w:r>
        <w:t>ex</w:t>
      </w:r>
      <w:r>
        <w:noBreakHyphen/>
        <w:t xml:space="preserve">service personnel </w:t>
      </w:r>
      <w:r>
        <w:tab/>
        <w:t>3</w:t>
      </w:r>
    </w:p>
    <w:p>
      <w:pPr>
        <w:pStyle w:val="DefinedTerms"/>
      </w:pPr>
      <w:r>
        <w:t>large race event</w:t>
      </w:r>
      <w:r>
        <w:tab/>
        <w:t>3</w:t>
      </w:r>
    </w:p>
    <w:p>
      <w:pPr>
        <w:pStyle w:val="DefinedTerms"/>
      </w:pPr>
      <w:r>
        <w:t>prescribed admission ticket</w:t>
      </w:r>
      <w:r>
        <w:tab/>
        <w:t>3</w:t>
      </w:r>
    </w:p>
    <w:p>
      <w:pPr>
        <w:pStyle w:val="DefinedTerms"/>
      </w:pPr>
      <w:r>
        <w:t>professional sport</w:t>
      </w:r>
      <w:r>
        <w:tab/>
        <w:t>3</w:t>
      </w:r>
    </w:p>
    <w:p>
      <w:pPr>
        <w:pStyle w:val="DefinedTerms"/>
      </w:pPr>
      <w:r>
        <w:t>professional sport event</w:t>
      </w:r>
      <w:r>
        <w:tab/>
        <w:t>3</w:t>
      </w:r>
    </w:p>
    <w:p>
      <w:pPr>
        <w:pStyle w:val="DefinedTerms"/>
      </w:pPr>
      <w:r>
        <w:t>race meeting</w:t>
      </w:r>
      <w:r>
        <w:tab/>
        <w:t>3</w:t>
      </w:r>
    </w:p>
    <w:p>
      <w:pPr>
        <w:pStyle w:val="DefinedTerms"/>
      </w:pPr>
      <w:r>
        <w:t>racing club</w:t>
      </w:r>
      <w:r>
        <w:tab/>
        <w:t>3</w:t>
      </w:r>
    </w:p>
    <w:p>
      <w:pPr>
        <w:pStyle w:val="DefinedTerms"/>
      </w:pPr>
      <w:r>
        <w:t>sport event</w:t>
      </w:r>
      <w:r>
        <w:tab/>
        <w:t>3</w:t>
      </w:r>
    </w:p>
    <w:p>
      <w:pPr>
        <w:pStyle w:val="DefinedTerms"/>
      </w:pPr>
      <w:r>
        <w:t>Trust</w:t>
      </w:r>
      <w:r>
        <w:tab/>
        <w:t>3</w:t>
      </w:r>
    </w:p>
    <w:p>
      <w:pPr>
        <w:pStyle w:val="DefinedTerms"/>
      </w:pPr>
      <w:r>
        <w:t>Trustee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40"/>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3682</Words>
  <Characters>15909</Characters>
  <Application>Microsoft Office Word</Application>
  <DocSecurity>0</DocSecurity>
  <Lines>530</Lines>
  <Paragraphs>337</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1960 - 03-f0-01</dc:title>
  <dc:subject/>
  <dc:creator/>
  <cp:keywords/>
  <dc:description/>
  <cp:lastModifiedBy>svcMRProcess</cp:lastModifiedBy>
  <cp:revision>4</cp:revision>
  <cp:lastPrinted>2006-09-06T07:23:00Z</cp:lastPrinted>
  <dcterms:created xsi:type="dcterms:W3CDTF">2016-03-23T07:46:00Z</dcterms:created>
  <dcterms:modified xsi:type="dcterms:W3CDTF">2016-03-23T07:46:00Z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AsAtDate">
    <vt:lpwstr>23 Mar 2016</vt:lpwstr>
  </property>
  <property fmtid="{D5CDD505-2E9C-101B-9397-08002B2CF9AE}" pid="6" name="Suffix">
    <vt:lpwstr>03-f0-01</vt:lpwstr>
  </property>
  <property fmtid="{D5CDD505-2E9C-101B-9397-08002B2CF9AE}" pid="7" name="CommencementDate">
    <vt:lpwstr>20160323</vt:lpwstr>
  </property>
</Properties>
</file>