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_Toc437952239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_Toc437952240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_Toc437952241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_Toc437952244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_Toc437952245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_Toc437952246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_Toc437952247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_Toc437952248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_Toc437952249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_Toc437952250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_Toc437952251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_Toc437952253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_Toc437952254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_Toc437952255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_Toc437952256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_Toc437952257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_Toc437952258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_Toc437952260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_Toc437952261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_Toc437952262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_Toc437952263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_Toc437952264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_Toc437952265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_Toc437952266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_Toc437952267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_Toc437952268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_Toc437952269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_Toc437952270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_Toc437952272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_Toc437952273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_Toc437952274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_Toc437952275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_Toc437952277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_Toc437952278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_Toc437952279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_Toc437952280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_Toc437952281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_Toc437952282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_Toc437952296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_Toc437952297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27757358"/>
      <w:bookmarkStart w:id="4" w:name="_Toc431889367"/>
      <w:bookmarkStart w:id="5" w:name="_Toc43795223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by No. 19 of 2010 s. 43(2).]</w:t>
      </w:r>
    </w:p>
    <w:p>
      <w:pPr>
        <w:pStyle w:val="Heading5"/>
        <w:spacing w:before="240"/>
        <w:rPr>
          <w:snapToGrid w:val="0"/>
        </w:rPr>
      </w:pPr>
      <w:bookmarkStart w:id="6" w:name="_Toc43795223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37952240"/>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37952241"/>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27757362"/>
      <w:bookmarkStart w:id="10" w:name="_Toc431889371"/>
      <w:bookmarkStart w:id="11" w:name="_Toc437952242"/>
      <w:r>
        <w:rPr>
          <w:rStyle w:val="CharPartNo"/>
        </w:rPr>
        <w:t>Part I</w:t>
      </w:r>
      <w:r>
        <w:t> — </w:t>
      </w:r>
      <w:r>
        <w:rPr>
          <w:rStyle w:val="CharPartText"/>
        </w:rPr>
        <w:t>Legislature</w:t>
      </w:r>
      <w:bookmarkEnd w:id="9"/>
      <w:bookmarkEnd w:id="10"/>
      <w:bookmarkEnd w:id="11"/>
    </w:p>
    <w:p>
      <w:pPr>
        <w:pStyle w:val="Heading3"/>
      </w:pPr>
      <w:bookmarkStart w:id="12" w:name="_Toc427757363"/>
      <w:bookmarkStart w:id="13" w:name="_Toc431889372"/>
      <w:bookmarkStart w:id="14" w:name="_Toc437952243"/>
      <w:r>
        <w:rPr>
          <w:rStyle w:val="CharDivNo"/>
        </w:rPr>
        <w:t>Division 1</w:t>
      </w:r>
      <w:r>
        <w:t> — </w:t>
      </w:r>
      <w:r>
        <w:rPr>
          <w:rStyle w:val="CharDivText"/>
        </w:rPr>
        <w:t>Legislative Council</w:t>
      </w:r>
      <w:bookmarkEnd w:id="12"/>
      <w:bookmarkEnd w:id="13"/>
      <w:bookmarkEnd w:id="14"/>
    </w:p>
    <w:p>
      <w:pPr>
        <w:pStyle w:val="Footnoteheading"/>
      </w:pPr>
      <w:r>
        <w:tab/>
        <w:t>[Heading inserted by No. 19 of 2010 s. 44(2).]</w:t>
      </w:r>
    </w:p>
    <w:p>
      <w:pPr>
        <w:pStyle w:val="Heading5"/>
        <w:rPr>
          <w:snapToGrid w:val="0"/>
        </w:rPr>
      </w:pPr>
      <w:bookmarkStart w:id="15" w:name="_Toc437952244"/>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 w:name="_Toc437952245"/>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37952246"/>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8" w:name="_Toc437952247"/>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 w:name="_Toc437952248"/>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0" w:name="_Toc437952249"/>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1" w:name="_Toc437952250"/>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437952251"/>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3" w:name="_Toc427757372"/>
      <w:bookmarkStart w:id="24" w:name="_Toc431889381"/>
      <w:bookmarkStart w:id="25" w:name="_Toc437952252"/>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by No. 19 of 2010 s. 44(2).]</w:t>
      </w:r>
    </w:p>
    <w:p>
      <w:pPr>
        <w:pStyle w:val="Heading5"/>
        <w:keepNext w:val="0"/>
        <w:keepLines w:val="0"/>
        <w:spacing w:before="240"/>
      </w:pPr>
      <w:bookmarkStart w:id="26" w:name="_Toc437952253"/>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 w:name="_Toc437952254"/>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8" w:name="_Toc437952255"/>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437952256"/>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437952257"/>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437952258"/>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 w:name="_Toc427757379"/>
      <w:bookmarkStart w:id="33" w:name="_Toc431889388"/>
      <w:bookmarkStart w:id="34" w:name="_Toc437952259"/>
      <w:r>
        <w:rPr>
          <w:rStyle w:val="CharDivNo"/>
        </w:rPr>
        <w:t>Division 3</w:t>
      </w:r>
      <w:r>
        <w:t> — </w:t>
      </w:r>
      <w:r>
        <w:rPr>
          <w:rStyle w:val="CharDivText"/>
        </w:rPr>
        <w:t>General</w:t>
      </w:r>
      <w:bookmarkEnd w:id="32"/>
      <w:bookmarkEnd w:id="33"/>
      <w:bookmarkEnd w:id="3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 w:name="_Toc437952260"/>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 w:name="_Toc437952261"/>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 w:name="_Toc437952262"/>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8" w:name="_Toc437952263"/>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9" w:name="_Toc437952264"/>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 w:name="_Toc437952265"/>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1" w:name="_Toc437952266"/>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2" w:name="_Toc437952267"/>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3" w:name="_Toc437952268"/>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4" w:name="_Toc437952269"/>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5" w:name="_Toc437952270"/>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 w:name="_Toc427757391"/>
      <w:bookmarkStart w:id="47" w:name="_Toc431889400"/>
      <w:bookmarkStart w:id="48" w:name="_Toc437952271"/>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437952272"/>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 w:name="_Toc437952273"/>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437952274"/>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2" w:name="_Toc437952275"/>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3" w:name="_Toc427757396"/>
      <w:bookmarkStart w:id="54" w:name="_Toc431889405"/>
      <w:bookmarkStart w:id="55" w:name="_Toc437952276"/>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437952277"/>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7" w:name="_Toc437952278"/>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437952279"/>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437952280"/>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 w:name="_Toc437952281"/>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 w:name="_Toc437952282"/>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427757403"/>
      <w:bookmarkStart w:id="63" w:name="_Toc431889412"/>
      <w:bookmarkStart w:id="64" w:name="_Toc437952283"/>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427757404"/>
      <w:bookmarkStart w:id="66" w:name="_Toc431889413"/>
      <w:bookmarkStart w:id="67" w:name="_Toc437952284"/>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8" w:name="_Toc427757405"/>
      <w:bookmarkStart w:id="69" w:name="_Toc431889414"/>
      <w:bookmarkStart w:id="70" w:name="_Toc437952285"/>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by No. 19 of 2010 s. 14(3).]</w:t>
      </w:r>
    </w:p>
    <w:p>
      <w:pPr>
        <w:pStyle w:val="yHeading4"/>
        <w:spacing w:before="260"/>
        <w:rPr>
          <w:rFonts w:eastAsia="MS Mincho"/>
        </w:rPr>
      </w:pPr>
      <w:bookmarkStart w:id="71" w:name="_Toc427757406"/>
      <w:bookmarkStart w:id="72" w:name="_Toc431889415"/>
      <w:bookmarkStart w:id="73" w:name="_Toc437952286"/>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4" w:name="_Toc427757407"/>
      <w:bookmarkStart w:id="75" w:name="_Toc431889416"/>
      <w:bookmarkStart w:id="76" w:name="_Toc437952287"/>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77" w:name="_Toc427757408"/>
      <w:bookmarkStart w:id="78" w:name="_Toc431889417"/>
      <w:bookmarkStart w:id="79" w:name="_Toc437952288"/>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by No. 19 of 2010 s. 14(5).]</w:t>
      </w:r>
    </w:p>
    <w:p>
      <w:pPr>
        <w:pStyle w:val="yHeading4"/>
        <w:spacing w:before="260"/>
        <w:rPr>
          <w:rFonts w:eastAsia="MS Mincho"/>
        </w:rPr>
      </w:pPr>
      <w:bookmarkStart w:id="80" w:name="_Toc427757409"/>
      <w:bookmarkStart w:id="81" w:name="_Toc431889418"/>
      <w:bookmarkStart w:id="82" w:name="_Toc437952289"/>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3" w:name="_Toc427757410"/>
      <w:bookmarkStart w:id="84" w:name="_Toc431889419"/>
      <w:bookmarkStart w:id="85" w:name="_Toc437952290"/>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6" w:name="_Toc427757411"/>
      <w:bookmarkStart w:id="87" w:name="_Toc431889420"/>
      <w:bookmarkStart w:id="88" w:name="_Toc437952291"/>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89" w:name="_Toc427757412"/>
      <w:bookmarkStart w:id="90" w:name="_Toc431889421"/>
      <w:bookmarkStart w:id="91" w:name="_Toc437952292"/>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by No. 24 of 2005 s. 12.]</w:t>
      </w:r>
    </w:p>
    <w:p>
      <w:pPr>
        <w:pStyle w:val="yHeading3"/>
      </w:pPr>
      <w:bookmarkStart w:id="92" w:name="_Toc427757413"/>
      <w:bookmarkStart w:id="93" w:name="_Toc431889422"/>
      <w:bookmarkStart w:id="94" w:name="_Toc437952293"/>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5" w:name="_Toc427757414"/>
      <w:bookmarkStart w:id="96" w:name="_Toc431889423"/>
      <w:bookmarkStart w:id="97" w:name="_Toc437952294"/>
      <w:r>
        <w:rPr>
          <w:rStyle w:val="CharSDivNo"/>
        </w:rPr>
        <w:t>Division 2</w:t>
      </w:r>
      <w:r>
        <w:t> — </w:t>
      </w:r>
      <w:r>
        <w:rPr>
          <w:rStyle w:val="CharSDivText"/>
        </w:rPr>
        <w:t>Members of the Executive Council</w:t>
      </w:r>
      <w:bookmarkEnd w:id="95"/>
      <w:bookmarkEnd w:id="96"/>
      <w:bookmarkEnd w:id="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8" w:name="_Toc427757415"/>
      <w:bookmarkStart w:id="99" w:name="_Toc431889424"/>
      <w:bookmarkStart w:id="100" w:name="_Toc437952295"/>
      <w:r>
        <w:t>Notes</w:t>
      </w:r>
      <w:bookmarkEnd w:id="98"/>
      <w:bookmarkEnd w:id="99"/>
      <w:bookmarkEnd w:id="10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1" w:name="_Toc437952296"/>
      <w:r>
        <w:t>Compilation table</w:t>
      </w:r>
      <w:bookmarkEnd w:id="101"/>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37952297"/>
      <w:r>
        <w:t>Provisions that have not come into operation</w:t>
      </w:r>
      <w:bookmarkEnd w:id="102"/>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79"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79"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79" w:type="dxa"/>
            <w:gridSpan w:val="2"/>
          </w:tcPr>
          <w:p>
            <w:pPr>
              <w:pStyle w:val="nTable"/>
              <w:spacing w:after="40"/>
              <w:rPr>
                <w:snapToGrid w:val="0"/>
              </w:rPr>
            </w:pPr>
            <w:r>
              <w:rPr>
                <w:snapToGrid w:val="0"/>
              </w:rPr>
              <w:t>To be proclaimed (see s. 2(b))</w:t>
            </w:r>
          </w:p>
        </w:tc>
      </w:tr>
      <w:tr>
        <w:trPr>
          <w:cantSplit/>
        </w:trPr>
        <w:tc>
          <w:tcPr>
            <w:tcW w:w="2268" w:type="dxa"/>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9" w:type="dxa"/>
            <w:shd w:val="clear" w:color="auto" w:fill="auto"/>
          </w:tcPr>
          <w:p>
            <w:pPr>
              <w:spacing w:before="40" w:after="40"/>
              <w:rPr>
                <w:sz w:val="19"/>
              </w:rPr>
            </w:pPr>
            <w:r>
              <w:rPr>
                <w:sz w:val="19"/>
              </w:rPr>
              <w:t>28 of 2015</w:t>
            </w:r>
          </w:p>
        </w:tc>
        <w:tc>
          <w:tcPr>
            <w:tcW w:w="1138" w:type="dxa"/>
            <w:shd w:val="clear" w:color="auto" w:fill="auto"/>
          </w:tcPr>
          <w:p>
            <w:pPr>
              <w:spacing w:before="40" w:after="40"/>
              <w:rPr>
                <w:sz w:val="19"/>
              </w:rPr>
            </w:pPr>
            <w:r>
              <w:rPr>
                <w:sz w:val="19"/>
              </w:rPr>
              <w:t>19 Oct 2015</w:t>
            </w:r>
          </w:p>
        </w:tc>
        <w:tc>
          <w:tcPr>
            <w:tcW w:w="2579" w:type="dxa"/>
            <w:gridSpan w:val="2"/>
            <w:shd w:val="clear" w:color="auto" w:fill="auto"/>
          </w:tcPr>
          <w:p>
            <w:pPr>
              <w:spacing w:before="40" w:after="40"/>
              <w:rPr>
                <w:sz w:val="19"/>
              </w:rPr>
            </w:pPr>
            <w:r>
              <w:rPr>
                <w:sz w:val="19"/>
              </w:rPr>
              <w:t>To be proclaimed (see s. 2(b))</w:t>
            </w:r>
          </w:p>
        </w:tc>
      </w:tr>
      <w:tr>
        <w:trPr>
          <w:cantSplit/>
        </w:trPr>
        <w:tc>
          <w:tcPr>
            <w:tcW w:w="2268" w:type="dxa"/>
            <w:shd w:val="clear" w:color="auto" w:fill="auto"/>
          </w:tcPr>
          <w:p>
            <w:pPr>
              <w:spacing w:before="40" w:after="40"/>
              <w:rPr>
                <w:i/>
                <w:sz w:val="19"/>
              </w:rPr>
            </w:pPr>
            <w:r>
              <w:rPr>
                <w:i/>
                <w:sz w:val="19"/>
              </w:rPr>
              <w:t xml:space="preserve">Perth Market (Disposal) Act 2015 </w:t>
            </w:r>
            <w:r>
              <w:rPr>
                <w:sz w:val="19"/>
              </w:rPr>
              <w:t>s. 54 </w:t>
            </w:r>
            <w:r>
              <w:rPr>
                <w:sz w:val="19"/>
                <w:vertAlign w:val="superscript"/>
              </w:rPr>
              <w:t>57</w:t>
            </w:r>
          </w:p>
        </w:tc>
        <w:tc>
          <w:tcPr>
            <w:tcW w:w="1139" w:type="dxa"/>
            <w:shd w:val="clear" w:color="auto" w:fill="auto"/>
          </w:tcPr>
          <w:p>
            <w:pPr>
              <w:spacing w:before="40" w:after="40"/>
              <w:rPr>
                <w:sz w:val="19"/>
              </w:rPr>
            </w:pPr>
            <w:r>
              <w:rPr>
                <w:sz w:val="19"/>
              </w:rPr>
              <w:t>40 of 2015</w:t>
            </w:r>
          </w:p>
        </w:tc>
        <w:tc>
          <w:tcPr>
            <w:tcW w:w="1138" w:type="dxa"/>
            <w:shd w:val="clear" w:color="auto" w:fill="auto"/>
          </w:tcPr>
          <w:p>
            <w:pPr>
              <w:spacing w:before="40" w:after="40"/>
              <w:rPr>
                <w:sz w:val="19"/>
              </w:rPr>
            </w:pPr>
            <w:r>
              <w:rPr>
                <w:sz w:val="19"/>
              </w:rPr>
              <w:t>8 Dec 2015</w:t>
            </w:r>
          </w:p>
        </w:tc>
        <w:tc>
          <w:tcPr>
            <w:tcW w:w="2579" w:type="dxa"/>
            <w:gridSpan w:val="2"/>
            <w:shd w:val="clear" w:color="auto" w:fill="auto"/>
          </w:tcPr>
          <w:p>
            <w:pPr>
              <w:spacing w:before="40" w:after="40"/>
              <w:rPr>
                <w:sz w:val="19"/>
                <w:szCs w:val="19"/>
              </w:rPr>
            </w:pPr>
            <w:r>
              <w:rPr>
                <w:sz w:val="19"/>
                <w:szCs w:val="19"/>
              </w:rPr>
              <w:t xml:space="preserve">Operative on the day on which the </w:t>
            </w:r>
            <w:r>
              <w:rPr>
                <w:i/>
                <w:sz w:val="19"/>
                <w:szCs w:val="19"/>
              </w:rPr>
              <w:t>Perth Market Act 1926</w:t>
            </w:r>
            <w:r>
              <w:rPr>
                <w:sz w:val="19"/>
                <w:szCs w:val="19"/>
              </w:rPr>
              <w:t xml:space="preserve"> is repealed by proclamation under s. 42 (see s. 2(2))</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4" w:type="dxa"/>
            <w:tcBorders>
              <w:top w:val="nil"/>
              <w:bottom w:val="single" w:sz="4" w:space="0" w:color="auto"/>
            </w:tcBorders>
          </w:tcPr>
          <w:p>
            <w:pPr>
              <w:pStyle w:val="nTable"/>
              <w:spacing w:after="40"/>
            </w:pPr>
            <w:r>
              <w:t>3 of 2016</w:t>
            </w:r>
          </w:p>
        </w:tc>
        <w:tc>
          <w:tcPr>
            <w:tcW w:w="1138" w:type="dxa"/>
            <w:tcBorders>
              <w:top w:val="nil"/>
              <w:bottom w:val="single" w:sz="4" w:space="0" w:color="auto"/>
            </w:tcBorders>
          </w:tcPr>
          <w:p>
            <w:pPr>
              <w:pStyle w:val="nTable"/>
              <w:spacing w:after="40"/>
            </w:pPr>
            <w:r>
              <w:t>21 Mar 2016</w:t>
            </w:r>
          </w:p>
        </w:tc>
        <w:tc>
          <w:tcPr>
            <w:tcW w:w="2555"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103" w:name="_Toc433111800"/>
      <w:bookmarkStart w:id="104" w:name="_Toc433112964"/>
      <w:bookmarkStart w:id="105" w:name="_Toc433113552"/>
      <w:r>
        <w:rPr>
          <w:rStyle w:val="CharSectno"/>
        </w:rPr>
        <w:t>72</w:t>
      </w:r>
      <w:r>
        <w:t>.</w:t>
      </w:r>
      <w:r>
        <w:tab/>
      </w:r>
      <w:r>
        <w:rPr>
          <w:i/>
        </w:rPr>
        <w:t>Constitution Acts Amendment Act 1899</w:t>
      </w:r>
      <w:r>
        <w:t xml:space="preserve"> amended</w:t>
      </w:r>
      <w:bookmarkEnd w:id="103"/>
      <w:bookmarkEnd w:id="104"/>
      <w:bookmarkEnd w:id="10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Perth Market (Disposal) Act 2015</w:t>
      </w:r>
      <w:r>
        <w:rPr>
          <w:snapToGrid w:val="0"/>
        </w:rPr>
        <w:t xml:space="preserve"> s. 54 had not come into operation.  It reads as follows:</w:t>
      </w:r>
    </w:p>
    <w:p>
      <w:pPr>
        <w:pStyle w:val="BlankOpen"/>
        <w:rPr>
          <w:rStyle w:val="CharPartText"/>
        </w:rPr>
      </w:pPr>
    </w:p>
    <w:p>
      <w:pPr>
        <w:pStyle w:val="nzHeading5"/>
      </w:pPr>
      <w:bookmarkStart w:id="106" w:name="_Toc437498113"/>
      <w:bookmarkStart w:id="107" w:name="_Toc437502876"/>
      <w:r>
        <w:rPr>
          <w:rStyle w:val="CharSectno"/>
        </w:rPr>
        <w:t>54</w:t>
      </w:r>
      <w:r>
        <w:t>.</w:t>
      </w:r>
      <w:r>
        <w:tab/>
      </w:r>
      <w:r>
        <w:rPr>
          <w:i/>
        </w:rPr>
        <w:t>Constitution Acts Amendment Act 1899</w:t>
      </w:r>
      <w:r>
        <w:t xml:space="preserve"> amended</w:t>
      </w:r>
      <w:bookmarkEnd w:id="106"/>
      <w:bookmarkEnd w:id="107"/>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Perth Market Authority.</w:t>
      </w:r>
    </w:p>
    <w:p>
      <w:pPr>
        <w:pStyle w:val="BlankClose"/>
      </w:pPr>
    </w:p>
    <w:p>
      <w:pPr>
        <w:pStyle w:val="BlankClose"/>
      </w:pP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09" w:name="_Toc427757418"/>
      <w:bookmarkStart w:id="110" w:name="_Toc431889427"/>
      <w:bookmarkStart w:id="111" w:name="_Toc437952298"/>
      <w:r>
        <w:rPr>
          <w:sz w:val="28"/>
        </w:rPr>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364-3C86-47DC-8C83-28431E4E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22308</Words>
  <Characters>100836</Characters>
  <Application>Microsoft Office Word</Application>
  <DocSecurity>0</DocSecurity>
  <Lines>3734</Lines>
  <Paragraphs>2280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1899 - 20-c0-00</dc:title>
  <dc:subject/>
  <dc:creator/>
  <cp:keywords/>
  <dc:description/>
  <cp:lastModifiedBy>svcMRProcess</cp:lastModifiedBy>
  <cp:revision>4</cp:revision>
  <cp:lastPrinted>2015-12-01T08:17:00Z</cp:lastPrinted>
  <dcterms:created xsi:type="dcterms:W3CDTF">2018-08-28T00:51:00Z</dcterms:created>
  <dcterms:modified xsi:type="dcterms:W3CDTF">2018-08-28T00:51:00Z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21 Mar 2016</vt:lpwstr>
  </property>
  <property fmtid="{D5CDD505-2E9C-101B-9397-08002B2CF9AE}" pid="9" name="Suffix">
    <vt:lpwstr>20-c0-00</vt:lpwstr>
  </property>
  <property fmtid="{D5CDD505-2E9C-101B-9397-08002B2CF9AE}" pid="10" name="CommencementDate">
    <vt:lpwstr>20160321</vt:lpwstr>
  </property>
</Properties>
</file>