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_Toc450057492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_Toc450057493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_Toc450057494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_Toc450057495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_Toc450057496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_Toc450057498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45005749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4500574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50057494"/>
      <w:r>
        <w:rPr>
          <w:rStyle w:val="CharSectno"/>
        </w:rPr>
        <w:t>3</w:t>
      </w:r>
      <w:r>
        <w:t>.</w:t>
      </w:r>
      <w:r>
        <w:tab/>
        <w:t>Prescribed areas</w:t>
      </w:r>
      <w:bookmarkEnd w:id="6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c>
          <w:tcPr>
            <w:tcW w:w="2764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Coolgardie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 Pilbara</w:t>
            </w:r>
          </w:p>
        </w:tc>
      </w:tr>
      <w:tr>
        <w:tc>
          <w:tcPr>
            <w:tcW w:w="2764" w:type="dxa"/>
          </w:tcPr>
          <w:p>
            <w:pPr>
              <w:pStyle w:val="TableNAm"/>
              <w:keepNext/>
            </w:pPr>
            <w:r>
              <w:t>Exmouth</w:t>
            </w:r>
          </w:p>
        </w:tc>
        <w:tc>
          <w:tcPr>
            <w:tcW w:w="2764" w:type="dxa"/>
          </w:tcPr>
          <w:p>
            <w:pPr>
              <w:pStyle w:val="TableNAm"/>
              <w:keepNext/>
              <w:rPr>
                <w:vertAlign w:val="superscript"/>
              </w:rPr>
            </w:pPr>
            <w:r>
              <w:t>Greater Geraldton </w:t>
            </w:r>
            <w:r>
              <w:rPr>
                <w:vertAlign w:val="superscript"/>
              </w:rPr>
              <w:t>2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 xml:space="preserve">Halls Creek 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2764" w:type="dxa"/>
          </w:tcPr>
          <w:p>
            <w:pPr>
              <w:pStyle w:val="TableNAm"/>
              <w:rPr>
                <w:vertAlign w:val="superscript"/>
              </w:rPr>
            </w:pPr>
            <w:r>
              <w:t>Karratha </w:t>
            </w:r>
            <w:r>
              <w:rPr>
                <w:vertAlign w:val="superscript"/>
              </w:rPr>
              <w:t>3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Lake Grace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 Magnet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Mount Marshall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Mukinbudin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Narembeen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Northampton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Perenjori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Port Hedland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Shark Bay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Trayning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Upper Gascoyne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Westonia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Yilgarn</w:t>
            </w:r>
          </w:p>
        </w:tc>
      </w:tr>
    </w:tbl>
    <w:p>
      <w:pPr>
        <w:pStyle w:val="Footnotesection"/>
      </w:pPr>
      <w:r>
        <w:tab/>
        <w:t>[Regulation 3 amended in Gazette 3 May 2016 p. 1355</w:t>
      </w:r>
      <w:r>
        <w:noBreakHyphen/>
        <w:t>6.]</w:t>
      </w:r>
    </w:p>
    <w:p>
      <w:pPr>
        <w:pStyle w:val="Heading5"/>
        <w:rPr>
          <w:snapToGrid w:val="0"/>
        </w:rPr>
      </w:pPr>
      <w:bookmarkStart w:id="7" w:name="_Toc45005749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8" w:name="_Toc450057496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50057497"/>
      <w:r>
        <w:t>Notes</w:t>
      </w:r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0" w:name="_Toc450057498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 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tab/>
        <w:t>The local government district of Greater Geraldton is the area of the State that, immediately before 1 July 2011, comprised the local government districts of Geraldton-Greenough and Mullewa.</w:t>
      </w:r>
    </w:p>
    <w:p>
      <w:pPr>
        <w:pStyle w:val="nSubsection"/>
      </w:pPr>
      <w:r>
        <w:rPr>
          <w:vertAlign w:val="superscript"/>
        </w:rPr>
        <w:t>3</w:t>
      </w:r>
      <w:r>
        <w:tab/>
        <w:t>The local government district of Karratha was formerly known as Roebourne.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450057499"/>
      <w:r>
        <w:rPr>
          <w:sz w:val="28"/>
        </w:rPr>
        <w:t>Defined terms</w:t>
      </w:r>
      <w:bookmarkEnd w:id="1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3" w:name="DefinedTerms"/>
    <w:bookmarkEnd w:id="1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02101817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DBA5-A66A-427E-B0AD-D8006E84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691</Words>
  <Characters>3860</Characters>
  <Application>Microsoft Office Word</Application>
  <DocSecurity>0</DocSecurity>
  <Lines>175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2014 - 00-b0-03</dc:title>
  <dc:subject/>
  <dc:creator/>
  <cp:keywords/>
  <dc:description/>
  <cp:lastModifiedBy>svcMRProcess</cp:lastModifiedBy>
  <cp:revision>4</cp:revision>
  <cp:lastPrinted>2016-05-03T08:08:00Z</cp:lastPrinted>
  <dcterms:created xsi:type="dcterms:W3CDTF">2016-05-03T09:00:00Z</dcterms:created>
  <dcterms:modified xsi:type="dcterms:W3CDTF">2016-05-03T09:00:00Z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AsAtDate">
    <vt:lpwstr>04 May 2016</vt:lpwstr>
  </property>
  <property fmtid="{D5CDD505-2E9C-101B-9397-08002B2CF9AE}" pid="5" name="Suffix">
    <vt:lpwstr>00-b0-03</vt:lpwstr>
  </property>
  <property fmtid="{D5CDD505-2E9C-101B-9397-08002B2CF9AE}" pid="6" name="CommencementDate">
    <vt:lpwstr>20160504</vt:lpwstr>
  </property>
</Properties>
</file>