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Fiona Stanley Hospital By-laws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April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Fiona Stanley Hospital By-laws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_Toc450560673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_Toc450560674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_Toc450560675 \h </w:instrText>
      </w:r>
      <w:r>
        <w:fldChar w:fldCharType="separate"/>
      </w:r>
      <w:r>
        <w:t>1</w:t>
      </w:r>
      <w:r>
        <w:fldChar w:fldCharType="end"/>
      </w:r>
    </w:p>
    <w:p>
      <w:pPr>
        <w:pStyle w:val="TOC8"/>
        <w:rPr>
          <w:rFonts w:asciiTheme="minorHAnsi" w:eastAsiaTheme="minorEastAsia" w:hAnsiTheme="minorHAnsi" w:cstheme="minorBidi"/>
          <w:szCs w:val="22"/>
        </w:rPr>
      </w:pPr>
      <w:r>
        <w:t>4A.</w:t>
      </w:r>
      <w:r>
        <w:tab/>
        <w:t>Appointment of authorised persons</w:t>
      </w:r>
      <w:r>
        <w:tab/>
      </w:r>
      <w:r>
        <w:fldChar w:fldCharType="begin"/>
      </w:r>
      <w:r>
        <w:instrText xml:space="preserve"> PAGEREF _Toc450560676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_Toc450560678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Directions as to use of certain areas</w:t>
      </w:r>
      <w:r>
        <w:tab/>
      </w:r>
      <w:r>
        <w:fldChar w:fldCharType="begin"/>
      </w:r>
      <w:r>
        <w:instrText xml:space="preserve"> PAGEREF _Toc450560679 \h </w:instrText>
      </w:r>
      <w:r>
        <w:fldChar w:fldCharType="separate"/>
      </w:r>
      <w:r>
        <w:t>4</w:t>
      </w:r>
      <w:r>
        <w:fldChar w:fldCharType="end"/>
      </w:r>
    </w:p>
    <w:p>
      <w:pPr>
        <w:pStyle w:val="TOC8"/>
        <w:rPr>
          <w:rFonts w:asciiTheme="minorHAnsi" w:eastAsiaTheme="minorEastAsia" w:hAnsiTheme="minorHAnsi" w:cstheme="minorBidi"/>
          <w:szCs w:val="22"/>
        </w:rPr>
      </w:pPr>
      <w:r>
        <w:t>6.</w:t>
      </w:r>
      <w:r>
        <w:tab/>
        <w:t>Prohibited items</w:t>
      </w:r>
      <w:r>
        <w:tab/>
      </w:r>
      <w:r>
        <w:fldChar w:fldCharType="begin"/>
      </w:r>
      <w:r>
        <w:instrText xml:space="preserve"> PAGEREF _Toc450560680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_Toc450560681 \h </w:instrText>
      </w:r>
      <w:r>
        <w:fldChar w:fldCharType="separate"/>
      </w:r>
      <w:r>
        <w:t>5</w:t>
      </w:r>
      <w:r>
        <w:fldChar w:fldCharType="end"/>
      </w:r>
    </w:p>
    <w:p>
      <w:pPr>
        <w:pStyle w:val="TOC8"/>
        <w:rPr>
          <w:rFonts w:asciiTheme="minorHAnsi" w:eastAsiaTheme="minorEastAsia" w:hAnsiTheme="minorHAnsi" w:cstheme="minorBidi"/>
          <w:szCs w:val="22"/>
        </w:rPr>
      </w:pPr>
      <w:r>
        <w:t>8.</w:t>
      </w:r>
      <w:r>
        <w:tab/>
        <w:t>Persons may be directed to leave site</w:t>
      </w:r>
      <w:r>
        <w:tab/>
      </w:r>
      <w:r>
        <w:fldChar w:fldCharType="begin"/>
      </w:r>
      <w:r>
        <w:instrText xml:space="preserve"> PAGEREF _Toc450560682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t>Driving of vehicles</w:t>
      </w:r>
      <w:r>
        <w:tab/>
      </w:r>
      <w:r>
        <w:fldChar w:fldCharType="begin"/>
      </w:r>
      <w:r>
        <w:instrText xml:space="preserve"> PAGEREF _Toc450560685 \h </w:instrText>
      </w:r>
      <w:r>
        <w:fldChar w:fldCharType="separate"/>
      </w:r>
      <w:r>
        <w:t>6</w:t>
      </w:r>
      <w:r>
        <w:fldChar w:fldCharType="end"/>
      </w:r>
    </w:p>
    <w:p>
      <w:pPr>
        <w:pStyle w:val="TOC8"/>
        <w:rPr>
          <w:rFonts w:asciiTheme="minorHAnsi" w:eastAsiaTheme="minorEastAsia" w:hAnsiTheme="minorHAnsi" w:cstheme="minorBidi"/>
          <w:szCs w:val="22"/>
        </w:rPr>
      </w:pPr>
      <w:r>
        <w:t>10.</w:t>
      </w:r>
      <w:r>
        <w:tab/>
        <w:t>Driver to obey reasonable direction</w:t>
      </w:r>
      <w:r>
        <w:tab/>
      </w:r>
      <w:r>
        <w:fldChar w:fldCharType="begin"/>
      </w:r>
      <w:r>
        <w:instrText xml:space="preserve"> PAGEREF _Toc450560686 \h </w:instrText>
      </w:r>
      <w:r>
        <w:fldChar w:fldCharType="separate"/>
      </w:r>
      <w:r>
        <w:t>6</w:t>
      </w:r>
      <w:r>
        <w:fldChar w:fldCharType="end"/>
      </w:r>
    </w:p>
    <w:p>
      <w:pPr>
        <w:pStyle w:val="TOC8"/>
        <w:rPr>
          <w:rFonts w:asciiTheme="minorHAnsi" w:eastAsiaTheme="minorEastAsia" w:hAnsiTheme="minorHAnsi" w:cstheme="minorBidi"/>
          <w:szCs w:val="22"/>
        </w:rPr>
      </w:pPr>
      <w:r>
        <w:t>11.</w:t>
      </w:r>
      <w:r>
        <w:tab/>
        <w:t>Speed limits</w:t>
      </w:r>
      <w:r>
        <w:tab/>
      </w:r>
      <w:r>
        <w:fldChar w:fldCharType="begin"/>
      </w:r>
      <w:r>
        <w:instrText xml:space="preserve"> PAGEREF _Toc450560687 \h </w:instrText>
      </w:r>
      <w:r>
        <w:fldChar w:fldCharType="separate"/>
      </w:r>
      <w:r>
        <w:t>6</w:t>
      </w:r>
      <w:r>
        <w:fldChar w:fldCharType="end"/>
      </w:r>
    </w:p>
    <w:p>
      <w:pPr>
        <w:pStyle w:val="TOC8"/>
        <w:rPr>
          <w:rFonts w:asciiTheme="minorHAnsi" w:eastAsiaTheme="minorEastAsia" w:hAnsiTheme="minorHAnsi" w:cstheme="minorBidi"/>
          <w:szCs w:val="22"/>
        </w:rPr>
      </w:pPr>
      <w:r>
        <w:t>12.</w:t>
      </w:r>
      <w:r>
        <w:tab/>
        <w:t>Giving way</w:t>
      </w:r>
      <w:r>
        <w:tab/>
      </w:r>
      <w:r>
        <w:fldChar w:fldCharType="begin"/>
      </w:r>
      <w:r>
        <w:instrText xml:space="preserve"> PAGEREF _Toc450560688 \h </w:instrText>
      </w:r>
      <w:r>
        <w:fldChar w:fldCharType="separate"/>
      </w:r>
      <w:r>
        <w:t>7</w:t>
      </w:r>
      <w:r>
        <w:fldChar w:fldCharType="end"/>
      </w:r>
    </w:p>
    <w:p>
      <w:pPr>
        <w:pStyle w:val="TOC8"/>
        <w:rPr>
          <w:rFonts w:asciiTheme="minorHAnsi" w:eastAsiaTheme="minorEastAsia" w:hAnsiTheme="minorHAnsi" w:cstheme="minorBidi"/>
          <w:szCs w:val="22"/>
        </w:rPr>
      </w:pPr>
      <w:r>
        <w:t>13.</w:t>
      </w:r>
      <w:r>
        <w:tab/>
      </w:r>
      <w:r>
        <w:rPr>
          <w:snapToGrid w:val="0"/>
        </w:rPr>
        <w:t>No instruction or repairs on site</w:t>
      </w:r>
      <w:r>
        <w:tab/>
      </w:r>
      <w:r>
        <w:fldChar w:fldCharType="begin"/>
      </w:r>
      <w:r>
        <w:instrText xml:space="preserve"> PAGEREF _Toc450560689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14.</w:t>
      </w:r>
      <w:r>
        <w:tab/>
        <w:t>Parking to be in parking spaces only</w:t>
      </w:r>
      <w:r>
        <w:tab/>
      </w:r>
      <w:r>
        <w:fldChar w:fldCharType="begin"/>
      </w:r>
      <w:r>
        <w:instrText xml:space="preserve"> PAGEREF _Toc450560691 \h </w:instrText>
      </w:r>
      <w:r>
        <w:fldChar w:fldCharType="separate"/>
      </w:r>
      <w:r>
        <w:t>7</w:t>
      </w:r>
      <w:r>
        <w:fldChar w:fldCharType="end"/>
      </w:r>
    </w:p>
    <w:p>
      <w:pPr>
        <w:pStyle w:val="TOC8"/>
        <w:rPr>
          <w:rFonts w:asciiTheme="minorHAnsi" w:eastAsiaTheme="minorEastAsia" w:hAnsiTheme="minorHAnsi" w:cstheme="minorBidi"/>
          <w:szCs w:val="22"/>
        </w:rPr>
      </w:pPr>
      <w:r>
        <w:t>15.</w:t>
      </w:r>
      <w:r>
        <w:tab/>
        <w:t>Signs to be obeyed</w:t>
      </w:r>
      <w:r>
        <w:tab/>
      </w:r>
      <w:r>
        <w:fldChar w:fldCharType="begin"/>
      </w:r>
      <w:r>
        <w:instrText xml:space="preserve"> PAGEREF _Toc450560692 \h </w:instrText>
      </w:r>
      <w:r>
        <w:fldChar w:fldCharType="separate"/>
      </w:r>
      <w:r>
        <w:t>7</w:t>
      </w:r>
      <w:r>
        <w:fldChar w:fldCharType="end"/>
      </w:r>
    </w:p>
    <w:p>
      <w:pPr>
        <w:pStyle w:val="TOC8"/>
        <w:rPr>
          <w:rFonts w:asciiTheme="minorHAnsi" w:eastAsiaTheme="minorEastAsia" w:hAnsiTheme="minorHAnsi" w:cstheme="minorBidi"/>
          <w:szCs w:val="22"/>
        </w:rPr>
      </w:pPr>
      <w:r>
        <w:t>16.</w:t>
      </w:r>
      <w:r>
        <w:tab/>
        <w:t>Parking in parking spaces</w:t>
      </w:r>
      <w:r>
        <w:tab/>
      </w:r>
      <w:r>
        <w:fldChar w:fldCharType="begin"/>
      </w:r>
      <w:r>
        <w:instrText xml:space="preserve"> PAGEREF _Toc450560693 \h </w:instrText>
      </w:r>
      <w:r>
        <w:fldChar w:fldCharType="separate"/>
      </w:r>
      <w:r>
        <w:t>8</w:t>
      </w:r>
      <w:r>
        <w:fldChar w:fldCharType="end"/>
      </w:r>
    </w:p>
    <w:p>
      <w:pPr>
        <w:pStyle w:val="TOC8"/>
        <w:rPr>
          <w:rFonts w:asciiTheme="minorHAnsi" w:eastAsiaTheme="minorEastAsia" w:hAnsiTheme="minorHAnsi" w:cstheme="minorBidi"/>
          <w:szCs w:val="22"/>
        </w:rPr>
      </w:pPr>
      <w:r>
        <w:t>17.</w:t>
      </w:r>
      <w:r>
        <w:tab/>
        <w:t>Types of parking areas</w:t>
      </w:r>
      <w:r>
        <w:tab/>
      </w:r>
      <w:r>
        <w:fldChar w:fldCharType="begin"/>
      </w:r>
      <w:r>
        <w:instrText xml:space="preserve"> PAGEREF _Toc450560694 \h </w:instrText>
      </w:r>
      <w:r>
        <w:fldChar w:fldCharType="separate"/>
      </w:r>
      <w:r>
        <w:t>8</w:t>
      </w:r>
      <w:r>
        <w:fldChar w:fldCharType="end"/>
      </w:r>
    </w:p>
    <w:p>
      <w:pPr>
        <w:pStyle w:val="TOC8"/>
        <w:rPr>
          <w:rFonts w:asciiTheme="minorHAnsi" w:eastAsiaTheme="minorEastAsia" w:hAnsiTheme="minorHAnsi" w:cstheme="minorBidi"/>
          <w:szCs w:val="22"/>
        </w:rPr>
      </w:pPr>
      <w:r>
        <w:t>18.</w:t>
      </w:r>
      <w:r>
        <w:tab/>
        <w:t>Parking in ticket parking area or boom gate controlled ticket parking area</w:t>
      </w:r>
      <w:r>
        <w:tab/>
      </w:r>
      <w:r>
        <w:fldChar w:fldCharType="begin"/>
      </w:r>
      <w:r>
        <w:instrText xml:space="preserve"> PAGEREF _Toc450560695 \h </w:instrText>
      </w:r>
      <w:r>
        <w:fldChar w:fldCharType="separate"/>
      </w:r>
      <w:r>
        <w:t>8</w:t>
      </w:r>
      <w:r>
        <w:fldChar w:fldCharType="end"/>
      </w:r>
    </w:p>
    <w:p>
      <w:pPr>
        <w:pStyle w:val="TOC8"/>
        <w:rPr>
          <w:rFonts w:asciiTheme="minorHAnsi" w:eastAsiaTheme="minorEastAsia" w:hAnsiTheme="minorHAnsi" w:cstheme="minorBidi"/>
          <w:szCs w:val="22"/>
        </w:rPr>
      </w:pPr>
      <w:r>
        <w:t>19.</w:t>
      </w:r>
      <w:r>
        <w:tab/>
        <w:t>Parking in paid staff parking area</w:t>
      </w:r>
      <w:r>
        <w:tab/>
      </w:r>
      <w:r>
        <w:fldChar w:fldCharType="begin"/>
      </w:r>
      <w:r>
        <w:instrText xml:space="preserve"> PAGEREF _Toc450560696 \h </w:instrText>
      </w:r>
      <w:r>
        <w:fldChar w:fldCharType="separate"/>
      </w:r>
      <w:r>
        <w:t>10</w:t>
      </w:r>
      <w:r>
        <w:fldChar w:fldCharType="end"/>
      </w:r>
    </w:p>
    <w:p>
      <w:pPr>
        <w:pStyle w:val="TOC8"/>
        <w:rPr>
          <w:rFonts w:asciiTheme="minorHAnsi" w:eastAsiaTheme="minorEastAsia" w:hAnsiTheme="minorHAnsi" w:cstheme="minorBidi"/>
          <w:szCs w:val="22"/>
        </w:rPr>
      </w:pPr>
      <w:r>
        <w:t>20.</w:t>
      </w:r>
      <w:r>
        <w:tab/>
        <w:t>Parking in permit parking area</w:t>
      </w:r>
      <w:r>
        <w:tab/>
      </w:r>
      <w:r>
        <w:fldChar w:fldCharType="begin"/>
      </w:r>
      <w:r>
        <w:instrText xml:space="preserve"> PAGEREF _Toc450560697 \h </w:instrText>
      </w:r>
      <w:r>
        <w:fldChar w:fldCharType="separate"/>
      </w:r>
      <w:r>
        <w:t>10</w:t>
      </w:r>
      <w:r>
        <w:fldChar w:fldCharType="end"/>
      </w:r>
    </w:p>
    <w:p>
      <w:pPr>
        <w:pStyle w:val="TOC8"/>
        <w:rPr>
          <w:rFonts w:asciiTheme="minorHAnsi" w:eastAsiaTheme="minorEastAsia" w:hAnsiTheme="minorHAnsi" w:cstheme="minorBidi"/>
          <w:szCs w:val="22"/>
        </w:rPr>
      </w:pPr>
      <w:r>
        <w:t>21.</w:t>
      </w:r>
      <w:r>
        <w:tab/>
        <w:t>Parking permits</w:t>
      </w:r>
      <w:r>
        <w:tab/>
      </w:r>
      <w:r>
        <w:fldChar w:fldCharType="begin"/>
      </w:r>
      <w:r>
        <w:instrText xml:space="preserve"> PAGEREF _Toc450560698 \h </w:instrText>
      </w:r>
      <w:r>
        <w:fldChar w:fldCharType="separate"/>
      </w:r>
      <w:r>
        <w:t>11</w:t>
      </w:r>
      <w:r>
        <w:fldChar w:fldCharType="end"/>
      </w:r>
    </w:p>
    <w:p>
      <w:pPr>
        <w:pStyle w:val="TOC8"/>
        <w:rPr>
          <w:rFonts w:asciiTheme="minorHAnsi" w:eastAsiaTheme="minorEastAsia" w:hAnsiTheme="minorHAnsi" w:cstheme="minorBidi"/>
          <w:szCs w:val="22"/>
        </w:rPr>
      </w:pPr>
      <w:r>
        <w:t>22.</w:t>
      </w:r>
      <w:r>
        <w:tab/>
        <w:t>Application for parking permit</w:t>
      </w:r>
      <w:r>
        <w:tab/>
      </w:r>
      <w:r>
        <w:fldChar w:fldCharType="begin"/>
      </w:r>
      <w:r>
        <w:instrText xml:space="preserve"> PAGEREF _Toc450560699 \h </w:instrText>
      </w:r>
      <w:r>
        <w:fldChar w:fldCharType="separate"/>
      </w:r>
      <w:r>
        <w:t>12</w:t>
      </w:r>
      <w:r>
        <w:fldChar w:fldCharType="end"/>
      </w:r>
    </w:p>
    <w:p>
      <w:pPr>
        <w:pStyle w:val="TOC8"/>
        <w:rPr>
          <w:rFonts w:asciiTheme="minorHAnsi" w:eastAsiaTheme="minorEastAsia" w:hAnsiTheme="minorHAnsi" w:cstheme="minorBidi"/>
          <w:szCs w:val="22"/>
        </w:rPr>
      </w:pPr>
      <w:r>
        <w:t>23A.</w:t>
      </w:r>
      <w:r>
        <w:tab/>
        <w:t>Review of decisions about parking permits</w:t>
      </w:r>
      <w:r>
        <w:tab/>
      </w:r>
      <w:r>
        <w:fldChar w:fldCharType="begin"/>
      </w:r>
      <w:r>
        <w:instrText xml:space="preserve"> PAGEREF _Toc450560700 \h </w:instrText>
      </w:r>
      <w:r>
        <w:fldChar w:fldCharType="separate"/>
      </w:r>
      <w:r>
        <w:t>13</w:t>
      </w:r>
      <w:r>
        <w:fldChar w:fldCharType="end"/>
      </w:r>
    </w:p>
    <w:p>
      <w:pPr>
        <w:pStyle w:val="TOC8"/>
        <w:rPr>
          <w:rFonts w:asciiTheme="minorHAnsi" w:eastAsiaTheme="minorEastAsia" w:hAnsiTheme="minorHAnsi" w:cstheme="minorBidi"/>
          <w:szCs w:val="22"/>
        </w:rPr>
      </w:pPr>
      <w:r>
        <w:t>23.</w:t>
      </w:r>
      <w:r>
        <w:tab/>
        <w:t>Fees for parking permits</w:t>
      </w:r>
      <w:r>
        <w:tab/>
      </w:r>
      <w:r>
        <w:fldChar w:fldCharType="begin"/>
      </w:r>
      <w:r>
        <w:instrText xml:space="preserve"> PAGEREF _Toc450560701 \h </w:instrText>
      </w:r>
      <w:r>
        <w:fldChar w:fldCharType="separate"/>
      </w:r>
      <w:r>
        <w:t>14</w:t>
      </w:r>
      <w:r>
        <w:fldChar w:fldCharType="end"/>
      </w:r>
    </w:p>
    <w:p>
      <w:pPr>
        <w:pStyle w:val="TOC8"/>
        <w:rPr>
          <w:rFonts w:asciiTheme="minorHAnsi" w:eastAsiaTheme="minorEastAsia" w:hAnsiTheme="minorHAnsi" w:cstheme="minorBidi"/>
          <w:szCs w:val="22"/>
        </w:rPr>
      </w:pPr>
      <w:r>
        <w:t>24.</w:t>
      </w:r>
      <w:r>
        <w:tab/>
        <w:t>Cancellation of parking permit</w:t>
      </w:r>
      <w:r>
        <w:tab/>
      </w:r>
      <w:r>
        <w:fldChar w:fldCharType="begin"/>
      </w:r>
      <w:r>
        <w:instrText xml:space="preserve"> PAGEREF _Toc450560702 \h </w:instrText>
      </w:r>
      <w:r>
        <w:fldChar w:fldCharType="separate"/>
      </w:r>
      <w:r>
        <w:t>14</w:t>
      </w:r>
      <w:r>
        <w:fldChar w:fldCharType="end"/>
      </w:r>
    </w:p>
    <w:p>
      <w:pPr>
        <w:pStyle w:val="TOC8"/>
        <w:rPr>
          <w:rFonts w:asciiTheme="minorHAnsi" w:eastAsiaTheme="minorEastAsia" w:hAnsiTheme="minorHAnsi" w:cstheme="minorBidi"/>
          <w:szCs w:val="22"/>
        </w:rPr>
      </w:pPr>
      <w:r>
        <w:t>25.</w:t>
      </w:r>
      <w:r>
        <w:tab/>
        <w:t>Refund of parking permit fees</w:t>
      </w:r>
      <w:r>
        <w:tab/>
      </w:r>
      <w:r>
        <w:fldChar w:fldCharType="begin"/>
      </w:r>
      <w:r>
        <w:instrText xml:space="preserve"> PAGEREF _Toc450560703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_Toc450560705 \h </w:instrText>
      </w:r>
      <w:r>
        <w:fldChar w:fldCharType="separate"/>
      </w:r>
      <w:r>
        <w:t>17</w:t>
      </w:r>
      <w:r>
        <w:fldChar w:fldCharType="end"/>
      </w:r>
    </w:p>
    <w:p>
      <w:pPr>
        <w:pStyle w:val="TOC8"/>
        <w:rPr>
          <w:rFonts w:asciiTheme="minorHAnsi" w:eastAsiaTheme="minorEastAsia" w:hAnsiTheme="minorHAnsi" w:cstheme="minorBidi"/>
          <w:szCs w:val="22"/>
        </w:rPr>
      </w:pPr>
      <w:r>
        <w:t>27.</w:t>
      </w:r>
      <w:r>
        <w:tab/>
        <w:t>Infringement notices</w:t>
      </w:r>
      <w:r>
        <w:tab/>
      </w:r>
      <w:r>
        <w:fldChar w:fldCharType="begin"/>
      </w:r>
      <w:r>
        <w:instrText xml:space="preserve"> PAGEREF _Toc450560706 \h </w:instrText>
      </w:r>
      <w:r>
        <w:fldChar w:fldCharType="separate"/>
      </w:r>
      <w:r>
        <w:t>17</w:t>
      </w:r>
      <w:r>
        <w:fldChar w:fldCharType="end"/>
      </w:r>
    </w:p>
    <w:p>
      <w:pPr>
        <w:pStyle w:val="TOC8"/>
        <w:rPr>
          <w:rFonts w:asciiTheme="minorHAnsi" w:eastAsiaTheme="minorEastAsia" w:hAnsiTheme="minorHAnsi" w:cstheme="minorBidi"/>
          <w:szCs w:val="22"/>
        </w:rPr>
      </w:pPr>
      <w:r>
        <w:t>28.</w:t>
      </w:r>
      <w:r>
        <w:tab/>
        <w:t>Withdrawal of infringement notice</w:t>
      </w:r>
      <w:r>
        <w:tab/>
      </w:r>
      <w:r>
        <w:fldChar w:fldCharType="begin"/>
      </w:r>
      <w:r>
        <w:instrText xml:space="preserve"> PAGEREF _Toc450560707 \h </w:instrText>
      </w:r>
      <w:r>
        <w:fldChar w:fldCharType="separate"/>
      </w:r>
      <w:r>
        <w:t>18</w:t>
      </w:r>
      <w:r>
        <w:fldChar w:fldCharType="end"/>
      </w:r>
    </w:p>
    <w:p>
      <w:pPr>
        <w:pStyle w:val="TOC8"/>
        <w:rPr>
          <w:rFonts w:asciiTheme="minorHAnsi" w:eastAsiaTheme="minorEastAsia" w:hAnsiTheme="minorHAnsi" w:cstheme="minorBidi"/>
          <w:szCs w:val="22"/>
        </w:rPr>
      </w:pPr>
      <w:r>
        <w:t>29.</w:t>
      </w:r>
      <w:r>
        <w:tab/>
        <w:t>Authorised persons to produce certificate</w:t>
      </w:r>
      <w:r>
        <w:tab/>
      </w:r>
      <w:r>
        <w:fldChar w:fldCharType="begin"/>
      </w:r>
      <w:r>
        <w:instrText xml:space="preserve"> PAGEREF _Toc450560708 \h </w:instrText>
      </w:r>
      <w:r>
        <w:fldChar w:fldCharType="separate"/>
      </w:r>
      <w:r>
        <w:t>18</w:t>
      </w:r>
      <w:r>
        <w:fldChar w:fldCharType="end"/>
      </w:r>
    </w:p>
    <w:p>
      <w:pPr>
        <w:pStyle w:val="TOC8"/>
        <w:rPr>
          <w:rFonts w:asciiTheme="minorHAnsi" w:eastAsiaTheme="minorEastAsia" w:hAnsiTheme="minorHAnsi" w:cstheme="minorBidi"/>
          <w:szCs w:val="22"/>
        </w:rPr>
      </w:pPr>
      <w:r>
        <w:t>30.</w:t>
      </w:r>
      <w:r>
        <w:tab/>
        <w:t>Authorised persons only to endorse or alter infringement notices</w:t>
      </w:r>
      <w:r>
        <w:tab/>
      </w:r>
      <w:r>
        <w:fldChar w:fldCharType="begin"/>
      </w:r>
      <w:r>
        <w:instrText xml:space="preserve"> PAGEREF _Toc450560709 \h </w:instrText>
      </w:r>
      <w:r>
        <w:fldChar w:fldCharType="separate"/>
      </w:r>
      <w:r>
        <w:t>19</w:t>
      </w:r>
      <w:r>
        <w:fldChar w:fldCharType="end"/>
      </w:r>
    </w:p>
    <w:p>
      <w:pPr>
        <w:pStyle w:val="TOC8"/>
        <w:rPr>
          <w:rFonts w:asciiTheme="minorHAnsi" w:eastAsiaTheme="minorEastAsia" w:hAnsiTheme="minorHAnsi" w:cstheme="minorBidi"/>
          <w:szCs w:val="22"/>
        </w:rPr>
      </w:pPr>
      <w:r>
        <w:t>31.</w:t>
      </w:r>
      <w:r>
        <w:tab/>
        <w:t>Restriction on removal of infringement notices</w:t>
      </w:r>
      <w:r>
        <w:tab/>
      </w:r>
      <w:r>
        <w:fldChar w:fldCharType="begin"/>
      </w:r>
      <w:r>
        <w:instrText xml:space="preserve"> PAGEREF _Toc450560710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32.</w:t>
      </w:r>
      <w:r>
        <w:tab/>
        <w:t>Removal of vehicles</w:t>
      </w:r>
      <w:r>
        <w:tab/>
      </w:r>
      <w:r>
        <w:fldChar w:fldCharType="begin"/>
      </w:r>
      <w:r>
        <w:instrText xml:space="preserve"> PAGEREF _Toc450560712 \h </w:instrText>
      </w:r>
      <w:r>
        <w:fldChar w:fldCharType="separate"/>
      </w:r>
      <w:r>
        <w:t>20</w:t>
      </w:r>
      <w:r>
        <w:fldChar w:fldCharType="end"/>
      </w:r>
    </w:p>
    <w:p>
      <w:pPr>
        <w:pStyle w:val="TOC8"/>
        <w:rPr>
          <w:rFonts w:asciiTheme="minorHAnsi" w:eastAsiaTheme="minorEastAsia" w:hAnsiTheme="minorHAnsi" w:cstheme="minorBidi"/>
          <w:szCs w:val="22"/>
        </w:rPr>
      </w:pPr>
      <w:r>
        <w:t>33.</w:t>
      </w:r>
      <w:r>
        <w:tab/>
        <w:t>Responsible person may be treated as driver or person in charge of vehicle</w:t>
      </w:r>
      <w:r>
        <w:tab/>
      </w:r>
      <w:r>
        <w:fldChar w:fldCharType="begin"/>
      </w:r>
      <w:r>
        <w:instrText xml:space="preserve"> PAGEREF _Toc450560713 \h </w:instrText>
      </w:r>
      <w:r>
        <w:fldChar w:fldCharType="separate"/>
      </w:r>
      <w:r>
        <w:t>20</w:t>
      </w:r>
      <w:r>
        <w:fldChar w:fldCharType="end"/>
      </w:r>
    </w:p>
    <w:p>
      <w:pPr>
        <w:pStyle w:val="TOC8"/>
        <w:rPr>
          <w:rFonts w:asciiTheme="minorHAnsi" w:eastAsiaTheme="minorEastAsia" w:hAnsiTheme="minorHAnsi" w:cstheme="minorBidi"/>
          <w:szCs w:val="22"/>
        </w:rPr>
      </w:pPr>
      <w:r>
        <w:t>34.</w:t>
      </w:r>
      <w:r>
        <w:tab/>
        <w:t>Other offences</w:t>
      </w:r>
      <w:r>
        <w:tab/>
      </w:r>
      <w:r>
        <w:fldChar w:fldCharType="begin"/>
      </w:r>
      <w:r>
        <w:instrText xml:space="preserve"> PAGEREF _Toc450560714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_Toc450560719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April 2016</w:t>
            </w:r>
          </w:p>
        </w:tc>
      </w:tr>
    </w:tbl>
    <w:p>
      <w:pPr>
        <w:pStyle w:val="WA"/>
        <w:spacing w:before="12"/>
      </w:pPr>
      <w:r>
        <w:t>Western Australia</w:t>
      </w:r>
    </w:p>
    <w:p>
      <w:pPr>
        <w:pStyle w:val="PrincipalActReg"/>
        <w:spacing w:before="480"/>
      </w:pPr>
      <w:r>
        <w:t>Hospitals and Health Services Act 1927</w:t>
      </w:r>
    </w:p>
    <w:p>
      <w:pPr>
        <w:pStyle w:val="NameofActReg"/>
      </w:pPr>
      <w:r>
        <w:t>Fiona Stanley Hospital By</w:t>
      </w:r>
      <w:r>
        <w:noBreakHyphen/>
        <w:t>laws 2014</w:t>
      </w:r>
    </w:p>
    <w:p>
      <w:pPr>
        <w:pStyle w:val="Heading2"/>
        <w:pageBreakBefore w:val="0"/>
        <w:spacing w:before="240"/>
      </w:pPr>
      <w:bookmarkStart w:id="3" w:name="_Toc449705128"/>
      <w:bookmarkStart w:id="4" w:name="_Toc450560672"/>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50560673"/>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by-laws</w:t>
      </w:r>
      <w:r>
        <w:t xml:space="preserve"> are the </w:t>
      </w:r>
      <w:r>
        <w:rPr>
          <w:i/>
        </w:rPr>
        <w:t>Fiona Stanley Hospital By</w:t>
      </w:r>
      <w:r>
        <w:rPr>
          <w:i/>
        </w:rPr>
        <w:noBreakHyphen/>
        <w:t>laws 2014</w:t>
      </w:r>
      <w:r>
        <w:rPr>
          <w:vertAlign w:val="superscript"/>
        </w:rPr>
        <w:t> 1</w:t>
      </w:r>
      <w:r>
        <w:t>.</w:t>
      </w:r>
    </w:p>
    <w:p>
      <w:pPr>
        <w:pStyle w:val="Heading5"/>
        <w:rPr>
          <w:spacing w:val="-2"/>
        </w:rPr>
      </w:pPr>
      <w:bookmarkStart w:id="7" w:name="_Toc450560674"/>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by-laws come into operation as follows</w:t>
      </w:r>
      <w:r>
        <w:t> —</w:t>
      </w:r>
    </w:p>
    <w:p>
      <w:pPr>
        <w:pStyle w:val="Indenta"/>
      </w:pPr>
      <w:r>
        <w:tab/>
        <w:t>(a)</w:t>
      </w:r>
      <w:r>
        <w:tab/>
      </w:r>
      <w:r>
        <w:rPr>
          <w:spacing w:val="-2"/>
        </w:rPr>
        <w:t>by-laws</w:t>
      </w:r>
      <w:r>
        <w:t xml:space="preserve"> 1 and 2 — on the day on which these </w:t>
      </w:r>
      <w:r>
        <w:rPr>
          <w:spacing w:val="-2"/>
        </w:rPr>
        <w:t>by-laws</w:t>
      </w:r>
      <w:r>
        <w:t xml:space="preserve"> are published in the </w:t>
      </w:r>
      <w:r>
        <w:rPr>
          <w:i/>
          <w:iCs/>
        </w:rPr>
        <w:t>Gazette</w:t>
      </w:r>
      <w:r>
        <w:rPr>
          <w:vertAlign w:val="superscript"/>
        </w:rPr>
        <w:t> 1</w:t>
      </w:r>
      <w:r>
        <w:t>;</w:t>
      </w:r>
    </w:p>
    <w:p>
      <w:pPr>
        <w:pStyle w:val="Indenta"/>
      </w:pPr>
      <w:r>
        <w:tab/>
        <w:t>(b)</w:t>
      </w:r>
      <w:r>
        <w:tab/>
        <w:t xml:space="preserve">the rest of the </w:t>
      </w:r>
      <w:r>
        <w:rPr>
          <w:spacing w:val="-2"/>
        </w:rPr>
        <w:t>by-laws</w:t>
      </w:r>
      <w:r>
        <w:t> — on the day after that day.</w:t>
      </w:r>
    </w:p>
    <w:p>
      <w:pPr>
        <w:pStyle w:val="Heading5"/>
        <w:rPr>
          <w:snapToGrid w:val="0"/>
        </w:rPr>
      </w:pPr>
      <w:bookmarkStart w:id="8" w:name="_Toc450560675"/>
      <w:r>
        <w:rPr>
          <w:rStyle w:val="CharSectno"/>
        </w:rPr>
        <w:t>3</w:t>
      </w:r>
      <w:r>
        <w:rPr>
          <w:snapToGrid w:val="0"/>
        </w:rPr>
        <w:t>.</w:t>
      </w:r>
      <w:r>
        <w:rPr>
          <w:snapToGrid w:val="0"/>
        </w:rPr>
        <w:tab/>
        <w:t>Terms used</w:t>
      </w:r>
      <w:bookmarkEnd w:id="8"/>
    </w:p>
    <w:p>
      <w:pPr>
        <w:pStyle w:val="Subsection"/>
      </w:pPr>
      <w:r>
        <w:tab/>
        <w:t>(1)</w:t>
      </w:r>
      <w:r>
        <w:tab/>
      </w:r>
      <w:r>
        <w:rPr>
          <w:spacing w:val="-2"/>
        </w:rPr>
        <w:t>In these</w:t>
      </w:r>
      <w:r>
        <w:t xml:space="preserve"> by</w:t>
      </w:r>
      <w:r>
        <w:noBreakHyphen/>
        <w:t xml:space="preserve">laws, unless the contrary intention appears — </w:t>
      </w:r>
    </w:p>
    <w:p>
      <w:pPr>
        <w:pStyle w:val="Defstart"/>
      </w:pPr>
      <w:r>
        <w:tab/>
      </w:r>
      <w:r>
        <w:rPr>
          <w:rStyle w:val="CharDefText"/>
        </w:rPr>
        <w:t>approved</w:t>
      </w:r>
      <w:r>
        <w:t xml:space="preserve"> means approved by the chief executive officer;</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Fiona Stanley Hospital;</w:t>
      </w:r>
    </w:p>
    <w:p>
      <w:pPr>
        <w:pStyle w:val="Defstart"/>
      </w:pPr>
      <w:r>
        <w:tab/>
      </w:r>
      <w:r>
        <w:rPr>
          <w:rStyle w:val="CharDefText"/>
        </w:rPr>
        <w:t>officer or servant of the board</w:t>
      </w:r>
      <w:r>
        <w:t xml:space="preserve"> includes — </w:t>
      </w:r>
    </w:p>
    <w:p>
      <w:pPr>
        <w:pStyle w:val="Defpara"/>
      </w:pPr>
      <w:r>
        <w:tab/>
        <w:t>(a)</w:t>
      </w:r>
      <w:r>
        <w:tab/>
        <w:t>a person engaged by the board under section 19(1) of the Act to perform functions on its behalf; and</w:t>
      </w:r>
    </w:p>
    <w:p>
      <w:pPr>
        <w:pStyle w:val="Defpara"/>
      </w:pPr>
      <w:r>
        <w:tab/>
        <w:t>(b)</w:t>
      </w:r>
      <w:r>
        <w:tab/>
        <w:t>an employee of a person engaged by the board under section 19(1)(b) of the Act to perform functions on its behalf;</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21(2);</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or a ticket is required in relation to the parking of the vehicle;</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(Administration) Act 2008</w:t>
      </w:r>
      <w:r>
        <w:t xml:space="preserve"> 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rPr>
          <w:szCs w:val="24"/>
        </w:rPr>
      </w:pPr>
      <w:r>
        <w:tab/>
      </w:r>
      <w:r>
        <w:rPr>
          <w:rStyle w:val="CharDefText"/>
        </w:rPr>
        <w:t>site</w:t>
      </w:r>
      <w:r>
        <w:t xml:space="preserve"> </w:t>
      </w:r>
      <w:r>
        <w:rPr>
          <w:szCs w:val="24"/>
        </w:rPr>
        <w:t xml:space="preserve">means </w:t>
      </w:r>
      <w:r>
        <w:t>the land in Lot 511 on Deposited Plan 66734, being part of Reserve 42037</w:t>
      </w:r>
      <w:r>
        <w:rPr>
          <w:szCs w:val="24"/>
        </w:rP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w:t>
      </w:r>
      <w:r>
        <w:t xml:space="preserve"> means a ticket from a ticket vending machine showing — </w:t>
      </w:r>
    </w:p>
    <w:p>
      <w:pPr>
        <w:pStyle w:val="Defpara"/>
      </w:pPr>
      <w:r>
        <w:rPr>
          <w:snapToGrid/>
        </w:rPr>
        <w:tab/>
        <w:t>(a)</w:t>
      </w:r>
      <w:r>
        <w:rPr>
          <w:snapToGrid/>
        </w:rPr>
        <w:tab/>
      </w:r>
      <w:r>
        <w:t>the day of issue of the ticket; and</w:t>
      </w:r>
    </w:p>
    <w:p>
      <w:pPr>
        <w:pStyle w:val="Defpara"/>
      </w:pPr>
      <w:r>
        <w:rPr>
          <w:snapToGrid/>
        </w:rPr>
        <w:tab/>
        <w:t>(b)</w:t>
      </w:r>
      <w:r>
        <w:rPr>
          <w:snapToGrid/>
        </w:rPr>
        <w:tab/>
      </w:r>
      <w:r>
        <w:t>the time of issue or expiry, or the time of issue and expiry, of the ticket;</w:t>
      </w:r>
    </w:p>
    <w:p>
      <w:pPr>
        <w:pStyle w:val="Defstart"/>
      </w:pPr>
      <w:r>
        <w:rPr>
          <w:b/>
        </w:rPr>
        <w:tab/>
      </w:r>
      <w:r>
        <w:rPr>
          <w:rStyle w:val="CharDefText"/>
        </w:rPr>
        <w:t>ticket vending machine</w:t>
      </w:r>
      <w:r>
        <w:t xml:space="preserve"> means a machine situated in a parking facility which issues a ticket;</w:t>
      </w:r>
    </w:p>
    <w:p>
      <w:pPr>
        <w:pStyle w:val="Defstart"/>
        <w:rPr>
          <w:iCs/>
        </w:rPr>
      </w:pPr>
      <w:r>
        <w:rPr>
          <w:b/>
        </w:rP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tab/>
      </w:r>
      <w:r>
        <w:rPr>
          <w:snapToGrid w:val="0"/>
        </w:rPr>
        <w:t>given by the chief executive officer or an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For the purposes of these by</w:t>
      </w:r>
      <w:r>
        <w:noBreakHyphen/>
        <w:t>laws, other than by</w:t>
      </w:r>
      <w:r>
        <w:noBreakHyphen/>
        <w:t xml:space="preserve">law 18(3) and (6), </w:t>
      </w:r>
      <w:r>
        <w:rPr>
          <w:snapToGrid w:val="0"/>
        </w:rPr>
        <w:t>an officer or servant of the board is to be treated as having the permission referred to in sub</w:t>
      </w:r>
      <w:r>
        <w:rPr>
          <w:snapToGrid w:val="0"/>
        </w:rPr>
        <w:noBreakHyphen/>
        <w:t>bylaw (2).</w:t>
      </w:r>
    </w:p>
    <w:p>
      <w:pPr>
        <w:pStyle w:val="Footnotesection"/>
      </w:pPr>
      <w:r>
        <w:tab/>
        <w:t>[By-law 3 amended in Gazette 8 Jan 2015 p. 177</w:t>
      </w:r>
      <w:r>
        <w:noBreakHyphen/>
        <w:t>8; 14 Apr 2015 p. 1331.]</w:t>
      </w:r>
    </w:p>
    <w:p>
      <w:pPr>
        <w:pStyle w:val="Heading5"/>
      </w:pPr>
      <w:bookmarkStart w:id="9" w:name="_Toc450560676"/>
      <w:r>
        <w:rPr>
          <w:rStyle w:val="CharSectno"/>
        </w:rPr>
        <w:t>4A</w:t>
      </w:r>
      <w:r>
        <w:t>.</w:t>
      </w:r>
      <w:r>
        <w:tab/>
        <w:t>Appointment of authorised persons</w:t>
      </w:r>
      <w:bookmarkEnd w:id="9"/>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27(1), a certificate stating that the person is so authorised.</w:t>
      </w:r>
    </w:p>
    <w:p>
      <w:pPr>
        <w:pStyle w:val="Footnotesection"/>
      </w:pPr>
      <w:r>
        <w:tab/>
        <w:t>[By-law 4A inserted in Gazette 14 Apr 2015 p. 1332.]</w:t>
      </w:r>
    </w:p>
    <w:p>
      <w:pPr>
        <w:pStyle w:val="Heading2"/>
      </w:pPr>
      <w:bookmarkStart w:id="10" w:name="_Toc449705133"/>
      <w:bookmarkStart w:id="11" w:name="_Toc450560677"/>
      <w:r>
        <w:rPr>
          <w:rStyle w:val="CharPartNo"/>
        </w:rPr>
        <w:t>Part 2</w:t>
      </w:r>
      <w:r>
        <w:rPr>
          <w:rStyle w:val="CharDivNo"/>
        </w:rPr>
        <w:t> </w:t>
      </w:r>
      <w:r>
        <w:t>—</w:t>
      </w:r>
      <w:r>
        <w:rPr>
          <w:rStyle w:val="CharDivText"/>
        </w:rPr>
        <w:t> </w:t>
      </w:r>
      <w:r>
        <w:rPr>
          <w:rStyle w:val="CharPartText"/>
        </w:rPr>
        <w:t>Trespass and order</w:t>
      </w:r>
      <w:bookmarkEnd w:id="10"/>
      <w:bookmarkEnd w:id="11"/>
    </w:p>
    <w:p>
      <w:pPr>
        <w:pStyle w:val="Heading5"/>
      </w:pPr>
      <w:bookmarkStart w:id="12" w:name="_Toc450560678"/>
      <w:r>
        <w:rPr>
          <w:rStyle w:val="CharSectno"/>
        </w:rPr>
        <w:t>4</w:t>
      </w:r>
      <w:r>
        <w:t>.</w:t>
      </w:r>
      <w:r>
        <w:tab/>
        <w:t>No entry without cause</w:t>
      </w:r>
      <w:bookmarkEnd w:id="12"/>
    </w:p>
    <w:p>
      <w:pPr>
        <w:pStyle w:val="Subsection"/>
        <w:rPr>
          <w:snapToGrid w:val="0"/>
        </w:rPr>
      </w:pPr>
      <w:r>
        <w:tab/>
      </w:r>
      <w:r>
        <w:tab/>
      </w:r>
      <w:r>
        <w:rPr>
          <w:snapToGrid w:val="0"/>
        </w:rPr>
        <w:t>A person must not enter or remain on the site without a reasonable excuse.</w:t>
      </w:r>
    </w:p>
    <w:p>
      <w:pPr>
        <w:pStyle w:val="Penstart"/>
      </w:pPr>
      <w:r>
        <w:tab/>
        <w:t xml:space="preserve">Penalty: </w:t>
      </w:r>
      <w:r>
        <w:rPr>
          <w:snapToGrid w:val="0"/>
        </w:rPr>
        <w:t>a fine of $50.</w:t>
      </w:r>
    </w:p>
    <w:p>
      <w:pPr>
        <w:pStyle w:val="Heading5"/>
        <w:rPr>
          <w:snapToGrid w:val="0"/>
        </w:rPr>
      </w:pPr>
      <w:bookmarkStart w:id="13" w:name="_Toc450560679"/>
      <w:r>
        <w:rPr>
          <w:rStyle w:val="CharSectno"/>
        </w:rPr>
        <w:t>5</w:t>
      </w:r>
      <w:r>
        <w:t>.</w:t>
      </w:r>
      <w:r>
        <w:tab/>
      </w:r>
      <w:r>
        <w:rPr>
          <w:snapToGrid w:val="0"/>
        </w:rPr>
        <w:t>Directions as to use of certain areas</w:t>
      </w:r>
      <w:bookmarkEnd w:id="13"/>
    </w:p>
    <w:p>
      <w:pPr>
        <w:pStyle w:val="Subsection"/>
      </w:pPr>
      <w:r>
        <w:tab/>
        <w:t>(1)</w:t>
      </w:r>
      <w:r>
        <w:tab/>
        <w:t>In this by</w:t>
      </w:r>
      <w:r>
        <w:noBreakHyphen/>
        <w:t>law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tab/>
      </w:r>
      <w:r>
        <w:rPr>
          <w:snapToGrid w:val="0"/>
        </w:rPr>
        <w:t>A person must not contravene a direction under this by</w:t>
      </w:r>
      <w:r>
        <w:rPr>
          <w:snapToGrid w:val="0"/>
        </w:rPr>
        <w:noBreakHyphen/>
        <w:t>law.</w:t>
      </w:r>
    </w:p>
    <w:p>
      <w:pPr>
        <w:pStyle w:val="Penstart"/>
        <w:rPr>
          <w:snapToGrid w:val="0"/>
        </w:rPr>
      </w:pPr>
      <w:r>
        <w:rPr>
          <w:snapToGrid w:val="0"/>
        </w:rPr>
        <w:tab/>
        <w:t>Penalty: a fine of $50.</w:t>
      </w:r>
    </w:p>
    <w:p>
      <w:pPr>
        <w:pStyle w:val="Heading5"/>
      </w:pPr>
      <w:bookmarkStart w:id="14" w:name="_Toc450560680"/>
      <w:r>
        <w:rPr>
          <w:rStyle w:val="CharSectno"/>
        </w:rPr>
        <w:t>6</w:t>
      </w:r>
      <w:r>
        <w:t>.</w:t>
      </w:r>
      <w:r>
        <w:tab/>
        <w:t>Prohibited items</w:t>
      </w:r>
      <w:bookmarkEnd w:id="14"/>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6 inserted in Gazette 14 Apr 2015 p. 1332.]</w:t>
      </w:r>
    </w:p>
    <w:p>
      <w:pPr>
        <w:pStyle w:val="Heading5"/>
      </w:pPr>
      <w:bookmarkStart w:id="15" w:name="_Toc450560681"/>
      <w:r>
        <w:rPr>
          <w:rStyle w:val="CharSectno"/>
        </w:rPr>
        <w:t>7</w:t>
      </w:r>
      <w:r>
        <w:t>.</w:t>
      </w:r>
      <w:r>
        <w:tab/>
        <w:t>Smoking</w:t>
      </w:r>
      <w:bookmarkEnd w:id="15"/>
    </w:p>
    <w:p>
      <w:pPr>
        <w:pStyle w:val="Subsection"/>
        <w:rPr>
          <w:snapToGrid w:val="0"/>
        </w:rPr>
      </w:pPr>
      <w:r>
        <w:tab/>
      </w:r>
      <w:r>
        <w:tab/>
      </w:r>
      <w:r>
        <w:rPr>
          <w:snapToGrid w:val="0"/>
        </w:rPr>
        <w:t>A person must not smoke on the site.</w:t>
      </w:r>
    </w:p>
    <w:p>
      <w:pPr>
        <w:pStyle w:val="Penstart"/>
        <w:rPr>
          <w:snapToGrid w:val="0"/>
        </w:rPr>
      </w:pPr>
      <w:r>
        <w:rPr>
          <w:snapToGrid w:val="0"/>
        </w:rPr>
        <w:tab/>
        <w:t>Penalty: a fine of $50.</w:t>
      </w:r>
    </w:p>
    <w:p>
      <w:pPr>
        <w:pStyle w:val="Heading5"/>
      </w:pPr>
      <w:bookmarkStart w:id="16" w:name="_Toc450560682"/>
      <w:r>
        <w:rPr>
          <w:rStyle w:val="CharSectno"/>
        </w:rPr>
        <w:t>8</w:t>
      </w:r>
      <w:r>
        <w:t>.</w:t>
      </w:r>
      <w:r>
        <w:tab/>
        <w:t>Persons may be directed to leave site</w:t>
      </w:r>
      <w:bookmarkEnd w:id="16"/>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[By-law 8 inserted in Gazette 14 Apr 2015 p. 1332</w:t>
      </w:r>
      <w:r>
        <w:noBreakHyphen/>
        <w:t>3.]</w:t>
      </w:r>
    </w:p>
    <w:p>
      <w:pPr>
        <w:pStyle w:val="Heading2"/>
      </w:pPr>
      <w:bookmarkStart w:id="17" w:name="_Toc449705139"/>
      <w:bookmarkStart w:id="18" w:name="_Toc450560683"/>
      <w:r>
        <w:rPr>
          <w:rStyle w:val="CharPartNo"/>
        </w:rPr>
        <w:t>Part 3</w:t>
      </w:r>
      <w:r>
        <w:t> — </w:t>
      </w:r>
      <w:r>
        <w:rPr>
          <w:rStyle w:val="CharPartText"/>
        </w:rPr>
        <w:t>Traffic control</w:t>
      </w:r>
      <w:bookmarkEnd w:id="17"/>
      <w:bookmarkEnd w:id="18"/>
    </w:p>
    <w:p>
      <w:pPr>
        <w:pStyle w:val="Heading3"/>
      </w:pPr>
      <w:bookmarkStart w:id="19" w:name="_Toc449705140"/>
      <w:bookmarkStart w:id="20" w:name="_Toc450560684"/>
      <w:r>
        <w:rPr>
          <w:rStyle w:val="CharDivNo"/>
        </w:rPr>
        <w:t>Division 1</w:t>
      </w:r>
      <w:r>
        <w:t> — </w:t>
      </w:r>
      <w:r>
        <w:rPr>
          <w:rStyle w:val="CharDivText"/>
        </w:rPr>
        <w:t>Driving and use of vehicles</w:t>
      </w:r>
      <w:bookmarkEnd w:id="19"/>
      <w:bookmarkEnd w:id="20"/>
    </w:p>
    <w:p>
      <w:pPr>
        <w:pStyle w:val="Heading5"/>
      </w:pPr>
      <w:bookmarkStart w:id="21" w:name="_Toc450560685"/>
      <w:r>
        <w:rPr>
          <w:rStyle w:val="CharSectno"/>
        </w:rPr>
        <w:t>9</w:t>
      </w:r>
      <w:r>
        <w:t>.</w:t>
      </w:r>
      <w:r>
        <w:tab/>
        <w:t>Driving of vehicles</w:t>
      </w:r>
      <w:bookmarkEnd w:id="21"/>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Penstart"/>
        <w:rPr>
          <w:snapToGrid w:val="0"/>
        </w:rPr>
      </w:pPr>
      <w:r>
        <w:rPr>
          <w:snapToGrid w:val="0"/>
        </w:rPr>
        <w:tab/>
        <w:t>Penalty: a fine of $50.</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tab/>
      </w:r>
      <w:r>
        <w:rPr>
          <w:snapToGrid w:val="0"/>
        </w:rPr>
        <w:t>This by</w:t>
      </w:r>
      <w:r>
        <w:rPr>
          <w:snapToGrid w:val="0"/>
        </w:rPr>
        <w:noBreakHyphen/>
      </w:r>
      <w:r>
        <w:t>law does not apply to a vehicle that is an emergency vehicle.</w:t>
      </w:r>
    </w:p>
    <w:p>
      <w:pPr>
        <w:pStyle w:val="Heading5"/>
      </w:pPr>
      <w:bookmarkStart w:id="22" w:name="_Toc450560686"/>
      <w:r>
        <w:rPr>
          <w:rStyle w:val="CharSectno"/>
        </w:rPr>
        <w:t>10</w:t>
      </w:r>
      <w:r>
        <w:t>.</w:t>
      </w:r>
      <w:r>
        <w:tab/>
        <w:t>Driver to obey reasonable direction</w:t>
      </w:r>
      <w:bookmarkEnd w:id="22"/>
    </w:p>
    <w:p>
      <w:pPr>
        <w:pStyle w:val="Subsection"/>
        <w:rPr>
          <w:snapToGrid w:val="0"/>
        </w:rPr>
      </w:pPr>
      <w:r>
        <w:tab/>
      </w:r>
      <w:r>
        <w:tab/>
      </w:r>
      <w:r>
        <w:rPr>
          <w:snapToGrid w:val="0"/>
        </w:rPr>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23" w:name="_Toc450560687"/>
      <w:r>
        <w:rPr>
          <w:rStyle w:val="CharSectno"/>
        </w:rPr>
        <w:t>11</w:t>
      </w:r>
      <w:r>
        <w:t>.</w:t>
      </w:r>
      <w:r>
        <w:tab/>
        <w:t>Speed limits</w:t>
      </w:r>
      <w:bookmarkEnd w:id="23"/>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at a speed exceeding the speed indicated by the speed restriction sign; or</w:t>
      </w:r>
    </w:p>
    <w:p>
      <w:pPr>
        <w:pStyle w:val="Indenta"/>
        <w:rPr>
          <w:snapToGrid w:val="0"/>
        </w:rPr>
      </w:pPr>
      <w:r>
        <w:tab/>
        <w:t>(b)</w:t>
      </w:r>
      <w:r>
        <w:tab/>
      </w:r>
      <w:r>
        <w:rPr>
          <w:snapToGrid w:val="0"/>
        </w:rPr>
        <w:t>if no speed restriction sign is displayed, at a speed exceeding 10 km/h.</w:t>
      </w:r>
    </w:p>
    <w:p>
      <w:pPr>
        <w:pStyle w:val="Penstart"/>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pPr>
      <w:bookmarkStart w:id="24" w:name="_Toc450560688"/>
      <w:r>
        <w:rPr>
          <w:rStyle w:val="CharSectno"/>
        </w:rPr>
        <w:t>12</w:t>
      </w:r>
      <w:r>
        <w:t>.</w:t>
      </w:r>
      <w:r>
        <w:tab/>
        <w:t>Giving way</w:t>
      </w:r>
      <w:bookmarkEnd w:id="24"/>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25" w:name="_Toc450560689"/>
      <w:r>
        <w:rPr>
          <w:rStyle w:val="CharSectno"/>
        </w:rPr>
        <w:t>13</w:t>
      </w:r>
      <w:r>
        <w:t>.</w:t>
      </w:r>
      <w:r>
        <w:tab/>
      </w:r>
      <w:r>
        <w:rPr>
          <w:snapToGrid w:val="0"/>
        </w:rPr>
        <w:t>No instruction or repairs on site</w:t>
      </w:r>
      <w:bookmarkEnd w:id="25"/>
    </w:p>
    <w:p>
      <w:pPr>
        <w:pStyle w:val="Subsection"/>
        <w:rPr>
          <w:snapToGrid w:val="0"/>
        </w:rPr>
      </w:pPr>
      <w:r>
        <w:tab/>
      </w:r>
      <w:r>
        <w:tab/>
      </w:r>
      <w:r>
        <w:rPr>
          <w:snapToGrid w:val="0"/>
        </w:rPr>
        <w:t>A person must not — </w:t>
      </w:r>
    </w:p>
    <w:p>
      <w:pPr>
        <w:pStyle w:val="Indenta"/>
      </w:pPr>
      <w:r>
        <w:tab/>
        <w:t>(a)</w:t>
      </w:r>
      <w:r>
        <w:tab/>
      </w:r>
      <w:r>
        <w:rPr>
          <w:snapToGrid w:val="0"/>
        </w:rPr>
        <w:t>drive a vehicle on the site for the purpose of giving or receiving driving instructions; or</w:t>
      </w:r>
    </w:p>
    <w:p>
      <w:pPr>
        <w:pStyle w:val="Indenta"/>
      </w:pPr>
      <w:r>
        <w:tab/>
        <w:t>(b)</w:t>
      </w:r>
      <w:r>
        <w:tab/>
      </w:r>
      <w:r>
        <w:rPr>
          <w:snapToGrid w:val="0"/>
        </w:rPr>
        <w:t>repair or adjust a vehicle on the site, except in an emergency.</w:t>
      </w:r>
    </w:p>
    <w:p>
      <w:pPr>
        <w:pStyle w:val="Penstart"/>
        <w:rPr>
          <w:snapToGrid w:val="0"/>
        </w:rPr>
      </w:pPr>
      <w:r>
        <w:rPr>
          <w:snapToGrid w:val="0"/>
        </w:rPr>
        <w:tab/>
        <w:t>Penalty: a fine of $50.</w:t>
      </w:r>
    </w:p>
    <w:p>
      <w:pPr>
        <w:pStyle w:val="Heading3"/>
      </w:pPr>
      <w:bookmarkStart w:id="26" w:name="_Toc449705146"/>
      <w:bookmarkStart w:id="27" w:name="_Toc450560690"/>
      <w:r>
        <w:rPr>
          <w:rStyle w:val="CharDivNo"/>
        </w:rPr>
        <w:t>Division 2</w:t>
      </w:r>
      <w:r>
        <w:t> — </w:t>
      </w:r>
      <w:r>
        <w:rPr>
          <w:rStyle w:val="CharDivText"/>
        </w:rPr>
        <w:t>Parking</w:t>
      </w:r>
      <w:bookmarkEnd w:id="26"/>
      <w:bookmarkEnd w:id="27"/>
    </w:p>
    <w:p>
      <w:pPr>
        <w:pStyle w:val="Heading5"/>
      </w:pPr>
      <w:bookmarkStart w:id="28" w:name="_Toc450560691"/>
      <w:r>
        <w:rPr>
          <w:rStyle w:val="CharSectno"/>
        </w:rPr>
        <w:t>14</w:t>
      </w:r>
      <w:r>
        <w:t>.</w:t>
      </w:r>
      <w:r>
        <w:tab/>
        <w:t>Parking to be in parking spaces only</w:t>
      </w:r>
      <w:bookmarkEnd w:id="28"/>
    </w:p>
    <w:p>
      <w:pPr>
        <w:pStyle w:val="Subsection"/>
      </w:pPr>
      <w:r>
        <w:tab/>
      </w:r>
      <w:r>
        <w:tab/>
      </w:r>
      <w:r>
        <w:rPr>
          <w:snapToGrid w:val="0"/>
        </w:rPr>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29" w:name="_Toc450560692"/>
      <w:r>
        <w:rPr>
          <w:rStyle w:val="CharSectno"/>
        </w:rPr>
        <w:t>15</w:t>
      </w:r>
      <w:r>
        <w:t>.</w:t>
      </w:r>
      <w:r>
        <w:tab/>
        <w:t>Signs to be obeyed</w:t>
      </w:r>
      <w:bookmarkEnd w:id="29"/>
    </w:p>
    <w:p>
      <w:pPr>
        <w:pStyle w:val="Subsection"/>
      </w:pPr>
      <w:r>
        <w:tab/>
      </w:r>
      <w:r>
        <w:tab/>
      </w:r>
      <w:r>
        <w:rPr>
          <w:snapToGrid w:val="0"/>
        </w:rPr>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30" w:name="_Toc450560693"/>
      <w:r>
        <w:rPr>
          <w:rStyle w:val="CharSectno"/>
        </w:rPr>
        <w:t>16</w:t>
      </w:r>
      <w:r>
        <w:t>.</w:t>
      </w:r>
      <w:r>
        <w:tab/>
        <w:t>Parking in parking spaces</w:t>
      </w:r>
      <w:bookmarkEnd w:id="30"/>
    </w:p>
    <w:p>
      <w:pPr>
        <w:pStyle w:val="Subsection"/>
      </w:pPr>
      <w:r>
        <w:tab/>
        <w:t>(1)</w:t>
      </w:r>
      <w:r>
        <w:tab/>
        <w:t>In this by</w:t>
      </w:r>
      <w:r>
        <w:noBreakHyphen/>
        <w:t>law —</w:t>
      </w:r>
    </w:p>
    <w:p>
      <w:pPr>
        <w:pStyle w:val="Defstart"/>
      </w:pPr>
      <w:r>
        <w:rPr>
          <w:b/>
        </w:rP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31" w:name="_Toc450560694"/>
      <w:r>
        <w:rPr>
          <w:rStyle w:val="CharSectno"/>
        </w:rPr>
        <w:t>17</w:t>
      </w:r>
      <w:r>
        <w:t>.</w:t>
      </w:r>
      <w:r>
        <w:tab/>
        <w:t>Types of parking areas</w:t>
      </w:r>
      <w:bookmarkEnd w:id="31"/>
    </w:p>
    <w:p>
      <w:pPr>
        <w:pStyle w:val="Subsection"/>
      </w:pPr>
      <w:r>
        <w:tab/>
        <w:t>(1)</w:t>
      </w:r>
      <w:r>
        <w:tab/>
        <w:t>The chief executive officer may set aside a parking facility or part of a parking facility as —</w:t>
      </w:r>
    </w:p>
    <w:p>
      <w:pPr>
        <w:pStyle w:val="Indenta"/>
      </w:pPr>
      <w:r>
        <w:tab/>
        <w:t>(a)</w:t>
      </w:r>
      <w:r>
        <w:tab/>
        <w:t>a ticket parking area or a boom gate controlled ticket parking area for the purposes of by</w:t>
      </w:r>
      <w:r>
        <w:noBreakHyphen/>
        <w:t>law 18; or</w:t>
      </w:r>
    </w:p>
    <w:p>
      <w:pPr>
        <w:pStyle w:val="Indenta"/>
      </w:pPr>
      <w:r>
        <w:tab/>
        <w:t>(b)</w:t>
      </w:r>
      <w:r>
        <w:tab/>
        <w:t>a paid staff parking area for the purposes of by</w:t>
      </w:r>
      <w:r>
        <w:noBreakHyphen/>
        <w:t>law 19; or</w:t>
      </w:r>
    </w:p>
    <w:p>
      <w:pPr>
        <w:pStyle w:val="Indenta"/>
      </w:pPr>
      <w:r>
        <w:tab/>
        <w:t>(c)</w:t>
      </w:r>
      <w:r>
        <w:tab/>
        <w:t>a permit parking area for the purposes of by</w:t>
      </w:r>
      <w:r>
        <w:noBreakHyphen/>
        <w:t>law 20.</w:t>
      </w:r>
    </w:p>
    <w:p>
      <w:pPr>
        <w:pStyle w:val="Subsection"/>
      </w:pPr>
      <w:r>
        <w:tab/>
        <w:t>(2)</w:t>
      </w:r>
      <w:r>
        <w:tab/>
        <w:t>An area set aside under sub</w:t>
      </w:r>
      <w:r>
        <w:noBreakHyphen/>
        <w:t>bylaw (1) must be identified as such by a sign or signs.</w:t>
      </w:r>
    </w:p>
    <w:p>
      <w:pPr>
        <w:pStyle w:val="Heading5"/>
      </w:pPr>
      <w:bookmarkStart w:id="32" w:name="_Toc450560695"/>
      <w:r>
        <w:rPr>
          <w:rStyle w:val="CharSectno"/>
        </w:rPr>
        <w:t>18</w:t>
      </w:r>
      <w:r>
        <w:t>.</w:t>
      </w:r>
      <w:r>
        <w:tab/>
        <w:t>Parking in ticket parking area or boom gate controlled ticket parking area</w:t>
      </w:r>
      <w:bookmarkEnd w:id="32"/>
    </w:p>
    <w:p>
      <w:pPr>
        <w:pStyle w:val="Subsection"/>
      </w:pPr>
      <w:r>
        <w:tab/>
        <w:t>(1)</w:t>
      </w:r>
      <w:r>
        <w:tab/>
        <w:t>In this by</w:t>
      </w:r>
      <w:r>
        <w:noBreakHyphen/>
        <w:t>law —</w:t>
      </w:r>
    </w:p>
    <w:p>
      <w:pPr>
        <w:pStyle w:val="Defstart"/>
      </w:pPr>
      <w:r>
        <w:tab/>
      </w:r>
      <w:r>
        <w:rPr>
          <w:rStyle w:val="CharDefText"/>
        </w:rPr>
        <w:t>boom gate controlled ticket parking area</w:t>
      </w:r>
      <w:r>
        <w:t xml:space="preserve"> means a boom gate controlled ticket parking area set aside under by</w:t>
      </w:r>
      <w:r>
        <w:noBreakHyphen/>
        <w:t>law 17(1)(a);</w:t>
      </w:r>
    </w:p>
    <w:p>
      <w:pPr>
        <w:pStyle w:val="Defstart"/>
      </w:pPr>
      <w:r>
        <w:tab/>
      </w:r>
      <w:r>
        <w:rPr>
          <w:rStyle w:val="CharDefText"/>
        </w:rPr>
        <w:t>ticket parking area</w:t>
      </w:r>
      <w:r>
        <w:t xml:space="preserve"> means a ticket parking area set aside under by</w:t>
      </w:r>
      <w:r>
        <w:noBreakHyphen/>
        <w:t>law 17(1)(a).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rPr>
          <w:snapToGrid w:val="0"/>
        </w:rPr>
        <w:tab/>
        <w:t>Penalty: a fine of $50.</w:t>
      </w:r>
    </w:p>
    <w:p>
      <w:pPr>
        <w:pStyle w:val="Subsection"/>
      </w:pPr>
      <w:r>
        <w:tab/>
        <w:t>(3)</w:t>
      </w:r>
      <w:r>
        <w:tab/>
        <w:t>A person does not commit an offence under sub</w:t>
      </w:r>
      <w:r>
        <w:noBreakHyphen/>
        <w:t xml:space="preserve">bylaw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rPr>
          <w:snapToGrid w:val="0"/>
        </w:rPr>
        <w:tab/>
        <w:t>Penalty: a fine of $50.</w:t>
      </w:r>
    </w:p>
    <w:p>
      <w:pPr>
        <w:pStyle w:val="Subsection"/>
      </w:pPr>
      <w:r>
        <w:tab/>
        <w:t>(5)</w:t>
      </w:r>
      <w:r>
        <w:tab/>
        <w:t>A person must not remove a vehicle from a boom gate controlled ticket parking area without paying the prescribed fee for the length of time for which the vehicle has been parked.</w:t>
      </w:r>
    </w:p>
    <w:p>
      <w:pPr>
        <w:pStyle w:val="Penstart"/>
        <w:rPr>
          <w:snapToGrid w:val="0"/>
        </w:rPr>
      </w:pPr>
      <w:r>
        <w:rPr>
          <w:snapToGrid w:val="0"/>
        </w:rPr>
        <w:tab/>
        <w:t>Penalty: a fine of $50.</w:t>
      </w:r>
    </w:p>
    <w:p>
      <w:pPr>
        <w:pStyle w:val="Subsection"/>
      </w:pPr>
      <w:r>
        <w:tab/>
        <w:t>(6)</w:t>
      </w:r>
      <w:r>
        <w:tab/>
        <w:t>A person does not commit an offence under sub</w:t>
      </w:r>
      <w:r>
        <w:noBreakHyphen/>
        <w:t>bylaw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an authorised person.</w:t>
      </w:r>
    </w:p>
    <w:p>
      <w:pPr>
        <w:pStyle w:val="Subsection"/>
      </w:pPr>
      <w:r>
        <w:tab/>
        <w:t>(7)</w:t>
      </w:r>
      <w:r>
        <w:tab/>
        <w:t>A person who has parked a vehicle in a ticket parking area or a boom gate controlled ticket parking area must not leave the site while the vehicle is parked there.</w:t>
      </w:r>
    </w:p>
    <w:p>
      <w:pPr>
        <w:pStyle w:val="Penstart"/>
        <w:rPr>
          <w:snapToGrid w:val="0"/>
        </w:rPr>
      </w:pPr>
      <w:r>
        <w:rPr>
          <w:snapToGrid w:val="0"/>
        </w:rPr>
        <w:tab/>
        <w:t>Penalty: a fine of $50.</w:t>
      </w:r>
    </w:p>
    <w:p>
      <w:pPr>
        <w:pStyle w:val="Heading5"/>
      </w:pPr>
      <w:bookmarkStart w:id="33" w:name="_Toc450560696"/>
      <w:r>
        <w:rPr>
          <w:rStyle w:val="CharSectno"/>
        </w:rPr>
        <w:t>19</w:t>
      </w:r>
      <w:r>
        <w:t>.</w:t>
      </w:r>
      <w:r>
        <w:tab/>
        <w:t>Parking in paid staff parking area</w:t>
      </w:r>
      <w:bookmarkEnd w:id="33"/>
    </w:p>
    <w:p>
      <w:pPr>
        <w:pStyle w:val="Subsection"/>
      </w:pPr>
      <w:r>
        <w:tab/>
        <w:t>(1)</w:t>
      </w:r>
      <w:r>
        <w:tab/>
        <w:t>In this by</w:t>
      </w:r>
      <w:r>
        <w:noBreakHyphen/>
        <w:t>law —</w:t>
      </w:r>
    </w:p>
    <w:p>
      <w:pPr>
        <w:pStyle w:val="Defstart"/>
      </w:pPr>
      <w:r>
        <w:tab/>
      </w:r>
      <w:r>
        <w:rPr>
          <w:rStyle w:val="CharDefText"/>
        </w:rPr>
        <w:t>eligible staff member</w:t>
      </w:r>
      <w:r>
        <w:t xml:space="preserve"> means a person who is in a class of persons determined by the chief executive officer under sub</w:t>
      </w:r>
      <w:r>
        <w:noBreakHyphen/>
        <w:t>bylaw (5);</w:t>
      </w:r>
    </w:p>
    <w:p>
      <w:pPr>
        <w:pStyle w:val="Defstart"/>
      </w:pPr>
      <w:r>
        <w:tab/>
      </w:r>
      <w:r>
        <w:rPr>
          <w:rStyle w:val="CharDefText"/>
        </w:rPr>
        <w:t>paid staff parking area</w:t>
      </w:r>
      <w:r>
        <w:t xml:space="preserve"> means an area set aside under by</w:t>
      </w:r>
      <w:r>
        <w:noBreakHyphen/>
        <w:t>law 17(1)(b).</w:t>
      </w:r>
    </w:p>
    <w:p>
      <w:pPr>
        <w:pStyle w:val="Subsection"/>
      </w:pPr>
      <w:r>
        <w:tab/>
        <w:t>(2)</w:t>
      </w:r>
      <w:r>
        <w:tab/>
        <w:t>A person must not park a vehicle in a paid staff parking area unless the person is an eligible staff member.</w:t>
      </w:r>
    </w:p>
    <w:p>
      <w:pPr>
        <w:pStyle w:val="Penstart"/>
        <w:rPr>
          <w:snapToGrid w:val="0"/>
        </w:rPr>
      </w:pPr>
      <w:r>
        <w:rPr>
          <w:snapToGrid w:val="0"/>
        </w:rPr>
        <w:tab/>
        <w:t>Penalty: a fine of $50.</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rPr>
          <w:snapToGrid w:val="0"/>
        </w:rPr>
        <w:tab/>
        <w:t>Penalty: a fine of $50.</w:t>
      </w:r>
    </w:p>
    <w:p>
      <w:pPr>
        <w:pStyle w:val="Subsection"/>
      </w:pPr>
      <w:r>
        <w:tab/>
        <w:t>(4)</w:t>
      </w:r>
      <w:r>
        <w:tab/>
        <w:t>A fee payable under this by</w:t>
      </w:r>
      <w:r>
        <w:noBreakHyphen/>
        <w:t>law is to be paid in an approved manner.</w:t>
      </w:r>
    </w:p>
    <w:p>
      <w:pPr>
        <w:pStyle w:val="Subsection"/>
      </w:pPr>
      <w:r>
        <w:tab/>
        <w:t>(5)</w:t>
      </w:r>
      <w:r>
        <w:tab/>
        <w:t>The chief executive officer may determine classes of persons who are eligible to park in paid staff parking areas.</w:t>
      </w:r>
    </w:p>
    <w:p>
      <w:pPr>
        <w:pStyle w:val="Heading5"/>
      </w:pPr>
      <w:bookmarkStart w:id="34" w:name="_Toc450560697"/>
      <w:r>
        <w:rPr>
          <w:rStyle w:val="CharSectno"/>
        </w:rPr>
        <w:t>20</w:t>
      </w:r>
      <w:r>
        <w:t>.</w:t>
      </w:r>
      <w:r>
        <w:tab/>
        <w:t>Parking in permit parking area</w:t>
      </w:r>
      <w:bookmarkEnd w:id="34"/>
    </w:p>
    <w:p>
      <w:pPr>
        <w:pStyle w:val="Subsection"/>
      </w:pPr>
      <w:r>
        <w:tab/>
        <w:t>(1)</w:t>
      </w:r>
      <w:r>
        <w:tab/>
        <w:t>In this by</w:t>
      </w:r>
      <w:r>
        <w:noBreakHyphen/>
        <w:t>law —</w:t>
      </w:r>
    </w:p>
    <w:p>
      <w:pPr>
        <w:pStyle w:val="Defstart"/>
      </w:pPr>
      <w:r>
        <w:tab/>
      </w:r>
      <w:r>
        <w:rPr>
          <w:rStyle w:val="CharDefText"/>
        </w:rPr>
        <w:t>permit parking area</w:t>
      </w:r>
      <w:r>
        <w:t xml:space="preserve"> means an area set aside under by</w:t>
      </w:r>
      <w:r>
        <w:noBreakHyphen/>
        <w:t>law 17(1)(c).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rPr>
          <w:snapToGrid w:val="0"/>
        </w:rPr>
        <w:tab/>
        <w:t>Penalty: a fine of $50.</w:t>
      </w:r>
    </w:p>
    <w:p>
      <w:pPr>
        <w:pStyle w:val="Heading5"/>
        <w:spacing w:before="240"/>
      </w:pPr>
      <w:bookmarkStart w:id="35" w:name="_Toc450560698"/>
      <w:r>
        <w:rPr>
          <w:rStyle w:val="CharSectno"/>
        </w:rPr>
        <w:t>21</w:t>
      </w:r>
      <w:r>
        <w:t>.</w:t>
      </w:r>
      <w:r>
        <w:tab/>
        <w:t>Parking permits</w:t>
      </w:r>
      <w:bookmarkEnd w:id="35"/>
    </w:p>
    <w:p>
      <w:pPr>
        <w:pStyle w:val="Subsection"/>
        <w:spacing w:before="180"/>
      </w:pPr>
      <w:r>
        <w:tab/>
        <w:t>(1)</w:t>
      </w:r>
      <w:r>
        <w:tab/>
        <w:t>The chief executive officer may determine classes of parking permits and the eligibility criteria for each class of parking permit.</w:t>
      </w:r>
    </w:p>
    <w:p>
      <w:pPr>
        <w:pStyle w:val="Subsection"/>
        <w:spacing w:before="180"/>
      </w:pPr>
      <w:r>
        <w:tab/>
        <w:t>(2)</w:t>
      </w:r>
      <w:r>
        <w:tab/>
        <w:t>An authorised person may grant parking permits of such classes and subject to any conditions the authorised person thinks fit.</w:t>
      </w:r>
    </w:p>
    <w:p>
      <w:pPr>
        <w:pStyle w:val="Subsection"/>
        <w:spacing w:before="180"/>
      </w:pPr>
      <w:r>
        <w:tab/>
        <w:t>(3)</w:t>
      </w:r>
      <w:r>
        <w:tab/>
        <w:t>Without limiting sub</w:t>
      </w:r>
      <w:r>
        <w:noBreakHyphen/>
        <w:t xml:space="preserve">bylaw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notify an authorised person.</w:t>
      </w:r>
    </w:p>
    <w:p>
      <w:pPr>
        <w:pStyle w:val="Penstart"/>
        <w:rPr>
          <w:snapToGrid w:val="0"/>
        </w:rPr>
      </w:pPr>
      <w:r>
        <w:rPr>
          <w:snapToGrid w:val="0"/>
        </w:rPr>
        <w:tab/>
        <w:t>Penalty: a fine of $50.</w:t>
      </w:r>
    </w:p>
    <w:p>
      <w:pPr>
        <w:pStyle w:val="Heading5"/>
      </w:pPr>
      <w:bookmarkStart w:id="36" w:name="_Toc450560699"/>
      <w:r>
        <w:rPr>
          <w:rStyle w:val="CharSectno"/>
        </w:rPr>
        <w:t>22</w:t>
      </w:r>
      <w:r>
        <w:t>.</w:t>
      </w:r>
      <w:r>
        <w:tab/>
        <w:t>Application for parking permit</w:t>
      </w:r>
      <w:bookmarkEnd w:id="36"/>
    </w:p>
    <w:p>
      <w:pPr>
        <w:pStyle w:val="Subsection"/>
      </w:pPr>
      <w:r>
        <w:tab/>
        <w:t>(1)</w:t>
      </w:r>
      <w:r>
        <w:tab/>
        <w:t>A person may apply to an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(5A)</w:t>
      </w:r>
      <w:r>
        <w:tab/>
        <w:t>Unless sub</w:t>
      </w:r>
      <w:r>
        <w:noBreakHyphen/>
        <w:t xml:space="preserve">bylaw (4) applies, within 14 days of receiving an application for a parking permit, an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(5B)</w:t>
      </w:r>
      <w:r>
        <w:tab/>
        <w:t xml:space="preserve">An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(5C)</w:t>
      </w:r>
      <w:r>
        <w:tab/>
        <w:t>Written notice under sub</w:t>
      </w:r>
      <w:r>
        <w:noBreakHyphen/>
        <w:t>bylaw (5A)(b) or (5B) must state the reasons for the decision and provide information about the right to a review of the decision under by</w:t>
      </w:r>
      <w:r>
        <w:noBreakHyphen/>
        <w:t>law 23A.</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r>
        <w:tab/>
        <w:t>[By-law 22 amended in Gazette 14 Apr 2015 p. 1333; 19 Jun 2015 p. 2109.]</w:t>
      </w:r>
    </w:p>
    <w:p>
      <w:pPr>
        <w:pStyle w:val="Heading5"/>
      </w:pPr>
      <w:bookmarkStart w:id="37" w:name="_Toc450560700"/>
      <w:r>
        <w:rPr>
          <w:rStyle w:val="CharSectno"/>
        </w:rPr>
        <w:t>23A</w:t>
      </w:r>
      <w:r>
        <w:t>.</w:t>
      </w:r>
      <w:r>
        <w:tab/>
        <w:t>Review of decisions about parking permits</w:t>
      </w:r>
      <w:bookmarkEnd w:id="37"/>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22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22(5A)(b) or (5B).</w:t>
      </w:r>
    </w:p>
    <w:p>
      <w:pPr>
        <w:pStyle w:val="Subsection"/>
      </w:pPr>
      <w:r>
        <w:tab/>
        <w:t>(4)</w:t>
      </w:r>
      <w:r>
        <w:tab/>
        <w:t>The committee is to consist of 3 members appointed by the chief executive officer, one of whom is to be a practitioner.</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for an offence under this sub</w:t>
      </w:r>
      <w:r>
        <w:noBreakHyphen/>
        <w:t>bylaw: a fine of $50.</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23A inserted in Gazette 19 Jun 2015 p. 2110.]</w:t>
      </w:r>
    </w:p>
    <w:p>
      <w:pPr>
        <w:pStyle w:val="Heading5"/>
      </w:pPr>
      <w:bookmarkStart w:id="38" w:name="_Toc450560701"/>
      <w:r>
        <w:rPr>
          <w:rStyle w:val="CharSectno"/>
        </w:rPr>
        <w:t>23</w:t>
      </w:r>
      <w:r>
        <w:t>.</w:t>
      </w:r>
      <w:r>
        <w:tab/>
        <w:t>Fees for parking permits</w:t>
      </w:r>
      <w:bookmarkEnd w:id="38"/>
    </w:p>
    <w:p>
      <w:pPr>
        <w:pStyle w:val="Subsection"/>
      </w:pPr>
      <w:r>
        <w:tab/>
        <w:t>(1)</w:t>
      </w:r>
      <w:r>
        <w:tab/>
        <w:t>The prescribed fee is payable for a parking permit.</w:t>
      </w:r>
    </w:p>
    <w:p>
      <w:pPr>
        <w:pStyle w:val="Subsection"/>
        <w:rPr>
          <w:snapToGrid w:val="0"/>
        </w:rPr>
      </w:pPr>
      <w:r>
        <w:tab/>
        <w:t>(2)</w:t>
      </w:r>
      <w:r>
        <w:tab/>
      </w:r>
      <w:r>
        <w:rPr>
          <w:snapToGrid w:val="0"/>
        </w:rPr>
        <w:t xml:space="preserve">The chief executive officer may waive the prescribed fee </w:t>
      </w:r>
      <w:r>
        <w:t>for a parking permit</w:t>
      </w:r>
      <w:r>
        <w:rPr>
          <w:snapToGrid w:val="0"/>
        </w:rPr>
        <w:t xml:space="preserve"> in a case where the chief executive officer, or an authorised person, believes that there are proper grounds for doing so.</w:t>
      </w:r>
    </w:p>
    <w:p>
      <w:pPr>
        <w:pStyle w:val="Subsection"/>
      </w:pPr>
      <w:r>
        <w:tab/>
        <w:t>(3)</w:t>
      </w:r>
      <w:r>
        <w:tab/>
        <w:t xml:space="preserve">An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39" w:name="_Toc450560702"/>
      <w:r>
        <w:rPr>
          <w:rStyle w:val="CharSectno"/>
        </w:rPr>
        <w:t>24</w:t>
      </w:r>
      <w:r>
        <w:t>.</w:t>
      </w:r>
      <w:r>
        <w:tab/>
        <w:t>Cancellation of parking permit</w:t>
      </w:r>
      <w:bookmarkEnd w:id="39"/>
    </w:p>
    <w:p>
      <w:pPr>
        <w:pStyle w:val="Subsection"/>
      </w:pPr>
      <w:r>
        <w:tab/>
        <w:t>(1)</w:t>
      </w:r>
      <w:r>
        <w:tab/>
        <w:t>There are grounds for cancelling a parking permit if —</w:t>
      </w:r>
    </w:p>
    <w:p>
      <w:pPr>
        <w:pStyle w:val="Indenta"/>
      </w:pPr>
      <w:r>
        <w:tab/>
        <w:t>(a)</w:t>
      </w:r>
      <w:r>
        <w:tab/>
        <w:t>in the case of a permit holder who pays the fee for the permit as described in by</w:t>
      </w:r>
      <w:r>
        <w:noBreakHyphen/>
        <w:t>law 23(3)(b)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22(5); or</w:t>
      </w:r>
    </w:p>
    <w:p>
      <w:pPr>
        <w:pStyle w:val="Indenta"/>
      </w:pPr>
      <w:r>
        <w:tab/>
        <w:t>(e)</w:t>
      </w:r>
      <w:r>
        <w:tab/>
        <w:t>the permit holder ceases to satisfy any of the eligibility criteria for the relevant class of permit; or</w:t>
      </w:r>
    </w:p>
    <w:p>
      <w:pPr>
        <w:pStyle w:val="Indenta"/>
      </w:pPr>
      <w:r>
        <w:tab/>
        <w:t>(f)</w:t>
      </w:r>
      <w:r>
        <w:tab/>
        <w:t>the chief executive officer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chief executive officer has made a determination under sub</w:t>
      </w:r>
      <w:r>
        <w:noBreakHyphen/>
        <w:t>bylaw (1)(f) in relation to a class of parking permit,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Heading5"/>
      </w:pPr>
      <w:bookmarkStart w:id="40" w:name="_Toc450560703"/>
      <w:r>
        <w:rPr>
          <w:rStyle w:val="CharSectno"/>
        </w:rPr>
        <w:t>25</w:t>
      </w:r>
      <w:r>
        <w:t>.</w:t>
      </w:r>
      <w:r>
        <w:tab/>
        <w:t>Refund of parking permit fees</w:t>
      </w:r>
      <w:bookmarkEnd w:id="40"/>
    </w:p>
    <w:p>
      <w:pPr>
        <w:pStyle w:val="Subsection"/>
      </w:pPr>
      <w:r>
        <w:tab/>
        <w:t>(1)</w:t>
      </w:r>
      <w:r>
        <w:tab/>
        <w:t>If a parking permit is cancelled on a ground referred to in by</w:t>
      </w:r>
      <w:r>
        <w:noBreakHyphen/>
        <w:t>law 24(1)(f) or (g), the chief executive officer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24(1)(e) the chief executive officer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Heading2"/>
      </w:pPr>
      <w:bookmarkStart w:id="41" w:name="_Toc449705160"/>
      <w:bookmarkStart w:id="42" w:name="_Toc450560704"/>
      <w:r>
        <w:rPr>
          <w:rStyle w:val="CharPartNo"/>
        </w:rPr>
        <w:t>Part 4</w:t>
      </w:r>
      <w:r>
        <w:rPr>
          <w:rStyle w:val="CharDivNo"/>
        </w:rPr>
        <w:t> </w:t>
      </w:r>
      <w:r>
        <w:t>—</w:t>
      </w:r>
      <w:r>
        <w:rPr>
          <w:rStyle w:val="CharDivText"/>
        </w:rPr>
        <w:t> </w:t>
      </w:r>
      <w:r>
        <w:rPr>
          <w:rStyle w:val="CharPartText"/>
        </w:rPr>
        <w:t>Infringement notices</w:t>
      </w:r>
      <w:bookmarkEnd w:id="41"/>
      <w:bookmarkEnd w:id="42"/>
    </w:p>
    <w:p>
      <w:pPr>
        <w:pStyle w:val="Heading5"/>
      </w:pPr>
      <w:bookmarkStart w:id="43" w:name="_Toc450560705"/>
      <w:r>
        <w:rPr>
          <w:rStyle w:val="CharSectno"/>
        </w:rPr>
        <w:t>26</w:t>
      </w:r>
      <w:r>
        <w:t>.</w:t>
      </w:r>
      <w:r>
        <w:tab/>
        <w:t>Terms used</w:t>
      </w:r>
      <w:bookmarkEnd w:id="43"/>
    </w:p>
    <w:p>
      <w:pPr>
        <w:pStyle w:val="Subsection"/>
        <w:rPr>
          <w:snapToGrid w:val="0"/>
        </w:rPr>
      </w:pPr>
      <w:r>
        <w:tab/>
      </w:r>
      <w:r>
        <w:tab/>
      </w:r>
      <w:r>
        <w:rPr>
          <w:snapToGrid w:val="0"/>
        </w:rPr>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27;</w:t>
      </w:r>
    </w:p>
    <w:p>
      <w:pPr>
        <w:pStyle w:val="Defstart"/>
      </w:pPr>
      <w:r>
        <w:rPr>
          <w:b/>
        </w:rPr>
        <w:tab/>
      </w:r>
      <w:r>
        <w:rPr>
          <w:rStyle w:val="CharDefText"/>
        </w:rPr>
        <w:t>modified penalty</w:t>
      </w:r>
      <w:r>
        <w:t xml:space="preserve"> means a penalty prescribed in Schedule 2 for an offence under Part 3 or 4.</w:t>
      </w:r>
    </w:p>
    <w:p>
      <w:pPr>
        <w:pStyle w:val="Footnotesection"/>
      </w:pPr>
      <w:r>
        <w:tab/>
        <w:t>[By-law 26 amended in Gazette 8 Jan 2015 p. 178.]</w:t>
      </w:r>
    </w:p>
    <w:p>
      <w:pPr>
        <w:pStyle w:val="Heading5"/>
      </w:pPr>
      <w:bookmarkStart w:id="44" w:name="_Toc450560706"/>
      <w:r>
        <w:rPr>
          <w:rStyle w:val="CharSectno"/>
        </w:rPr>
        <w:t>27</w:t>
      </w:r>
      <w:r>
        <w:t>.</w:t>
      </w:r>
      <w:r>
        <w:tab/>
        <w:t>Infringement notices</w:t>
      </w:r>
      <w:bookmarkEnd w:id="44"/>
    </w:p>
    <w:p>
      <w:pPr>
        <w:pStyle w:val="Subsection"/>
        <w:rPr>
          <w:snapToGrid w:val="0"/>
        </w:rPr>
      </w:pPr>
      <w:r>
        <w:tab/>
        <w:t>(1)</w:t>
      </w:r>
      <w:r>
        <w:tab/>
      </w:r>
      <w:r>
        <w:rPr>
          <w:snapToGrid w:val="0"/>
        </w:rPr>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3 and in every case, is to — </w:t>
      </w:r>
    </w:p>
    <w:p>
      <w:pPr>
        <w:pStyle w:val="Indenta"/>
        <w:rPr>
          <w:snapToGrid w:val="0"/>
        </w:rPr>
      </w:pPr>
      <w:r>
        <w:tab/>
        <w:t>(a)</w:t>
      </w:r>
      <w:r>
        <w:tab/>
      </w:r>
      <w:r>
        <w:rPr>
          <w:snapToGrid w:val="0"/>
        </w:rPr>
        <w:t>contain a description of the alleged offence; and</w:t>
      </w:r>
    </w:p>
    <w:p>
      <w:pPr>
        <w:pStyle w:val="Indenta"/>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r>
      <w:r>
        <w:rPr>
          <w:snapToGrid w:val="0"/>
        </w:rPr>
        <w:t>Payment of a modified penalty is not to be regarded as an admission for the purposes of any proceedings, whether civil or criminal.</w:t>
      </w:r>
    </w:p>
    <w:p>
      <w:pPr>
        <w:pStyle w:val="Heading5"/>
      </w:pPr>
      <w:bookmarkStart w:id="45" w:name="_Toc450560707"/>
      <w:r>
        <w:rPr>
          <w:rStyle w:val="CharSectno"/>
        </w:rPr>
        <w:t>28</w:t>
      </w:r>
      <w:r>
        <w:t>.</w:t>
      </w:r>
      <w:r>
        <w:tab/>
        <w:t>Withdrawal of infringement notice</w:t>
      </w:r>
      <w:bookmarkEnd w:id="45"/>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46" w:name="_Toc450560708"/>
      <w:r>
        <w:rPr>
          <w:rStyle w:val="CharSectno"/>
        </w:rPr>
        <w:t>29</w:t>
      </w:r>
      <w:r>
        <w:t>.</w:t>
      </w:r>
      <w:r>
        <w:tab/>
        <w:t>Authorised persons to produce certificate</w:t>
      </w:r>
      <w:bookmarkEnd w:id="46"/>
    </w:p>
    <w:p>
      <w:pPr>
        <w:pStyle w:val="Ednotesubsection"/>
      </w:pPr>
      <w:r>
        <w:tab/>
        <w:t>[(1)</w:t>
      </w:r>
      <w:r>
        <w:tab/>
        <w:t>Deleted]</w:t>
      </w:r>
    </w:p>
    <w:p>
      <w:pPr>
        <w:pStyle w:val="Subsection"/>
      </w:pPr>
      <w:r>
        <w:tab/>
        <w:t>(2)</w:t>
      </w:r>
      <w:r>
        <w:tab/>
      </w:r>
      <w:r>
        <w:rPr>
          <w:snapToGrid w:val="0"/>
        </w:rPr>
        <w:t>The person to whom an authorised person has given, or is about to give, an infringement notice may require the authorised person to produce the certificate referred to in</w:t>
      </w:r>
      <w:r>
        <w:t xml:space="preserve"> by</w:t>
      </w:r>
      <w:r>
        <w:noBreakHyphen/>
        <w:t>law 4A(3).</w:t>
      </w:r>
    </w:p>
    <w:p>
      <w:pPr>
        <w:pStyle w:val="Subsection"/>
        <w:rPr>
          <w:snapToGrid w:val="0"/>
        </w:rPr>
      </w:pPr>
      <w:r>
        <w:tab/>
        <w:t>(3)</w:t>
      </w:r>
      <w:r>
        <w:tab/>
      </w:r>
      <w:r>
        <w:rPr>
          <w:snapToGrid w:val="0"/>
        </w:rPr>
        <w:t>The authorised person must comply with a request under sub</w:t>
      </w:r>
      <w:r>
        <w:rPr>
          <w:snapToGrid w:val="0"/>
        </w:rPr>
        <w:noBreakHyphen/>
        <w:t>bylaw(2).</w:t>
      </w:r>
    </w:p>
    <w:p>
      <w:pPr>
        <w:pStyle w:val="Footnotesection"/>
      </w:pPr>
      <w:r>
        <w:tab/>
        <w:t>[By-law 29 amended in Gazette 14 Apr 2015 p. 1333.]</w:t>
      </w:r>
    </w:p>
    <w:p>
      <w:pPr>
        <w:pStyle w:val="Heading5"/>
      </w:pPr>
      <w:bookmarkStart w:id="47" w:name="_Toc450560709"/>
      <w:r>
        <w:rPr>
          <w:rStyle w:val="CharSectno"/>
        </w:rPr>
        <w:t>30</w:t>
      </w:r>
      <w:r>
        <w:t>.</w:t>
      </w:r>
      <w:r>
        <w:tab/>
        <w:t>Authorised persons only to endorse or alter infringement notices</w:t>
      </w:r>
      <w:bookmarkEnd w:id="47"/>
    </w:p>
    <w:p>
      <w:pPr>
        <w:pStyle w:val="Subsection"/>
        <w:rPr>
          <w:snapToGrid w:val="0"/>
        </w:rPr>
      </w:pPr>
      <w:r>
        <w:tab/>
      </w:r>
      <w:r>
        <w:tab/>
      </w:r>
      <w:r>
        <w:rPr>
          <w:snapToGrid w:val="0"/>
        </w:rPr>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48" w:name="_Toc450560710"/>
      <w:r>
        <w:rPr>
          <w:rStyle w:val="CharSectno"/>
        </w:rPr>
        <w:t>31</w:t>
      </w:r>
      <w:r>
        <w:t>.</w:t>
      </w:r>
      <w:r>
        <w:tab/>
        <w:t>Restriction on removal of infringement notices</w:t>
      </w:r>
      <w:bookmarkEnd w:id="48"/>
    </w:p>
    <w:p>
      <w:pPr>
        <w:pStyle w:val="Subsection"/>
        <w:rPr>
          <w:snapToGrid w:val="0"/>
        </w:rPr>
      </w:pPr>
      <w:r>
        <w:tab/>
      </w:r>
      <w:r>
        <w:tab/>
      </w:r>
      <w:r>
        <w:rPr>
          <w:snapToGrid w:val="0"/>
        </w:rPr>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pPr>
      <w:r>
        <w:tab/>
        <w:t>(b)</w:t>
      </w:r>
      <w:r>
        <w:tab/>
      </w:r>
      <w:r>
        <w:rPr>
          <w:snapToGrid w:val="0"/>
        </w:rPr>
        <w:t>an authorised person.</w:t>
      </w:r>
    </w:p>
    <w:p>
      <w:pPr>
        <w:pStyle w:val="Penstart"/>
        <w:rPr>
          <w:snapToGrid w:val="0"/>
        </w:rPr>
      </w:pPr>
      <w:r>
        <w:rPr>
          <w:snapToGrid w:val="0"/>
        </w:rPr>
        <w:tab/>
        <w:t>Penalty: a fine of $50.</w:t>
      </w:r>
    </w:p>
    <w:p>
      <w:pPr>
        <w:pStyle w:val="Footnotesection"/>
      </w:pPr>
      <w:r>
        <w:tab/>
        <w:t>[By-law 31 amended in Gazette 8 Jan 2015 p. 178.]</w:t>
      </w:r>
    </w:p>
    <w:p>
      <w:pPr>
        <w:pStyle w:val="Heading2"/>
      </w:pPr>
      <w:bookmarkStart w:id="49" w:name="_Toc449705167"/>
      <w:bookmarkStart w:id="50" w:name="_Toc450560711"/>
      <w:r>
        <w:rPr>
          <w:rStyle w:val="CharPartNo"/>
        </w:rPr>
        <w:t>Part 5</w:t>
      </w:r>
      <w:r>
        <w:rPr>
          <w:rStyle w:val="CharDivNo"/>
        </w:rPr>
        <w:t> </w:t>
      </w:r>
      <w:r>
        <w:t>—</w:t>
      </w:r>
      <w:r>
        <w:rPr>
          <w:rStyle w:val="CharDivText"/>
        </w:rPr>
        <w:t> </w:t>
      </w:r>
      <w:r>
        <w:rPr>
          <w:rStyle w:val="CharPartText"/>
        </w:rPr>
        <w:t>General</w:t>
      </w:r>
      <w:bookmarkEnd w:id="49"/>
      <w:bookmarkEnd w:id="50"/>
    </w:p>
    <w:p>
      <w:pPr>
        <w:pStyle w:val="Heading5"/>
      </w:pPr>
      <w:bookmarkStart w:id="51" w:name="_Toc450560712"/>
      <w:r>
        <w:rPr>
          <w:rStyle w:val="CharSectno"/>
        </w:rPr>
        <w:t>32</w:t>
      </w:r>
      <w:r>
        <w:t>.</w:t>
      </w:r>
      <w:r>
        <w:tab/>
        <w:t>Removal of vehicles</w:t>
      </w:r>
      <w:bookmarkEnd w:id="51"/>
    </w:p>
    <w:p>
      <w:pPr>
        <w:pStyle w:val="Subsection"/>
      </w:pPr>
      <w:r>
        <w:tab/>
        <w:t>(1)</w:t>
      </w:r>
      <w:r>
        <w:tab/>
      </w:r>
      <w:r>
        <w:rPr>
          <w:snapToGrid w:val="0"/>
        </w:rPr>
        <w:t>The chief executive officer or an authorised person may order that a vehicle be removed to a storage place on or off the site if it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tab/>
        <w:t>(2)</w:t>
      </w:r>
      <w:r>
        <w:tab/>
      </w:r>
      <w:r>
        <w:rPr>
          <w:snapToGrid w:val="0"/>
        </w:rPr>
        <w:t>The chief executive officer or an authorised person may order that a vehicle be removed immediately to a storage place on or off the site if it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is obstructing other vehicles or activities of the Hospital.</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law until the responsible person for the vehicle has paid the prescribed fee.</w:t>
      </w:r>
    </w:p>
    <w:p>
      <w:pPr>
        <w:pStyle w:val="Footnotesection"/>
      </w:pPr>
      <w:r>
        <w:tab/>
        <w:t>[By-law 32 amended in Gazette 8 Jan 2015 p. 178.]</w:t>
      </w:r>
    </w:p>
    <w:p>
      <w:pPr>
        <w:pStyle w:val="Heading5"/>
      </w:pPr>
      <w:bookmarkStart w:id="52" w:name="_Toc450560713"/>
      <w:r>
        <w:rPr>
          <w:rStyle w:val="CharSectno"/>
        </w:rPr>
        <w:t>33</w:t>
      </w:r>
      <w:r>
        <w:t>.</w:t>
      </w:r>
      <w:r>
        <w:tab/>
        <w:t>Responsible person may be treated as driver or person in charge of vehicle</w:t>
      </w:r>
      <w:bookmarkEnd w:id="52"/>
    </w:p>
    <w:p>
      <w:pPr>
        <w:pStyle w:val="Subsection"/>
        <w:rPr>
          <w:snapToGrid w:val="0"/>
        </w:rPr>
      </w:pPr>
      <w:r>
        <w:tab/>
        <w:t>(1)</w:t>
      </w:r>
      <w:r>
        <w:tab/>
      </w:r>
      <w:r>
        <w:rPr>
          <w:snapToGrid w:val="0"/>
        </w:rPr>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r>
        <w:tab/>
        <w:t>[By-law 33 amended in Gazette 8 Jan 2015 p. 179.]</w:t>
      </w:r>
    </w:p>
    <w:p>
      <w:pPr>
        <w:pStyle w:val="Heading5"/>
      </w:pPr>
      <w:bookmarkStart w:id="53" w:name="_Toc450560714"/>
      <w:r>
        <w:rPr>
          <w:rStyle w:val="CharSectno"/>
        </w:rPr>
        <w:t>34</w:t>
      </w:r>
      <w:r>
        <w:t>.</w:t>
      </w:r>
      <w:r>
        <w:tab/>
        <w:t>Other offences</w:t>
      </w:r>
      <w:bookmarkEnd w:id="53"/>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pPr>
      <w:r>
        <w:tab/>
        <w:t>(b)</w:t>
      </w:r>
      <w:r>
        <w:tab/>
      </w:r>
      <w:r>
        <w:rPr>
          <w:snapToGrid w:val="0"/>
        </w:rPr>
        <w:t>remove, damage, deface or misuse a sign.</w:t>
      </w:r>
    </w:p>
    <w:p>
      <w:pPr>
        <w:pStyle w:val="Penstart"/>
        <w:rPr>
          <w:snapToGrid w:val="0"/>
        </w:rPr>
      </w:pPr>
      <w:r>
        <w:rPr>
          <w:snapToGrid w:val="0"/>
        </w:rPr>
        <w:tab/>
        <w:t>Penalty: a fine of $50.</w:t>
      </w:r>
    </w:p>
    <w:p>
      <w:pPr>
        <w:pStyle w:val="Penstart"/>
        <w:ind w:left="851" w:hanging="851"/>
        <w:rPr>
          <w:b/>
          <w:i/>
          <w:color w:val="FF0000"/>
          <w:sz w:val="20"/>
        </w:r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54" w:name="_Toc449705171"/>
      <w:bookmarkStart w:id="55" w:name="_Toc450560715"/>
      <w:r>
        <w:rPr>
          <w:rStyle w:val="CharSchNo"/>
        </w:rPr>
        <w:t>Schedule 1</w:t>
      </w:r>
      <w:r>
        <w:rPr>
          <w:rStyle w:val="CharSDivNo"/>
          <w:sz w:val="28"/>
          <w:szCs w:val="28"/>
        </w:rPr>
        <w:t> </w:t>
      </w:r>
      <w:r>
        <w:rPr>
          <w:szCs w:val="28"/>
        </w:rPr>
        <w:t>—</w:t>
      </w:r>
      <w:r>
        <w:rPr>
          <w:rStyle w:val="CharSDivText"/>
          <w:sz w:val="28"/>
          <w:szCs w:val="28"/>
        </w:rPr>
        <w:t> </w:t>
      </w:r>
      <w:r>
        <w:rPr>
          <w:rStyle w:val="CharSchText"/>
        </w:rPr>
        <w:t>Fees</w:t>
      </w:r>
      <w:bookmarkEnd w:id="54"/>
      <w:bookmarkEnd w:id="55"/>
    </w:p>
    <w:p>
      <w:pPr>
        <w:pStyle w:val="yShoulderClause"/>
      </w:pPr>
      <w:r>
        <w:t>[bl. 18, 19, 23 and 32]</w:t>
      </w:r>
    </w:p>
    <w:p>
      <w:pPr>
        <w:pStyle w:val="yFootnoteheading"/>
        <w:spacing w:after="120"/>
      </w:pPr>
      <w:r>
        <w:tab/>
        <w:t>[Heading inserted in Gazette 19 Jun 2015 p. 2111.]</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260"/>
        <w:gridCol w:w="1701"/>
      </w:tblGrid>
      <w:tr>
        <w:trPr>
          <w:tblHeader/>
        </w:trPr>
        <w:tc>
          <w:tcPr>
            <w:tcW w:w="1276" w:type="dxa"/>
            <w:tcMar>
              <w:left w:w="57" w:type="dxa"/>
              <w:right w:w="57" w:type="dxa"/>
            </w:tcMar>
          </w:tcPr>
          <w:p>
            <w:pPr>
              <w:pStyle w:val="yTableNAm"/>
            </w:pPr>
            <w:r>
              <w:rPr>
                <w:b/>
              </w:rPr>
              <w:t>By</w:t>
            </w:r>
            <w:r>
              <w:rPr>
                <w:b/>
              </w:rPr>
              <w:noBreakHyphen/>
              <w:t>law</w:t>
            </w:r>
          </w:p>
        </w:tc>
        <w:tc>
          <w:tcPr>
            <w:tcW w:w="3260" w:type="dxa"/>
            <w:tcMar>
              <w:left w:w="57" w:type="dxa"/>
              <w:right w:w="57" w:type="dxa"/>
            </w:tcMar>
          </w:tcPr>
          <w:p>
            <w:pPr>
              <w:pStyle w:val="zyTableNAm"/>
              <w:keepNext/>
              <w:keepLines/>
              <w:rPr>
                <w:b/>
              </w:rPr>
            </w:pPr>
          </w:p>
        </w:tc>
        <w:tc>
          <w:tcPr>
            <w:tcW w:w="1701" w:type="dxa"/>
            <w:tcMar>
              <w:left w:w="57" w:type="dxa"/>
              <w:right w:w="57" w:type="dxa"/>
            </w:tcMar>
          </w:tcPr>
          <w:p>
            <w:pPr>
              <w:pStyle w:val="yTableNAm"/>
            </w:pPr>
            <w:r>
              <w:rPr>
                <w:b/>
              </w:rPr>
              <w:t>Fee</w:t>
            </w:r>
          </w:p>
        </w:tc>
      </w:tr>
      <w:tr>
        <w:trPr>
          <w:cantSplit/>
        </w:trPr>
        <w:tc>
          <w:tcPr>
            <w:tcW w:w="1276" w:type="dxa"/>
            <w:tcMar>
              <w:left w:w="57" w:type="dxa"/>
              <w:right w:w="57" w:type="dxa"/>
            </w:tcMar>
          </w:tcPr>
          <w:p>
            <w:pPr>
              <w:pStyle w:val="yTableNAm"/>
            </w:pPr>
            <w:r>
              <w:t>18(2) or (5)</w:t>
            </w:r>
          </w:p>
        </w:tc>
        <w:tc>
          <w:tcPr>
            <w:tcW w:w="3260" w:type="dxa"/>
          </w:tcPr>
          <w:p>
            <w:pPr>
              <w:pStyle w:val="yTableNAm"/>
            </w:pPr>
            <w:r>
              <w:t xml:space="preserve">Ticket parking </w:t>
            </w:r>
          </w:p>
        </w:tc>
        <w:tc>
          <w:tcPr>
            <w:tcW w:w="1701" w:type="dxa"/>
          </w:tcPr>
          <w:p>
            <w:pPr>
              <w:pStyle w:val="yTableNAm"/>
            </w:pPr>
            <w:r>
              <w:t>$3.00 per hour up to a maximum of $21.00 per day</w:t>
            </w:r>
          </w:p>
        </w:tc>
      </w:tr>
      <w:tr>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pPr>
              <w:pStyle w:val="yTableNAm"/>
            </w:pPr>
            <w:r>
              <w:t>19(3)</w:t>
            </w:r>
          </w:p>
        </w:tc>
        <w:tc>
          <w:tcPr>
            <w:tcW w:w="3260" w:type="dxa"/>
            <w:tcBorders>
              <w:top w:val="single" w:sz="4" w:space="0" w:color="auto"/>
              <w:left w:val="single" w:sz="4" w:space="0" w:color="auto"/>
              <w:bottom w:val="single" w:sz="4" w:space="0" w:color="auto"/>
              <w:right w:val="single" w:sz="4" w:space="0" w:color="auto"/>
            </w:tcBorders>
          </w:tcPr>
          <w:p>
            <w:pPr>
              <w:pStyle w:val="yTableNAm"/>
            </w:pPr>
            <w:r>
              <w:t xml:space="preserve">Paid staff parking </w:t>
            </w:r>
          </w:p>
        </w:tc>
        <w:tc>
          <w:tcPr>
            <w:tcW w:w="1701" w:type="dxa"/>
            <w:tcBorders>
              <w:top w:val="single" w:sz="4" w:space="0" w:color="auto"/>
              <w:left w:val="single" w:sz="4" w:space="0" w:color="auto"/>
              <w:bottom w:val="single" w:sz="4" w:space="0" w:color="auto"/>
              <w:right w:val="single" w:sz="4" w:space="0" w:color="auto"/>
            </w:tcBorders>
          </w:tcPr>
          <w:p>
            <w:pPr>
              <w:pStyle w:val="yTableNAm"/>
            </w:pPr>
            <w:r>
              <w:t>$3.70 per day, up to a maximum of $18.50 per week</w:t>
            </w:r>
          </w:p>
        </w:tc>
      </w:tr>
      <w:tr>
        <w:tc>
          <w:tcPr>
            <w:tcW w:w="1276" w:type="dxa"/>
            <w:tcMar>
              <w:left w:w="57" w:type="dxa"/>
              <w:right w:w="57" w:type="dxa"/>
            </w:tcMar>
          </w:tcPr>
          <w:p>
            <w:pPr>
              <w:pStyle w:val="yTableNAm"/>
            </w:pPr>
            <w:r>
              <w:t>23(1)</w:t>
            </w:r>
          </w:p>
        </w:tc>
        <w:tc>
          <w:tcPr>
            <w:tcW w:w="3260" w:type="dxa"/>
          </w:tcPr>
          <w:p>
            <w:pPr>
              <w:pStyle w:val="yTableNAm"/>
            </w:pPr>
            <w:r>
              <w:t xml:space="preserve">Parking permit </w:t>
            </w:r>
          </w:p>
        </w:tc>
        <w:tc>
          <w:tcPr>
            <w:tcW w:w="1701" w:type="dxa"/>
          </w:tcPr>
          <w:p>
            <w:pPr>
              <w:pStyle w:val="yTableNAm"/>
            </w:pPr>
            <w:r>
              <w:t>No fee</w:t>
            </w:r>
          </w:p>
        </w:tc>
      </w:tr>
      <w:tr>
        <w:tc>
          <w:tcPr>
            <w:tcW w:w="1276" w:type="dxa"/>
            <w:tcMar>
              <w:left w:w="57" w:type="dxa"/>
              <w:right w:w="57" w:type="dxa"/>
            </w:tcMar>
          </w:tcPr>
          <w:p>
            <w:pPr>
              <w:pStyle w:val="yTableNAm"/>
            </w:pPr>
            <w:r>
              <w:t>32(4)</w:t>
            </w:r>
          </w:p>
        </w:tc>
        <w:tc>
          <w:tcPr>
            <w:tcW w:w="3260" w:type="dxa"/>
          </w:tcPr>
          <w:p>
            <w:pPr>
              <w:pStyle w:val="yTableNAm"/>
            </w:pPr>
            <w:r>
              <w:t xml:space="preserve">Removal and storage of vehicle — </w:t>
            </w:r>
          </w:p>
          <w:p>
            <w:pPr>
              <w:pStyle w:val="yTableNAm"/>
              <w:ind w:left="601" w:hanging="601"/>
            </w:pPr>
            <w:r>
              <w:t>(a)</w:t>
            </w:r>
            <w:r>
              <w:tab/>
              <w:t xml:space="preserve">basic fee </w:t>
            </w:r>
          </w:p>
          <w:p>
            <w:pPr>
              <w:pStyle w:val="yTableNAm"/>
              <w:ind w:left="601" w:hanging="601"/>
            </w:pPr>
            <w:r>
              <w:tab/>
              <w:t>plus</w:t>
            </w:r>
          </w:p>
          <w:p>
            <w:pPr>
              <w:pStyle w:val="yTableNAm"/>
              <w:ind w:left="601" w:hanging="601"/>
            </w:pPr>
            <w:r>
              <w:t>(b)</w:t>
            </w:r>
            <w:r>
              <w:tab/>
              <w:t>if vehicle is stored for more than 24 hours — for each 7 days or part of 7 days for which vehicle is stored after first 24 hours</w:t>
            </w:r>
          </w:p>
        </w:tc>
        <w:tc>
          <w:tcPr>
            <w:tcW w:w="1701" w:type="dxa"/>
          </w:tcPr>
          <w:p>
            <w:pPr>
              <w:pStyle w:val="yTableNAm"/>
            </w:pPr>
          </w:p>
          <w:p>
            <w:pPr>
              <w:pStyle w:val="yTableNAm"/>
            </w:pPr>
            <w:r>
              <w:t>$140.00</w:t>
            </w:r>
          </w:p>
          <w:p>
            <w:pPr>
              <w:pStyle w:val="yTableNAm"/>
            </w:pPr>
          </w:p>
          <w:p>
            <w:pPr>
              <w:pStyle w:val="yTableNAm"/>
            </w:pPr>
            <w:r>
              <w:br/>
            </w:r>
            <w:r>
              <w:br/>
            </w:r>
            <w:r>
              <w:br/>
            </w:r>
            <w:r>
              <w:br/>
              <w:t>$10.00</w:t>
            </w:r>
          </w:p>
        </w:tc>
      </w:tr>
    </w:tbl>
    <w:p>
      <w:pPr>
        <w:pStyle w:val="yFootnotesection"/>
      </w:pPr>
      <w:r>
        <w:tab/>
        <w:t>[Schedule 1 inserted in Gazette 19 Jun 2015 p. 2111.]</w:t>
      </w:r>
    </w:p>
    <w:p>
      <w:pPr>
        <w:pStyle w:val="yScheduleHeading"/>
        <w:outlineLvl w:val="0"/>
      </w:pPr>
      <w:bookmarkStart w:id="56" w:name="_Toc449705172"/>
      <w:bookmarkStart w:id="57" w:name="_Toc450560716"/>
      <w:r>
        <w:rPr>
          <w:rStyle w:val="CharSchNo"/>
        </w:rPr>
        <w:t>Schedule 2</w:t>
      </w:r>
      <w:r>
        <w:rPr>
          <w:rStyle w:val="CharSDivNo"/>
        </w:rPr>
        <w:t> </w:t>
      </w:r>
      <w:r>
        <w:t>—</w:t>
      </w:r>
      <w:r>
        <w:rPr>
          <w:rStyle w:val="CharSDivText"/>
        </w:rPr>
        <w:t> </w:t>
      </w:r>
      <w:r>
        <w:rPr>
          <w:rStyle w:val="CharSchText"/>
        </w:rPr>
        <w:t>Infringement notices and modified penalties</w:t>
      </w:r>
      <w:bookmarkEnd w:id="56"/>
      <w:bookmarkEnd w:id="57"/>
    </w:p>
    <w:p>
      <w:pPr>
        <w:pStyle w:val="yShoulderClause"/>
      </w:pPr>
      <w:r>
        <w:t>[bl. 27]</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tabs>
                <w:tab w:val="right" w:leader="dot" w:pos="4732"/>
              </w:tabs>
            </w:pPr>
            <w:r>
              <w:t xml:space="preserve">Driving or bringing vehicle on part of site other than on roadway or parking facility, without permission </w:t>
            </w:r>
            <w:r>
              <w:tab/>
            </w:r>
          </w:p>
        </w:tc>
        <w:tc>
          <w:tcPr>
            <w:tcW w:w="1208" w:type="dxa"/>
          </w:tcPr>
          <w:p>
            <w:pPr>
              <w:pStyle w:val="yTableNAm"/>
              <w:jc w:val="center"/>
            </w:pPr>
            <w:r>
              <w:br/>
            </w:r>
            <w:r>
              <w:br/>
              <w:t>40</w:t>
            </w:r>
          </w:p>
        </w:tc>
      </w:tr>
      <w:tr>
        <w:trPr>
          <w:cantSplit/>
        </w:trPr>
        <w:tc>
          <w:tcPr>
            <w:tcW w:w="1080" w:type="dxa"/>
          </w:tcPr>
          <w:p>
            <w:pPr>
              <w:pStyle w:val="yTableNAm"/>
            </w:pPr>
            <w:r>
              <w:t>9(2)</w:t>
            </w:r>
          </w:p>
        </w:tc>
        <w:tc>
          <w:tcPr>
            <w:tcW w:w="4800" w:type="dxa"/>
          </w:tcPr>
          <w:p>
            <w:pPr>
              <w:pStyle w:val="yTableNAm"/>
              <w:tabs>
                <w:tab w:val="right" w:leader="dot" w:pos="4732"/>
              </w:tabs>
            </w:pPr>
            <w:r>
              <w:t xml:space="preserve">Driving or bringing onto the site, a vehicle with an unladen weight of more than 4 tonnes, without permission </w:t>
            </w:r>
            <w:r>
              <w:tab/>
            </w:r>
          </w:p>
        </w:tc>
        <w:tc>
          <w:tcPr>
            <w:tcW w:w="1208" w:type="dxa"/>
          </w:tcPr>
          <w:p>
            <w:pPr>
              <w:pStyle w:val="yTableNAm"/>
              <w:jc w:val="center"/>
            </w:pPr>
            <w:r>
              <w:br/>
            </w:r>
            <w:r>
              <w:br/>
              <w:t>20</w:t>
            </w:r>
          </w:p>
        </w:tc>
      </w:tr>
      <w:tr>
        <w:trPr>
          <w:cantSplit/>
        </w:trPr>
        <w:tc>
          <w:tcPr>
            <w:tcW w:w="1080" w:type="dxa"/>
          </w:tcPr>
          <w:p>
            <w:pPr>
              <w:pStyle w:val="yTableNAm"/>
            </w:pPr>
            <w:r>
              <w:t>9(3)</w:t>
            </w:r>
          </w:p>
        </w:tc>
        <w:tc>
          <w:tcPr>
            <w:tcW w:w="4800" w:type="dxa"/>
          </w:tcPr>
          <w:p>
            <w:pPr>
              <w:pStyle w:val="yTableNAm"/>
              <w:tabs>
                <w:tab w:val="right" w:leader="dot" w:pos="4732"/>
              </w:tabs>
            </w:pPr>
            <w:r>
              <w:t xml:space="preserve">Driving, using or standing on part of site, a vehicle contrary to a sign </w:t>
            </w:r>
            <w:r>
              <w:tab/>
            </w:r>
          </w:p>
        </w:tc>
        <w:tc>
          <w:tcPr>
            <w:tcW w:w="1208" w:type="dxa"/>
          </w:tcPr>
          <w:p>
            <w:pPr>
              <w:pStyle w:val="yTableNAm"/>
              <w:jc w:val="center"/>
            </w:pPr>
            <w:r>
              <w:br/>
              <w:t>40</w:t>
            </w:r>
          </w:p>
        </w:tc>
      </w:tr>
      <w:tr>
        <w:trPr>
          <w:cantSplit/>
        </w:trPr>
        <w:tc>
          <w:tcPr>
            <w:tcW w:w="1080" w:type="dxa"/>
          </w:tcPr>
          <w:p>
            <w:pPr>
              <w:pStyle w:val="yTableNAm"/>
            </w:pPr>
            <w:r>
              <w:t>10</w:t>
            </w:r>
          </w:p>
        </w:tc>
        <w:tc>
          <w:tcPr>
            <w:tcW w:w="4800" w:type="dxa"/>
          </w:tcPr>
          <w:p>
            <w:pPr>
              <w:pStyle w:val="yTableNAm"/>
              <w:tabs>
                <w:tab w:val="right" w:leader="dot" w:pos="4732"/>
              </w:tabs>
            </w:pPr>
            <w:r>
              <w:t xml:space="preserve">Disobeying an authorised person’s reasonable direction </w:t>
            </w:r>
            <w:r>
              <w:tab/>
            </w:r>
          </w:p>
        </w:tc>
        <w:tc>
          <w:tcPr>
            <w:tcW w:w="1208" w:type="dxa"/>
          </w:tcPr>
          <w:p>
            <w:pPr>
              <w:pStyle w:val="yTableNAm"/>
              <w:jc w:val="center"/>
            </w:pPr>
            <w:r>
              <w:br/>
              <w:t>20</w:t>
            </w:r>
          </w:p>
        </w:tc>
      </w:tr>
      <w:tr>
        <w:trPr>
          <w:cantSplit/>
        </w:trPr>
        <w:tc>
          <w:tcPr>
            <w:tcW w:w="1080" w:type="dxa"/>
          </w:tcPr>
          <w:p>
            <w:pPr>
              <w:pStyle w:val="yTableNAm"/>
            </w:pPr>
            <w:r>
              <w:t>11(1)(a)</w:t>
            </w:r>
          </w:p>
        </w:tc>
        <w:tc>
          <w:tcPr>
            <w:tcW w:w="4800" w:type="dxa"/>
          </w:tcPr>
          <w:p>
            <w:pPr>
              <w:pStyle w:val="yTableNAm"/>
              <w:tabs>
                <w:tab w:val="right" w:leader="dot" w:pos="4732"/>
              </w:tabs>
            </w:pPr>
            <w:r>
              <w:t xml:space="preserve">Driving in excess of speed limit indicated by speed restriction sign </w:t>
            </w:r>
            <w:r>
              <w:tab/>
            </w:r>
          </w:p>
        </w:tc>
        <w:tc>
          <w:tcPr>
            <w:tcW w:w="1208" w:type="dxa"/>
          </w:tcPr>
          <w:p>
            <w:pPr>
              <w:pStyle w:val="yTableNAm"/>
              <w:jc w:val="center"/>
            </w:pPr>
            <w:r>
              <w:br/>
              <w:t>40</w:t>
            </w:r>
          </w:p>
        </w:tc>
      </w:tr>
      <w:tr>
        <w:trPr>
          <w:cantSplit/>
        </w:trPr>
        <w:tc>
          <w:tcPr>
            <w:tcW w:w="1080" w:type="dxa"/>
          </w:tcPr>
          <w:p>
            <w:pPr>
              <w:pStyle w:val="yTableNAm"/>
            </w:pPr>
            <w:r>
              <w:t>11(1)(b)</w:t>
            </w:r>
          </w:p>
        </w:tc>
        <w:tc>
          <w:tcPr>
            <w:tcW w:w="4800" w:type="dxa"/>
          </w:tcPr>
          <w:p>
            <w:pPr>
              <w:pStyle w:val="yTableNAm"/>
              <w:tabs>
                <w:tab w:val="right" w:leader="dot" w:pos="4732"/>
              </w:tabs>
            </w:pPr>
            <w:r>
              <w:t xml:space="preserve">Driving in excess of 10 </w:t>
            </w:r>
            <w:r>
              <w:rPr>
                <w:snapToGrid w:val="0"/>
              </w:rPr>
              <w:t xml:space="preserve">km/h </w:t>
            </w:r>
            <w:r>
              <w:tab/>
            </w:r>
          </w:p>
        </w:tc>
        <w:tc>
          <w:tcPr>
            <w:tcW w:w="1208" w:type="dxa"/>
          </w:tcPr>
          <w:p>
            <w:pPr>
              <w:pStyle w:val="yTableNAm"/>
              <w:jc w:val="center"/>
            </w:pPr>
            <w:r>
              <w:t>40</w:t>
            </w:r>
          </w:p>
        </w:tc>
      </w:tr>
      <w:tr>
        <w:trPr>
          <w:cantSplit/>
        </w:trPr>
        <w:tc>
          <w:tcPr>
            <w:tcW w:w="1080" w:type="dxa"/>
          </w:tcPr>
          <w:p>
            <w:pPr>
              <w:pStyle w:val="yTableNAm"/>
            </w:pPr>
            <w:r>
              <w:t>12</w:t>
            </w:r>
          </w:p>
        </w:tc>
        <w:tc>
          <w:tcPr>
            <w:tcW w:w="4800" w:type="dxa"/>
          </w:tcPr>
          <w:p>
            <w:pPr>
              <w:pStyle w:val="yTableNAm"/>
              <w:tabs>
                <w:tab w:val="right" w:leader="dot" w:pos="4732"/>
              </w:tabs>
            </w:pPr>
            <w:r>
              <w:t xml:space="preserve">Failing to give way when entering parking facility </w:t>
            </w:r>
            <w:r>
              <w:tab/>
            </w:r>
          </w:p>
        </w:tc>
        <w:tc>
          <w:tcPr>
            <w:tcW w:w="1208" w:type="dxa"/>
          </w:tcPr>
          <w:p>
            <w:pPr>
              <w:pStyle w:val="yTableNAm"/>
              <w:jc w:val="center"/>
            </w:pPr>
            <w:r>
              <w:t>20</w:t>
            </w:r>
          </w:p>
        </w:tc>
      </w:tr>
      <w:tr>
        <w:trPr>
          <w:cantSplit/>
        </w:trPr>
        <w:tc>
          <w:tcPr>
            <w:tcW w:w="1080" w:type="dxa"/>
          </w:tcPr>
          <w:p>
            <w:pPr>
              <w:pStyle w:val="yTableNAm"/>
            </w:pPr>
            <w:r>
              <w:t xml:space="preserve">13(a) </w:t>
            </w:r>
          </w:p>
        </w:tc>
        <w:tc>
          <w:tcPr>
            <w:tcW w:w="4800" w:type="dxa"/>
          </w:tcPr>
          <w:p>
            <w:pPr>
              <w:pStyle w:val="yTableNAm"/>
              <w:tabs>
                <w:tab w:val="right" w:leader="dot" w:pos="4732"/>
              </w:tabs>
            </w:pPr>
            <w:r>
              <w:t xml:space="preserve">Driving on site for giving or receiving driving instruction </w:t>
            </w:r>
            <w:r>
              <w:tab/>
            </w:r>
          </w:p>
        </w:tc>
        <w:tc>
          <w:tcPr>
            <w:tcW w:w="1208" w:type="dxa"/>
          </w:tcPr>
          <w:p>
            <w:pPr>
              <w:pStyle w:val="yTableNAm"/>
              <w:jc w:val="center"/>
            </w:pPr>
            <w:r>
              <w:br/>
              <w:t>20</w:t>
            </w:r>
          </w:p>
        </w:tc>
      </w:tr>
      <w:tr>
        <w:trPr>
          <w:cantSplit/>
        </w:trPr>
        <w:tc>
          <w:tcPr>
            <w:tcW w:w="1080" w:type="dxa"/>
          </w:tcPr>
          <w:p>
            <w:pPr>
              <w:pStyle w:val="yTableNAm"/>
            </w:pPr>
            <w:r>
              <w:t xml:space="preserve">13(b) </w:t>
            </w:r>
          </w:p>
        </w:tc>
        <w:tc>
          <w:tcPr>
            <w:tcW w:w="4800" w:type="dxa"/>
          </w:tcPr>
          <w:p>
            <w:pPr>
              <w:pStyle w:val="yTableNAm"/>
              <w:tabs>
                <w:tab w:val="right" w:leader="dot" w:pos="4732"/>
              </w:tabs>
            </w:pPr>
            <w:r>
              <w:t xml:space="preserve">Repairing or adjusting vehicle on site </w:t>
            </w:r>
            <w:r>
              <w:tab/>
            </w:r>
          </w:p>
        </w:tc>
        <w:tc>
          <w:tcPr>
            <w:tcW w:w="1208" w:type="dxa"/>
          </w:tcPr>
          <w:p>
            <w:pPr>
              <w:pStyle w:val="yTableNAm"/>
              <w:jc w:val="center"/>
            </w:pPr>
            <w:r>
              <w:t>10</w:t>
            </w:r>
          </w:p>
        </w:tc>
      </w:tr>
      <w:tr>
        <w:trPr>
          <w:cantSplit/>
        </w:trPr>
        <w:tc>
          <w:tcPr>
            <w:tcW w:w="1080" w:type="dxa"/>
          </w:tcPr>
          <w:p>
            <w:pPr>
              <w:pStyle w:val="yTableNAm"/>
            </w:pPr>
            <w:r>
              <w:t>14</w:t>
            </w:r>
          </w:p>
        </w:tc>
        <w:tc>
          <w:tcPr>
            <w:tcW w:w="4800" w:type="dxa"/>
          </w:tcPr>
          <w:p>
            <w:pPr>
              <w:pStyle w:val="yTableNAm"/>
              <w:tabs>
                <w:tab w:val="right" w:leader="dot" w:pos="4732"/>
              </w:tabs>
            </w:pPr>
            <w:r>
              <w:t xml:space="preserve">Parking vehicle on site not in parking space </w:t>
            </w:r>
            <w:r>
              <w:tab/>
            </w:r>
          </w:p>
        </w:tc>
        <w:tc>
          <w:tcPr>
            <w:tcW w:w="1208" w:type="dxa"/>
          </w:tcPr>
          <w:p>
            <w:pPr>
              <w:pStyle w:val="yTableNAm"/>
              <w:jc w:val="center"/>
            </w:pPr>
            <w:r>
              <w:t>40</w:t>
            </w:r>
          </w:p>
        </w:tc>
      </w:tr>
      <w:tr>
        <w:trPr>
          <w:cantSplit/>
        </w:trPr>
        <w:tc>
          <w:tcPr>
            <w:tcW w:w="1080" w:type="dxa"/>
          </w:tcPr>
          <w:p>
            <w:pPr>
              <w:pStyle w:val="yTableNAm"/>
            </w:pPr>
            <w:r>
              <w:t>15</w:t>
            </w:r>
          </w:p>
        </w:tc>
        <w:tc>
          <w:tcPr>
            <w:tcW w:w="4800" w:type="dxa"/>
          </w:tcPr>
          <w:p>
            <w:pPr>
              <w:pStyle w:val="yTableNAm"/>
              <w:tabs>
                <w:tab w:val="right" w:leader="dot" w:pos="4732"/>
              </w:tabs>
            </w:pPr>
            <w:r>
              <w:t xml:space="preserve">Failing to obey stop sign on site </w:t>
            </w:r>
            <w:r>
              <w:tab/>
            </w:r>
          </w:p>
        </w:tc>
        <w:tc>
          <w:tcPr>
            <w:tcW w:w="1208" w:type="dxa"/>
          </w:tcPr>
          <w:p>
            <w:pPr>
              <w:pStyle w:val="yTableNAm"/>
              <w:jc w:val="center"/>
            </w:pPr>
            <w:r>
              <w:t>45</w:t>
            </w:r>
          </w:p>
        </w:tc>
      </w:tr>
      <w:tr>
        <w:trPr>
          <w:cantSplit/>
        </w:trPr>
        <w:tc>
          <w:tcPr>
            <w:tcW w:w="1080" w:type="dxa"/>
          </w:tcPr>
          <w:p>
            <w:pPr>
              <w:pStyle w:val="yTableNAm"/>
            </w:pPr>
            <w:r>
              <w:t>15</w:t>
            </w:r>
          </w:p>
        </w:tc>
        <w:tc>
          <w:tcPr>
            <w:tcW w:w="4800" w:type="dxa"/>
          </w:tcPr>
          <w:p>
            <w:pPr>
              <w:pStyle w:val="yTableNAm"/>
              <w:tabs>
                <w:tab w:val="right" w:leader="dot" w:pos="4732"/>
              </w:tabs>
            </w:pPr>
            <w:r>
              <w:t xml:space="preserve">Parking, standing or moving vehicle on site contrary to sign other than stop sign </w:t>
            </w:r>
            <w:r>
              <w:tab/>
            </w:r>
          </w:p>
        </w:tc>
        <w:tc>
          <w:tcPr>
            <w:tcW w:w="1208" w:type="dxa"/>
          </w:tcPr>
          <w:p>
            <w:pPr>
              <w:pStyle w:val="yTableNAm"/>
              <w:jc w:val="center"/>
            </w:pPr>
            <w:r>
              <w:br/>
              <w:t>40</w:t>
            </w:r>
          </w:p>
        </w:tc>
      </w:tr>
      <w:tr>
        <w:trPr>
          <w:cantSplit/>
        </w:trPr>
        <w:tc>
          <w:tcPr>
            <w:tcW w:w="1080" w:type="dxa"/>
          </w:tcPr>
          <w:p>
            <w:pPr>
              <w:pStyle w:val="yTableNAm"/>
            </w:pPr>
            <w:r>
              <w:t xml:space="preserve">16(3) </w:t>
            </w:r>
          </w:p>
        </w:tc>
        <w:tc>
          <w:tcPr>
            <w:tcW w:w="4800" w:type="dxa"/>
          </w:tcPr>
          <w:p>
            <w:pPr>
              <w:pStyle w:val="yTableNAm"/>
              <w:tabs>
                <w:tab w:val="right" w:leader="dot" w:pos="4732"/>
              </w:tabs>
            </w:pPr>
            <w:r>
              <w:t xml:space="preserve">Parking, standing or moving vehicle in parking space or parking facility contrary to sign </w:t>
            </w:r>
            <w:r>
              <w:tab/>
            </w:r>
          </w:p>
        </w:tc>
        <w:tc>
          <w:tcPr>
            <w:tcW w:w="1208" w:type="dxa"/>
          </w:tcPr>
          <w:p>
            <w:pPr>
              <w:pStyle w:val="yTableNAm"/>
              <w:jc w:val="center"/>
            </w:pPr>
            <w:r>
              <w:br/>
              <w:t>40</w:t>
            </w:r>
          </w:p>
        </w:tc>
      </w:tr>
      <w:tr>
        <w:trPr>
          <w:cantSplit/>
        </w:trPr>
        <w:tc>
          <w:tcPr>
            <w:tcW w:w="1080" w:type="dxa"/>
          </w:tcPr>
          <w:p>
            <w:pPr>
              <w:pStyle w:val="yTableNAm"/>
            </w:pPr>
            <w:r>
              <w:t>18(2)(a)</w:t>
            </w:r>
          </w:p>
        </w:tc>
        <w:tc>
          <w:tcPr>
            <w:tcW w:w="4800" w:type="dxa"/>
          </w:tcPr>
          <w:p>
            <w:pPr>
              <w:pStyle w:val="yTableNAm"/>
              <w:tabs>
                <w:tab w:val="right" w:leader="dot" w:pos="4732"/>
              </w:tabs>
            </w:pPr>
            <w:r>
              <w:t xml:space="preserve">Parking in ticket parking area without purchasing ticket for required period </w:t>
            </w:r>
            <w:r>
              <w:tab/>
            </w:r>
          </w:p>
        </w:tc>
        <w:tc>
          <w:tcPr>
            <w:tcW w:w="1208" w:type="dxa"/>
          </w:tcPr>
          <w:p>
            <w:pPr>
              <w:pStyle w:val="yTableNAm"/>
              <w:jc w:val="center"/>
            </w:pPr>
            <w:r>
              <w:br/>
              <w:t>30</w:t>
            </w:r>
          </w:p>
        </w:tc>
      </w:tr>
      <w:tr>
        <w:trPr>
          <w:cantSplit/>
        </w:trPr>
        <w:tc>
          <w:tcPr>
            <w:tcW w:w="1080" w:type="dxa"/>
          </w:tcPr>
          <w:p>
            <w:pPr>
              <w:pStyle w:val="yTableNAm"/>
            </w:pPr>
            <w:r>
              <w:t>18(2)(b)</w:t>
            </w:r>
          </w:p>
        </w:tc>
        <w:tc>
          <w:tcPr>
            <w:tcW w:w="4800" w:type="dxa"/>
          </w:tcPr>
          <w:p>
            <w:pPr>
              <w:pStyle w:val="yTableNAm"/>
              <w:tabs>
                <w:tab w:val="clear" w:pos="567"/>
                <w:tab w:val="right" w:leader="dot" w:pos="4732"/>
              </w:tabs>
            </w:pPr>
            <w:r>
              <w:t xml:space="preserve">Parking in ticket parking area without displaying ticket </w:t>
            </w:r>
            <w:r>
              <w:tab/>
            </w:r>
          </w:p>
        </w:tc>
        <w:tc>
          <w:tcPr>
            <w:tcW w:w="1208" w:type="dxa"/>
          </w:tcPr>
          <w:p>
            <w:pPr>
              <w:pStyle w:val="yTableNAm"/>
              <w:jc w:val="center"/>
            </w:pPr>
            <w:r>
              <w:br/>
              <w:t>30</w:t>
            </w:r>
          </w:p>
        </w:tc>
      </w:tr>
      <w:tr>
        <w:trPr>
          <w:cantSplit/>
        </w:trPr>
        <w:tc>
          <w:tcPr>
            <w:tcW w:w="1080" w:type="dxa"/>
            <w:shd w:val="clear" w:color="auto" w:fill="auto"/>
          </w:tcPr>
          <w:p>
            <w:pPr>
              <w:pStyle w:val="yTableNAm"/>
            </w:pPr>
            <w:r>
              <w:t>18(4)</w:t>
            </w:r>
          </w:p>
        </w:tc>
        <w:tc>
          <w:tcPr>
            <w:tcW w:w="4800" w:type="dxa"/>
          </w:tcPr>
          <w:p>
            <w:pPr>
              <w:pStyle w:val="yTableNAm"/>
              <w:tabs>
                <w:tab w:val="right" w:leader="dot" w:pos="4732"/>
              </w:tabs>
            </w:pPr>
            <w:r>
              <w:t xml:space="preserve">Parking in boom gate controlled ticket parking area without ticket </w:t>
            </w:r>
            <w:r>
              <w:tab/>
            </w:r>
          </w:p>
        </w:tc>
        <w:tc>
          <w:tcPr>
            <w:tcW w:w="1208" w:type="dxa"/>
          </w:tcPr>
          <w:p>
            <w:pPr>
              <w:pStyle w:val="yTableNAm"/>
              <w:jc w:val="center"/>
            </w:pPr>
            <w:r>
              <w:br/>
              <w:t>30</w:t>
            </w:r>
          </w:p>
        </w:tc>
      </w:tr>
      <w:tr>
        <w:trPr>
          <w:cantSplit/>
        </w:trPr>
        <w:tc>
          <w:tcPr>
            <w:tcW w:w="1080" w:type="dxa"/>
          </w:tcPr>
          <w:p>
            <w:pPr>
              <w:pStyle w:val="yTableNAm"/>
            </w:pPr>
            <w:r>
              <w:t>18(5)</w:t>
            </w:r>
          </w:p>
        </w:tc>
        <w:tc>
          <w:tcPr>
            <w:tcW w:w="4800" w:type="dxa"/>
          </w:tcPr>
          <w:p>
            <w:pPr>
              <w:pStyle w:val="yTableNAm"/>
              <w:tabs>
                <w:tab w:val="right" w:leader="dot" w:pos="4732"/>
              </w:tabs>
            </w:pPr>
            <w:r>
              <w:t xml:space="preserve">Removing vehicle from boom gate controlled ticket parking area without paying prescribed fee </w:t>
            </w:r>
            <w:r>
              <w:tab/>
            </w:r>
          </w:p>
        </w:tc>
        <w:tc>
          <w:tcPr>
            <w:tcW w:w="1208" w:type="dxa"/>
          </w:tcPr>
          <w:p>
            <w:pPr>
              <w:pStyle w:val="yTableNAm"/>
              <w:jc w:val="center"/>
            </w:pPr>
            <w:r>
              <w:br/>
              <w:t>30</w:t>
            </w:r>
          </w:p>
        </w:tc>
      </w:tr>
      <w:tr>
        <w:trPr>
          <w:cantSplit/>
        </w:trPr>
        <w:tc>
          <w:tcPr>
            <w:tcW w:w="1080" w:type="dxa"/>
          </w:tcPr>
          <w:p>
            <w:pPr>
              <w:pStyle w:val="yTableNAm"/>
            </w:pPr>
            <w:r>
              <w:t>18(7)</w:t>
            </w:r>
          </w:p>
        </w:tc>
        <w:tc>
          <w:tcPr>
            <w:tcW w:w="4800" w:type="dxa"/>
          </w:tcPr>
          <w:p>
            <w:pPr>
              <w:pStyle w:val="yTableNAm"/>
              <w:tabs>
                <w:tab w:val="right" w:leader="dot" w:pos="4732"/>
              </w:tabs>
            </w:pPr>
            <w:r>
              <w:t xml:space="preserve">Parking vehicle in ticket parking area or boom gate controlled ticket parking area and leaving site while vehicle is parked there </w:t>
            </w:r>
            <w:r>
              <w:tab/>
            </w:r>
          </w:p>
        </w:tc>
        <w:tc>
          <w:tcPr>
            <w:tcW w:w="1208" w:type="dxa"/>
          </w:tcPr>
          <w:p>
            <w:pPr>
              <w:pStyle w:val="yTableNAm"/>
              <w:jc w:val="center"/>
            </w:pPr>
            <w:r>
              <w:br/>
            </w:r>
            <w:r>
              <w:br/>
              <w:t>30</w:t>
            </w:r>
          </w:p>
        </w:tc>
      </w:tr>
      <w:tr>
        <w:trPr>
          <w:cantSplit/>
        </w:trPr>
        <w:tc>
          <w:tcPr>
            <w:tcW w:w="1080" w:type="dxa"/>
          </w:tcPr>
          <w:p>
            <w:pPr>
              <w:pStyle w:val="yTableNAm"/>
            </w:pPr>
            <w:r>
              <w:t>19(2)</w:t>
            </w:r>
          </w:p>
        </w:tc>
        <w:tc>
          <w:tcPr>
            <w:tcW w:w="4800" w:type="dxa"/>
          </w:tcPr>
          <w:p>
            <w:pPr>
              <w:pStyle w:val="yTableNAm"/>
              <w:tabs>
                <w:tab w:val="right" w:leader="dot" w:pos="4732"/>
              </w:tabs>
            </w:pPr>
            <w:r>
              <w:t xml:space="preserve">Parking in paid staff parking area when not an eligible staff member </w:t>
            </w:r>
            <w:r>
              <w:tab/>
            </w:r>
          </w:p>
        </w:tc>
        <w:tc>
          <w:tcPr>
            <w:tcW w:w="1208" w:type="dxa"/>
          </w:tcPr>
          <w:p>
            <w:pPr>
              <w:pStyle w:val="yTableNAm"/>
              <w:jc w:val="center"/>
            </w:pPr>
            <w:r>
              <w:br/>
              <w:t>45</w:t>
            </w:r>
          </w:p>
        </w:tc>
      </w:tr>
      <w:tr>
        <w:trPr>
          <w:cantSplit/>
        </w:trPr>
        <w:tc>
          <w:tcPr>
            <w:tcW w:w="1080" w:type="dxa"/>
          </w:tcPr>
          <w:p>
            <w:pPr>
              <w:pStyle w:val="yTableNAm"/>
            </w:pPr>
            <w:r>
              <w:t>19(3)</w:t>
            </w:r>
          </w:p>
        </w:tc>
        <w:tc>
          <w:tcPr>
            <w:tcW w:w="4800" w:type="dxa"/>
          </w:tcPr>
          <w:p>
            <w:pPr>
              <w:pStyle w:val="yTableNAm"/>
              <w:tabs>
                <w:tab w:val="clear" w:pos="567"/>
                <w:tab w:val="right" w:leader="dot" w:pos="4732"/>
              </w:tabs>
            </w:pPr>
            <w:r>
              <w:t xml:space="preserve">Failing to pay before leaving paid staff parking area </w:t>
            </w:r>
            <w:r>
              <w:tab/>
            </w:r>
          </w:p>
        </w:tc>
        <w:tc>
          <w:tcPr>
            <w:tcW w:w="1208" w:type="dxa"/>
          </w:tcPr>
          <w:p>
            <w:pPr>
              <w:pStyle w:val="yTableNAm"/>
              <w:jc w:val="center"/>
            </w:pPr>
            <w:r>
              <w:br/>
              <w:t>20</w:t>
            </w:r>
          </w:p>
        </w:tc>
      </w:tr>
      <w:tr>
        <w:trPr>
          <w:cantSplit/>
        </w:trPr>
        <w:tc>
          <w:tcPr>
            <w:tcW w:w="1080" w:type="dxa"/>
          </w:tcPr>
          <w:p>
            <w:pPr>
              <w:pStyle w:val="yTableNAm"/>
            </w:pPr>
            <w:r>
              <w:t>20(2)</w:t>
            </w:r>
          </w:p>
        </w:tc>
        <w:tc>
          <w:tcPr>
            <w:tcW w:w="4800" w:type="dxa"/>
          </w:tcPr>
          <w:p>
            <w:pPr>
              <w:pStyle w:val="yTableNAm"/>
              <w:tabs>
                <w:tab w:val="right" w:leader="dot" w:pos="4732"/>
              </w:tabs>
            </w:pPr>
            <w:r>
              <w:t xml:space="preserve">Unlawfully parking in permit parking area </w:t>
            </w:r>
            <w:r>
              <w:tab/>
            </w:r>
          </w:p>
        </w:tc>
        <w:tc>
          <w:tcPr>
            <w:tcW w:w="1208" w:type="dxa"/>
          </w:tcPr>
          <w:p>
            <w:pPr>
              <w:pStyle w:val="yTableNAm"/>
              <w:jc w:val="center"/>
            </w:pPr>
            <w:r>
              <w:t>45</w:t>
            </w:r>
          </w:p>
        </w:tc>
      </w:tr>
      <w:tr>
        <w:trPr>
          <w:cantSplit/>
        </w:trPr>
        <w:tc>
          <w:tcPr>
            <w:tcW w:w="1080" w:type="dxa"/>
          </w:tcPr>
          <w:p>
            <w:pPr>
              <w:pStyle w:val="yTableNAm"/>
            </w:pPr>
            <w:r>
              <w:t>30</w:t>
            </w:r>
          </w:p>
        </w:tc>
        <w:tc>
          <w:tcPr>
            <w:tcW w:w="4800" w:type="dxa"/>
          </w:tcPr>
          <w:p>
            <w:pPr>
              <w:pStyle w:val="yTableNAm"/>
              <w:tabs>
                <w:tab w:val="right" w:leader="dot" w:pos="4732"/>
              </w:tabs>
            </w:pPr>
            <w:r>
              <w:t xml:space="preserve">Unauthorised person endorsing or altering infringement notice </w:t>
            </w:r>
            <w:r>
              <w:tab/>
            </w:r>
          </w:p>
        </w:tc>
        <w:tc>
          <w:tcPr>
            <w:tcW w:w="1208" w:type="dxa"/>
          </w:tcPr>
          <w:p>
            <w:pPr>
              <w:pStyle w:val="yTableNAm"/>
              <w:jc w:val="center"/>
            </w:pPr>
            <w:r>
              <w:br/>
              <w:t>20</w:t>
            </w:r>
          </w:p>
        </w:tc>
      </w:tr>
      <w:tr>
        <w:trPr>
          <w:cantSplit/>
        </w:trPr>
        <w:tc>
          <w:tcPr>
            <w:tcW w:w="1080" w:type="dxa"/>
          </w:tcPr>
          <w:p>
            <w:pPr>
              <w:pStyle w:val="yTableNAm"/>
            </w:pPr>
            <w:r>
              <w:t>31</w:t>
            </w:r>
          </w:p>
        </w:tc>
        <w:tc>
          <w:tcPr>
            <w:tcW w:w="4800" w:type="dxa"/>
          </w:tcPr>
          <w:p>
            <w:pPr>
              <w:pStyle w:val="yTableNAm"/>
              <w:tabs>
                <w:tab w:val="right" w:leader="dot" w:pos="4732"/>
              </w:tabs>
            </w:pPr>
            <w:r>
              <w:t xml:space="preserve">Removing infringement notice when not authorised to do so </w:t>
            </w:r>
            <w:r>
              <w:tab/>
            </w:r>
          </w:p>
        </w:tc>
        <w:tc>
          <w:tcPr>
            <w:tcW w:w="1208" w:type="dxa"/>
          </w:tcPr>
          <w:p>
            <w:pPr>
              <w:pStyle w:val="yTableNAm"/>
              <w:jc w:val="center"/>
              <w:rPr>
                <w:rStyle w:val="DraftersNotes"/>
                <w:b w:val="0"/>
                <w:i w:val="0"/>
                <w:sz w:val="22"/>
              </w:rPr>
            </w:pPr>
            <w:r>
              <w:br/>
              <w:t>20</w:t>
            </w:r>
          </w:p>
        </w:tc>
      </w:tr>
    </w:tbl>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59" w:name="_Toc449705173"/>
      <w:bookmarkStart w:id="60" w:name="_Toc450560717"/>
      <w:r>
        <w:rPr>
          <w:rStyle w:val="CharSchNo"/>
        </w:rPr>
        <w:t>Schedule 3</w:t>
      </w:r>
      <w:r>
        <w:rPr>
          <w:rStyle w:val="CharSDivNo"/>
        </w:rPr>
        <w:t> </w:t>
      </w:r>
      <w:r>
        <w:t>—</w:t>
      </w:r>
      <w:r>
        <w:rPr>
          <w:rStyle w:val="CharSDivText"/>
        </w:rPr>
        <w:t> </w:t>
      </w:r>
      <w:r>
        <w:rPr>
          <w:rStyle w:val="CharSchText"/>
        </w:rPr>
        <w:t>Forms</w:t>
      </w:r>
      <w:bookmarkEnd w:id="59"/>
      <w:bookmarkEnd w:id="60"/>
    </w:p>
    <w:p>
      <w:pPr>
        <w:pStyle w:val="yShoulderClause"/>
      </w:pPr>
      <w:r>
        <w:t>[bl. 27 and 28]</w:t>
      </w:r>
    </w:p>
    <w:p>
      <w:pPr>
        <w:pStyle w:val="yMiscellaneousHeading"/>
        <w:rPr>
          <w:b/>
        </w:rPr>
      </w:pPr>
      <w:r>
        <w:rPr>
          <w:rStyle w:val="CharSClsNo"/>
          <w:b/>
        </w:rPr>
        <w:t>Form 1</w:t>
      </w:r>
      <w:r>
        <w:rPr>
          <w:b/>
        </w:rPr>
        <w:t>:  Infringement notice (by</w:t>
      </w:r>
      <w:r>
        <w:rPr>
          <w:b/>
        </w:rPr>
        <w:noBreakHyphen/>
        <w:t>law 27)</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spacing w:after="120"/>
        <w:rPr>
          <w:i/>
          <w:szCs w:val="22"/>
        </w:rPr>
      </w:pPr>
      <w:r>
        <w:rPr>
          <w:i/>
          <w:szCs w:val="22"/>
        </w:rPr>
        <w:t>Fiona Stanley Hospital By</w:t>
      </w:r>
      <w:r>
        <w:rPr>
          <w:i/>
          <w:szCs w:val="22"/>
        </w:rPr>
        <w:noBreakHyphen/>
        <w:t>laws 2014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t>Infringement no.</w:t>
            </w:r>
          </w:p>
        </w:tc>
        <w:tc>
          <w:tcPr>
            <w:tcW w:w="2022" w:type="dxa"/>
            <w:gridSpan w:val="3"/>
            <w:tcBorders>
              <w:top w:val="single" w:sz="4" w:space="0" w:color="auto"/>
              <w:bottom w:val="nil"/>
            </w:tcBorders>
          </w:tcPr>
          <w:p>
            <w:pPr>
              <w:pStyle w:val="yTableNAm"/>
            </w:pPr>
            <w:r>
              <w:t>Date</w:t>
            </w:r>
          </w:p>
        </w:tc>
        <w:tc>
          <w:tcPr>
            <w:tcW w:w="2157" w:type="dxa"/>
            <w:tcBorders>
              <w:top w:val="single" w:sz="4" w:space="0" w:color="auto"/>
              <w:bottom w:val="nil"/>
            </w:tcBorders>
          </w:tcPr>
          <w:p>
            <w:pPr>
              <w:pStyle w:val="yTableNAm"/>
            </w:pPr>
            <w: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Height w:val="20"/>
        </w:trPr>
        <w:tc>
          <w:tcPr>
            <w:tcW w:w="3770" w:type="dxa"/>
            <w:gridSpan w:val="3"/>
            <w:tcBorders>
              <w:top w:val="single" w:sz="4" w:space="0" w:color="auto"/>
              <w:left w:val="nil"/>
              <w:bottom w:val="single" w:sz="4" w:space="0" w:color="auto"/>
            </w:tcBorders>
          </w:tcPr>
          <w:p>
            <w:pPr>
              <w:pStyle w:val="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rPr>
                <w:b/>
              </w:rPr>
            </w:pPr>
            <w:r>
              <w:rPr>
                <w:b/>
              </w:rPr>
              <w:t>Metropolitan Access and Parking</w:t>
            </w:r>
          </w:p>
          <w:p>
            <w:pPr>
              <w:pStyle w:val="yTableNAm"/>
            </w:pPr>
            <w:r>
              <w:t xml:space="preserve">You must on or before the due date — </w:t>
            </w:r>
          </w:p>
          <w:p>
            <w:pPr>
              <w:pStyle w:val="yTableNAm"/>
              <w:rPr>
                <w:b/>
              </w:rPr>
            </w:pPr>
            <w:r>
              <w:rPr>
                <w:b/>
              </w:rPr>
              <w:t>Pay the Infringement</w:t>
            </w:r>
          </w:p>
          <w:p>
            <w:pPr>
              <w:pStyle w:val="yTableNAm"/>
            </w:pPr>
            <w:r>
              <w:t xml:space="preserve">Pay in person at any post office, phone 13 18 16 or go to </w:t>
            </w:r>
            <w:r>
              <w:rPr>
                <w:u w:val="single"/>
              </w:rPr>
              <w:t>www.postbillpay.com.au</w:t>
            </w:r>
            <w:r>
              <w:t>.</w:t>
            </w:r>
          </w:p>
          <w:p>
            <w:pPr>
              <w:pStyle w:val="yTableNAm"/>
            </w:pPr>
            <w:r>
              <w:t>By credit card by phoning 1800 753 191.</w:t>
            </w:r>
          </w:p>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 xml:space="preserve">A declaration form is downloadable at — </w:t>
            </w:r>
          </w:p>
          <w:p>
            <w:pPr>
              <w:pStyle w:val="yTableNAm"/>
              <w:rPr>
                <w:u w:val="single"/>
              </w:rPr>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 xml:space="preserve">Further information is available at — </w:t>
            </w:r>
          </w:p>
          <w:p>
            <w:pPr>
              <w:pStyle w:val="yTableNAm"/>
            </w:pPr>
            <w:r>
              <w:tab/>
            </w:r>
            <w:r>
              <w:rPr>
                <w:szCs w:val="22"/>
                <w:u w:val="single"/>
              </w:rPr>
              <w:t>www.health.wa.gov.au/parking/infringement</w:t>
            </w:r>
            <w:r>
              <w:br/>
            </w:r>
            <w:r>
              <w:tab/>
              <w:t xml:space="preserve">or by phoning 1800 753 181 Monday </w:t>
            </w:r>
            <w:r>
              <w:noBreakHyphen/>
              <w:t xml:space="preserve"> Friday 8.30 a.m. </w:t>
            </w:r>
            <w:r>
              <w:noBreakHyphen/>
              <w:t xml:space="preserve"> 4.00 p.m.</w:t>
            </w:r>
            <w:r>
              <w:br/>
            </w:r>
            <w:r>
              <w:tab/>
              <w:t xml:space="preserve">or email: </w:t>
            </w:r>
            <w:r>
              <w:rPr>
                <w:u w:val="single"/>
              </w:rPr>
              <w:t>parking@health.wa.gov.au</w:t>
            </w:r>
            <w:r>
              <w:br/>
            </w:r>
            <w:r>
              <w:tab/>
              <w:t>or by post:</w:t>
            </w:r>
            <w:r>
              <w:br/>
            </w:r>
            <w:r>
              <w:tab/>
              <w:t>Metropolitan Access and Parking</w:t>
            </w:r>
            <w:r>
              <w:br/>
            </w:r>
            <w:r>
              <w:tab/>
              <w:t>PO Box 1135 Osborne Park WA 6916</w:t>
            </w:r>
          </w:p>
        </w:tc>
      </w:tr>
    </w:tbl>
    <w:p>
      <w:pPr>
        <w:pStyle w:val="yFootnotesection"/>
      </w:pPr>
      <w:r>
        <w:tab/>
        <w:t>[Form 1 amended in Gazette 8 Jan 2015 p. 179-80.]</w:t>
      </w:r>
    </w:p>
    <w:p>
      <w:pPr>
        <w:pageBreakBefore/>
        <w:rPr>
          <w:b/>
        </w:rPr>
      </w:pPr>
      <w:r>
        <w:rPr>
          <w:rStyle w:val="CharSClsNo"/>
          <w:b/>
        </w:rPr>
        <w:t>Form 2</w:t>
      </w:r>
      <w:r>
        <w:rPr>
          <w:b/>
        </w:rPr>
        <w:t>:  Withdrawal of Infringement notice (by</w:t>
      </w:r>
      <w:r>
        <w:rPr>
          <w:b/>
        </w:rPr>
        <w:noBreakHyphen/>
        <w:t>law 28)</w:t>
      </w:r>
    </w:p>
    <w:p>
      <w:pPr>
        <w:pStyle w:val="yMiscellaneousHeading"/>
        <w:spacing w:before="120"/>
      </w:pPr>
      <w:r>
        <w:t>Government of Western Australia</w:t>
      </w:r>
    </w:p>
    <w:p>
      <w:pPr>
        <w:pStyle w:val="yMiscellaneousHeading"/>
        <w:spacing w:before="120"/>
      </w:pPr>
      <w:r>
        <w:t>Department of Health</w:t>
      </w:r>
    </w:p>
    <w:p>
      <w:pPr>
        <w:pStyle w:val="yMiscellaneousHeading"/>
        <w:spacing w:before="120"/>
      </w:pPr>
      <w:r>
        <w:t>Metropolitan Access and Parking Department</w:t>
      </w:r>
    </w:p>
    <w:p>
      <w:pPr>
        <w:pStyle w:val="yMiscellaneousHeading"/>
        <w:spacing w:before="120" w:after="120"/>
        <w:rPr>
          <w:i/>
          <w:szCs w:val="22"/>
        </w:rPr>
      </w:pPr>
      <w:r>
        <w:rPr>
          <w:i/>
          <w:szCs w:val="22"/>
        </w:rPr>
        <w:t>Fiona Stanley Hospital By</w:t>
      </w:r>
      <w:r>
        <w:rPr>
          <w:i/>
          <w:szCs w:val="22"/>
        </w:rPr>
        <w:noBreakHyphen/>
        <w:t>laws 2014</w:t>
      </w:r>
    </w:p>
    <w:p>
      <w:pPr>
        <w:pStyle w:val="yMiscellaneousBody"/>
        <w:spacing w:before="120"/>
        <w:ind w:left="284"/>
      </w:pPr>
      <w:r>
        <w:t>Date ..................................</w:t>
      </w:r>
    </w:p>
    <w:p>
      <w:pPr>
        <w:pStyle w:val="yMiscellaneousBody"/>
        <w:spacing w:before="120"/>
        <w:ind w:left="284"/>
      </w:pPr>
      <w:r>
        <w:t>Infringement notice ........................</w:t>
      </w:r>
    </w:p>
    <w:p>
      <w:pPr>
        <w:pStyle w:val="yMiscellaneousBody"/>
        <w:spacing w:before="120"/>
        <w:ind w:left="284"/>
      </w:pPr>
      <w:r>
        <w:t>Dear</w:t>
      </w:r>
    </w:p>
    <w:p>
      <w:pPr>
        <w:pStyle w:val="yMiscellaneousBody"/>
        <w:spacing w:before="120"/>
        <w:ind w:left="284"/>
      </w:pPr>
      <w:r>
        <w:t>Infringement notice no. ........................ served on you on .....................</w:t>
      </w:r>
    </w:p>
    <w:p>
      <w:pPr>
        <w:pStyle w:val="yMiscellaneousBody"/>
        <w:spacing w:before="120"/>
        <w:ind w:left="284"/>
      </w:pPr>
      <w:r>
        <w:t>for the alleged offence of ........................................................................</w:t>
      </w:r>
    </w:p>
    <w:p>
      <w:pPr>
        <w:pStyle w:val="yMiscellaneousBody"/>
        <w:spacing w:before="120"/>
        <w:ind w:left="284"/>
      </w:pPr>
      <w:r>
        <w:t>.................................................................................................................</w:t>
      </w:r>
    </w:p>
    <w:p>
      <w:pPr>
        <w:pStyle w:val="yMiscellaneousBody"/>
        <w:spacing w:before="120"/>
        <w:ind w:left="284"/>
      </w:pPr>
      <w:r>
        <w:t>.................................................................................................................</w:t>
      </w:r>
    </w:p>
    <w:p>
      <w:pPr>
        <w:pStyle w:val="yMiscellaneousBody"/>
        <w:spacing w:before="120"/>
        <w:ind w:left="284"/>
      </w:pPr>
      <w:r>
        <w:t>is hereby withdrawn and no further action will be taken against you.</w:t>
      </w:r>
    </w:p>
    <w:p>
      <w:pPr>
        <w:pStyle w:val="yMiscellaneousBody"/>
        <w:spacing w:before="120"/>
        <w:ind w:left="284"/>
      </w:pPr>
      <w:r>
        <w:t xml:space="preserve">If you paid the modified penalty before the infringement notice was withdrawn, please contact 1800 753 191 or post receipt to — </w:t>
      </w:r>
    </w:p>
    <w:p>
      <w:pPr>
        <w:pStyle w:val="yMiscellaneousBody"/>
        <w:ind w:left="284"/>
      </w:pPr>
      <w:r>
        <w:t>Metropolitan Access and Parking</w:t>
      </w:r>
      <w:r>
        <w:br/>
        <w:t>PO Box 1135</w:t>
      </w:r>
      <w:r>
        <w:br/>
        <w:t>Osborne Park WA  6916</w:t>
      </w:r>
    </w:p>
    <w:p>
      <w:pPr>
        <w:pStyle w:val="yMiscellaneousBody"/>
        <w:spacing w:before="200"/>
        <w:ind w:left="284"/>
      </w:pPr>
      <w:r>
        <w:t>Your payment will be refunded.</w:t>
      </w:r>
    </w:p>
    <w:p>
      <w:pPr>
        <w:pStyle w:val="yMiscellaneousBody"/>
        <w:spacing w:before="360"/>
        <w:ind w:left="284"/>
      </w:pPr>
      <w:r>
        <w:t>Yours sincerely</w:t>
      </w:r>
    </w:p>
    <w:p>
      <w:pPr>
        <w:pStyle w:val="yMiscellaneousBody"/>
        <w:ind w:left="284"/>
      </w:pPr>
      <w:r>
        <w:rPr>
          <w:b/>
          <w:u w:val="single"/>
        </w:rPr>
        <w:t xml:space="preserve">Signed for and on behalf of </w:t>
      </w:r>
      <w:r>
        <w:rPr>
          <w:b/>
          <w:u w:val="single"/>
        </w:rPr>
        <w:br/>
        <w:t>the Parking Infringement Committee</w:t>
      </w:r>
      <w:r>
        <w:rPr>
          <w:b/>
          <w:u w:val="single"/>
        </w:rPr>
        <w:br/>
      </w:r>
      <w:r>
        <w:t>Metropolitan Access and Parking Department</w:t>
      </w:r>
    </w:p>
    <w:p>
      <w:pPr>
        <w:pStyle w:val="ByCommand"/>
        <w:keepNext/>
        <w:keepLines/>
        <w:spacing w:before="600"/>
      </w:pPr>
      <w:r>
        <w:t>............................................................</w:t>
      </w:r>
      <w:r>
        <w:br/>
        <w:t>The Minister in his capacity as the</w:t>
      </w:r>
      <w:r>
        <w:br/>
        <w:t>board of the Fiona Stanley Hospital</w:t>
      </w:r>
    </w:p>
    <w:p>
      <w:pPr>
        <w:pStyle w:val="CentredBaseLine"/>
        <w:jc w:val="center"/>
        <w:rPr>
          <w:snapToGrid w:val="0"/>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61" w:name="_Toc449705174"/>
      <w:bookmarkStart w:id="62" w:name="_Toc450560718"/>
      <w:r>
        <w:t>Notes</w:t>
      </w:r>
      <w:bookmarkEnd w:id="61"/>
      <w:bookmarkEnd w:id="62"/>
    </w:p>
    <w:p>
      <w:pPr>
        <w:pStyle w:val="nSubsection"/>
      </w:pPr>
      <w:r>
        <w:rPr>
          <w:vertAlign w:val="superscript"/>
        </w:rPr>
        <w:t>1</w:t>
      </w:r>
      <w:r>
        <w:tab/>
        <w:t xml:space="preserve">This reprint is a compilation as at 15 April 2016 of the </w:t>
      </w:r>
      <w:r>
        <w:rPr>
          <w:i/>
          <w:noProof/>
          <w:snapToGrid w:val="0"/>
        </w:rPr>
        <w:t>Fiona Stanley Hospital</w:t>
      </w:r>
      <w:r>
        <w:rPr>
          <w:i/>
          <w:noProof/>
          <w:snapToGrid w:val="0"/>
        </w:rPr>
        <w:br/>
        <w:t xml:space="preserve">By-laws 2014 </w:t>
      </w:r>
      <w:r>
        <w:t>and includes the amendments made by the other written laws referred to in the following table.  The table also contains information about any reprint.</w:t>
      </w:r>
    </w:p>
    <w:p>
      <w:pPr>
        <w:pStyle w:val="nHeading3"/>
      </w:pPr>
      <w:bookmarkStart w:id="63" w:name="_Toc450560719"/>
      <w:r>
        <w:t>Compilation table</w:t>
      </w:r>
      <w:bookmarkEnd w:id="6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Fiona Stanley Hospital By-laws 2014</w:t>
            </w:r>
          </w:p>
        </w:tc>
        <w:tc>
          <w:tcPr>
            <w:tcW w:w="1276" w:type="dxa"/>
            <w:tcBorders>
              <w:top w:val="single" w:sz="8" w:space="0" w:color="auto"/>
              <w:bottom w:val="nil"/>
            </w:tcBorders>
          </w:tcPr>
          <w:p>
            <w:pPr>
              <w:pStyle w:val="nTable"/>
              <w:spacing w:after="40"/>
            </w:pPr>
            <w:r>
              <w:t>10 Oct 2014 p. 3701</w:t>
            </w:r>
            <w:r>
              <w:noBreakHyphen/>
              <w:t>30</w:t>
            </w:r>
          </w:p>
        </w:tc>
        <w:tc>
          <w:tcPr>
            <w:tcW w:w="2693" w:type="dxa"/>
            <w:tcBorders>
              <w:top w:val="single" w:sz="8" w:space="0" w:color="auto"/>
              <w:bottom w:val="nil"/>
            </w:tcBorders>
          </w:tcPr>
          <w:p>
            <w:pPr>
              <w:pStyle w:val="nTable"/>
              <w:spacing w:after="40"/>
            </w:pPr>
            <w:r>
              <w:t>bl. 1 and 2: 10 Oct 2014 (see bl. 2(a));</w:t>
            </w:r>
            <w:r>
              <w:br/>
              <w:t>By-laws other than bl. 1 and 2: 11 Oct 2014 (see bl. 2(b))</w:t>
            </w:r>
          </w:p>
        </w:tc>
      </w:tr>
      <w:tr>
        <w:tc>
          <w:tcPr>
            <w:tcW w:w="3118" w:type="dxa"/>
            <w:tcBorders>
              <w:top w:val="nil"/>
              <w:bottom w:val="nil"/>
            </w:tcBorders>
          </w:tcPr>
          <w:p>
            <w:pPr>
              <w:pStyle w:val="nTable"/>
              <w:spacing w:after="40"/>
              <w:rPr>
                <w:i/>
                <w:noProof/>
                <w:snapToGrid w:val="0"/>
              </w:rPr>
            </w:pPr>
            <w:r>
              <w:rPr>
                <w:i/>
              </w:rPr>
              <w:t>Fiona Stanley Hospital Amendment By</w:t>
            </w:r>
            <w:r>
              <w:rPr>
                <w:i/>
              </w:rPr>
              <w:noBreakHyphen/>
              <w:t>laws (No. 2) 2014</w:t>
            </w:r>
          </w:p>
        </w:tc>
        <w:tc>
          <w:tcPr>
            <w:tcW w:w="1276" w:type="dxa"/>
            <w:tcBorders>
              <w:top w:val="nil"/>
              <w:bottom w:val="nil"/>
            </w:tcBorders>
          </w:tcPr>
          <w:p>
            <w:pPr>
              <w:pStyle w:val="nTable"/>
              <w:spacing w:after="40"/>
            </w:pPr>
            <w:r>
              <w:t>8 Jan 2015 p. 177</w:t>
            </w:r>
            <w:r>
              <w:noBreakHyphen/>
              <w:t>80</w:t>
            </w:r>
          </w:p>
        </w:tc>
        <w:tc>
          <w:tcPr>
            <w:tcW w:w="2693" w:type="dxa"/>
            <w:tcBorders>
              <w:top w:val="nil"/>
              <w:bottom w:val="nil"/>
            </w:tcBorders>
          </w:tcPr>
          <w:p>
            <w:pPr>
              <w:pStyle w:val="nTable"/>
              <w:spacing w:after="40"/>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noProof/>
                <w:snapToGrid w:val="0"/>
              </w:rPr>
            </w:pPr>
            <w:r>
              <w:rPr>
                <w:i/>
                <w:noProof/>
                <w:snapToGrid w:val="0"/>
              </w:rPr>
              <w:t>Fiona Stanley Hospital Amendment By</w:t>
            </w:r>
            <w:r>
              <w:rPr>
                <w:i/>
                <w:noProof/>
                <w:snapToGrid w:val="0"/>
              </w:rPr>
              <w:noBreakHyphen/>
              <w:t>laws 2015</w:t>
            </w:r>
          </w:p>
        </w:tc>
        <w:tc>
          <w:tcPr>
            <w:tcW w:w="1276" w:type="dxa"/>
            <w:tcBorders>
              <w:top w:val="nil"/>
              <w:bottom w:val="nil"/>
            </w:tcBorders>
          </w:tcPr>
          <w:p>
            <w:pPr>
              <w:pStyle w:val="nTable"/>
              <w:spacing w:after="40"/>
            </w:pPr>
            <w:r>
              <w:t>14 Apr 2015 p. 1331</w:t>
            </w:r>
            <w:r>
              <w:noBreakHyphen/>
              <w:t>3</w:t>
            </w:r>
          </w:p>
        </w:tc>
        <w:tc>
          <w:tcPr>
            <w:tcW w:w="2693" w:type="dxa"/>
            <w:tcBorders>
              <w:top w:val="nil"/>
              <w:bottom w:val="nil"/>
            </w:tcBorders>
          </w:tcPr>
          <w:p>
            <w:pPr>
              <w:pStyle w:val="nTable"/>
              <w:spacing w:after="40"/>
            </w:pPr>
            <w:r>
              <w:t>bl. 1 and 2: 14 Apr 2015 (see bl. 2(a));</w:t>
            </w:r>
            <w:r>
              <w:br/>
              <w:t>By-laws other than bl. 1 and 2: 15 Apr 2015 (see bl. 2(b))</w:t>
            </w:r>
          </w:p>
        </w:tc>
      </w:tr>
      <w:tr>
        <w:tc>
          <w:tcPr>
            <w:tcW w:w="3118" w:type="dxa"/>
            <w:tcBorders>
              <w:top w:val="nil"/>
              <w:bottom w:val="nil"/>
            </w:tcBorders>
          </w:tcPr>
          <w:p>
            <w:pPr>
              <w:pStyle w:val="nTable"/>
              <w:spacing w:after="40"/>
              <w:rPr>
                <w:i/>
                <w:noProof/>
                <w:snapToGrid w:val="0"/>
              </w:rPr>
            </w:pPr>
            <w:r>
              <w:rPr>
                <w:i/>
                <w:noProof/>
                <w:snapToGrid w:val="0"/>
              </w:rPr>
              <w:t>Fiona Stanley Hospital Amendment By</w:t>
            </w:r>
            <w:r>
              <w:rPr>
                <w:i/>
                <w:noProof/>
                <w:snapToGrid w:val="0"/>
              </w:rPr>
              <w:noBreakHyphen/>
              <w:t>laws (No. 2) 2015</w:t>
            </w:r>
          </w:p>
        </w:tc>
        <w:tc>
          <w:tcPr>
            <w:tcW w:w="1276" w:type="dxa"/>
            <w:tcBorders>
              <w:top w:val="nil"/>
              <w:bottom w:val="nil"/>
            </w:tcBorders>
          </w:tcPr>
          <w:p>
            <w:pPr>
              <w:pStyle w:val="nTable"/>
              <w:spacing w:after="40"/>
            </w:pPr>
            <w:r>
              <w:t>19 Jun 2015 p. 2109</w:t>
            </w:r>
            <w:r>
              <w:noBreakHyphen/>
              <w:t>11</w:t>
            </w:r>
          </w:p>
        </w:tc>
        <w:tc>
          <w:tcPr>
            <w:tcW w:w="2693" w:type="dxa"/>
            <w:tcBorders>
              <w:top w:val="nil"/>
              <w:bottom w:val="nil"/>
            </w:tcBorders>
          </w:tcPr>
          <w:p>
            <w:pPr>
              <w:pStyle w:val="nTable"/>
              <w:spacing w:after="40"/>
            </w:pPr>
            <w:r>
              <w:t>bl. 1 and 2: 19 Jun 2015 (see bl. 2(a));</w:t>
            </w:r>
            <w:r>
              <w:br/>
              <w:t>By-laws other than bl. 1 and 2: 1 Jul 2015 (see bl. 2(b))</w:t>
            </w:r>
          </w:p>
        </w:tc>
      </w:tr>
      <w:tr>
        <w:tc>
          <w:tcPr>
            <w:tcW w:w="7087" w:type="dxa"/>
            <w:gridSpan w:val="3"/>
            <w:tcBorders>
              <w:top w:val="nil"/>
              <w:bottom w:val="single" w:sz="8" w:space="0" w:color="auto"/>
            </w:tcBorders>
            <w:shd w:val="clear" w:color="auto" w:fill="auto"/>
          </w:tcPr>
          <w:p>
            <w:pPr>
              <w:pStyle w:val="nTable"/>
              <w:spacing w:after="40"/>
            </w:pPr>
            <w:r>
              <w:rPr>
                <w:b/>
              </w:rPr>
              <w:t xml:space="preserve">Reprint 1: The </w:t>
            </w:r>
            <w:r>
              <w:rPr>
                <w:b/>
                <w:i/>
                <w:noProof/>
              </w:rPr>
              <w:t>Fiona Stanley Hospital By-laws 2014</w:t>
            </w:r>
            <w:r>
              <w:rPr>
                <w:b/>
              </w:rPr>
              <w:t xml:space="preserve"> as at 15 Apr 2016</w:t>
            </w:r>
            <w:r>
              <w:t xml:space="preserve"> (includes amendments listed above)</w:t>
            </w:r>
          </w:p>
        </w:tc>
      </w:tr>
    </w:tbl>
    <w:p/>
    <w:p>
      <w:pPr>
        <w:sectPr>
          <w:headerReference w:type="even" r:id="rId31"/>
          <w:headerReference w:type="default" r:id="rId32"/>
          <w:headerReference w:type="first" r:id="rId33"/>
          <w:pgSz w:w="11907" w:h="16840" w:code="9"/>
          <w:pgMar w:top="2376" w:right="2404" w:bottom="3544" w:left="2404" w:header="720" w:footer="3379" w:gutter="0"/>
          <w:cols w:space="720"/>
          <w:noEndnote/>
          <w:docGrid w:linePitch="326"/>
        </w:sectPr>
      </w:pPr>
    </w:p>
    <w:p>
      <w:pPr>
        <w:pStyle w:val="nHeading2"/>
        <w:rPr>
          <w:sz w:val="28"/>
        </w:rPr>
      </w:pPr>
      <w:bookmarkStart w:id="65" w:name="_Toc449705176"/>
      <w:bookmarkStart w:id="66" w:name="_Toc450560720"/>
      <w:r>
        <w:rPr>
          <w:sz w:val="28"/>
        </w:rPr>
        <w:t>Defined terms</w:t>
      </w:r>
      <w:bookmarkEnd w:id="65"/>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26</w:t>
      </w:r>
    </w:p>
    <w:p>
      <w:pPr>
        <w:pStyle w:val="DefinedTerms"/>
      </w:pPr>
      <w:r>
        <w:t>approved</w:t>
      </w:r>
      <w:r>
        <w:tab/>
        <w:t>3(1)</w:t>
      </w:r>
    </w:p>
    <w:p>
      <w:pPr>
        <w:pStyle w:val="DefinedTerms"/>
      </w:pPr>
      <w:r>
        <w:t>authorised person</w:t>
      </w:r>
      <w:r>
        <w:tab/>
        <w:t>3(1)</w:t>
      </w:r>
    </w:p>
    <w:p>
      <w:pPr>
        <w:pStyle w:val="DefinedTerms"/>
      </w:pPr>
      <w:r>
        <w:t>board</w:t>
      </w:r>
      <w:r>
        <w:tab/>
        <w:t>3(1)</w:t>
      </w:r>
    </w:p>
    <w:p>
      <w:pPr>
        <w:pStyle w:val="DefinedTerms"/>
      </w:pPr>
      <w:r>
        <w:t>boom gate controlled ticket parking area</w:t>
      </w:r>
      <w:r>
        <w:tab/>
        <w:t>18(1)</w:t>
      </w:r>
    </w:p>
    <w:p>
      <w:pPr>
        <w:pStyle w:val="DefinedTerms"/>
      </w:pPr>
      <w:r>
        <w:t>chief executive officer</w:t>
      </w:r>
      <w:r>
        <w:tab/>
        <w:t>3(1)</w:t>
      </w:r>
    </w:p>
    <w:p>
      <w:pPr>
        <w:pStyle w:val="DefinedTerms"/>
      </w:pPr>
      <w:r>
        <w:t>committee</w:t>
      </w:r>
      <w:r>
        <w:tab/>
        <w:t>23A(1)</w:t>
      </w:r>
    </w:p>
    <w:p>
      <w:pPr>
        <w:pStyle w:val="DefinedTerms"/>
      </w:pPr>
      <w:r>
        <w:t>decision</w:t>
      </w:r>
      <w:r>
        <w:tab/>
        <w:t>23A(1)</w:t>
      </w:r>
    </w:p>
    <w:p>
      <w:pPr>
        <w:pStyle w:val="DefinedTerms"/>
      </w:pPr>
      <w:r>
        <w:t>driver</w:t>
      </w:r>
      <w:r>
        <w:tab/>
        <w:t>3(1)</w:t>
      </w:r>
    </w:p>
    <w:p>
      <w:pPr>
        <w:pStyle w:val="DefinedTerms"/>
      </w:pPr>
      <w:r>
        <w:t>eligible staff member</w:t>
      </w:r>
      <w:r>
        <w:tab/>
        <w:t>19(1)</w:t>
      </w:r>
    </w:p>
    <w:p>
      <w:pPr>
        <w:pStyle w:val="DefinedTerms"/>
      </w:pPr>
      <w:r>
        <w:t>Hospital</w:t>
      </w:r>
      <w:r>
        <w:tab/>
        <w:t>3(1)</w:t>
      </w:r>
    </w:p>
    <w:p>
      <w:pPr>
        <w:pStyle w:val="DefinedTerms"/>
      </w:pPr>
      <w:r>
        <w:t>infringement notice</w:t>
      </w:r>
      <w:r>
        <w:tab/>
        <w:t>26</w:t>
      </w:r>
    </w:p>
    <w:p>
      <w:pPr>
        <w:pStyle w:val="DefinedTerms"/>
      </w:pPr>
      <w:r>
        <w:t>modified penalty</w:t>
      </w:r>
      <w:r>
        <w:tab/>
        <w:t>26</w:t>
      </w:r>
    </w:p>
    <w:p>
      <w:pPr>
        <w:pStyle w:val="DefinedTerms"/>
      </w:pPr>
      <w:r>
        <w:t>officer or servant of the board</w:t>
      </w:r>
      <w:r>
        <w:tab/>
        <w:t>3(1)</w:t>
      </w:r>
    </w:p>
    <w:p>
      <w:pPr>
        <w:pStyle w:val="DefinedTerms"/>
      </w:pPr>
      <w:r>
        <w:t>paid staff parking area</w:t>
      </w:r>
      <w:r>
        <w:tab/>
        <w:t>19(1)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permission</w:t>
      </w:r>
      <w:r>
        <w:tab/>
        <w:t>3(2)</w:t>
      </w:r>
    </w:p>
    <w:p>
      <w:pPr>
        <w:pStyle w:val="DefinedTerms"/>
      </w:pPr>
      <w:r>
        <w:t>permit parking area</w:t>
      </w:r>
      <w:r>
        <w:tab/>
        <w:t>20(1)</w:t>
      </w:r>
    </w:p>
    <w:p>
      <w:pPr>
        <w:pStyle w:val="DefinedTerms"/>
      </w:pPr>
      <w:r>
        <w:t>prescribed fee</w:t>
      </w:r>
      <w:r>
        <w:tab/>
        <w:t>3(1)</w:t>
      </w:r>
    </w:p>
    <w:p>
      <w:pPr>
        <w:pStyle w:val="DefinedTerms"/>
      </w:pPr>
      <w:r>
        <w:t>prohibited item</w:t>
      </w:r>
      <w:r>
        <w:tab/>
        <w:t>6(1)</w:t>
      </w:r>
    </w:p>
    <w:p>
      <w:pPr>
        <w:pStyle w:val="DefinedTerms"/>
      </w:pPr>
      <w:r>
        <w:t>responsible person</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5(1), 16(1)</w:t>
      </w:r>
    </w:p>
    <w:p>
      <w:pPr>
        <w:pStyle w:val="DefinedTerms"/>
      </w:pPr>
      <w:r>
        <w:t>speed restriction sign</w:t>
      </w:r>
      <w:r>
        <w:tab/>
        <w:t>3(1)</w:t>
      </w:r>
    </w:p>
    <w:p>
      <w:pPr>
        <w:pStyle w:val="DefinedTerms"/>
      </w:pPr>
      <w:r>
        <w:t>ticket</w:t>
      </w:r>
      <w:r>
        <w:tab/>
        <w:t>3(1)</w:t>
      </w:r>
    </w:p>
    <w:p>
      <w:pPr>
        <w:pStyle w:val="DefinedTerms"/>
      </w:pPr>
      <w:r>
        <w:t>ticket parking area</w:t>
      </w:r>
      <w:r>
        <w:tab/>
        <w:t>18(1)</w:t>
      </w:r>
    </w:p>
    <w:p>
      <w:pPr>
        <w:pStyle w:val="DefinedTerms"/>
      </w:pPr>
      <w:r>
        <w:t>ticket vending machine</w:t>
      </w:r>
      <w:r>
        <w:tab/>
        <w:t>3(1)</w:t>
      </w:r>
    </w:p>
    <w:p>
      <w:pPr>
        <w:pStyle w:val="DefinedTerms"/>
      </w:pPr>
      <w:r>
        <w:t>vehicle</w:t>
      </w:r>
      <w:r>
        <w:tab/>
        <w:t>3(1)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851" w:right="851" w:bottom="312" w:left="2126" w:header="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8" w:name="Schedule"/>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fldChar w:fldCharType="begin"/>
          </w:r>
          <w:r>
            <w:instrText xml:space="preserve"> IF </w:instrText>
          </w:r>
          <w:r>
            <w:fldChar w:fldCharType="begin"/>
          </w:r>
          <w:r>
            <w:instrText xml:space="preserve"> StyleRef CharSClsNo </w:instrText>
          </w:r>
          <w:r>
            <w:fldChar w:fldCharType="separate"/>
          </w:r>
          <w:r>
            <w:instrText>Form 1</w:instrText>
          </w:r>
          <w:r>
            <w:fldChar w:fldCharType="end"/>
          </w:r>
          <w:r>
            <w:instrText xml:space="preserve">= "" </w:instrText>
          </w:r>
          <w:r>
            <w:fldChar w:fldCharType="begin"/>
          </w:r>
          <w:r>
            <w:instrText xml:space="preserve"> StyleRef CharSClsNo \n </w:instrText>
          </w:r>
          <w:r>
            <w:fldChar w:fldCharType="separate"/>
          </w:r>
          <w:r>
            <w:instrText>0</w:instrText>
          </w:r>
          <w:r>
            <w:fldChar w:fldCharType="end"/>
          </w:r>
          <w:r>
            <w:instrText xml:space="preserve"> </w:instrText>
          </w:r>
          <w:r>
            <w:fldChar w:fldCharType="begin"/>
          </w:r>
          <w:r>
            <w:instrText xml:space="preserve"> StyleRef CharSClsNo </w:instrText>
          </w:r>
          <w:r>
            <w:fldChar w:fldCharType="separate"/>
          </w:r>
          <w:r>
            <w:instrText>Form 1</w:instrText>
          </w:r>
          <w:r>
            <w:fldChar w:fldCharType="end"/>
          </w:r>
          <w:r>
            <w:instrText xml:space="preserve"> </w:instrText>
          </w:r>
          <w:r>
            <w:fldChar w:fldCharType="separate"/>
          </w:r>
          <w:r>
            <w:t>Form 1</w:t>
          </w:r>
          <w: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fldChar w:fldCharType="begin"/>
          </w:r>
          <w:r>
            <w:instrText xml:space="preserve"> IF </w:instrText>
          </w:r>
          <w:r>
            <w:fldChar w:fldCharType="begin"/>
          </w:r>
          <w:r>
            <w:instrText xml:space="preserve"> StyleRef CharSClsNo </w:instrText>
          </w:r>
          <w:r>
            <w:fldChar w:fldCharType="separate"/>
          </w:r>
          <w:r>
            <w:instrText>Form 1</w:instrText>
          </w:r>
          <w:r>
            <w:fldChar w:fldCharType="end"/>
          </w:r>
          <w:r>
            <w:instrText xml:space="preserve">= "" </w:instrText>
          </w:r>
          <w:r>
            <w:fldChar w:fldCharType="begin"/>
          </w:r>
          <w:r>
            <w:instrText xml:space="preserve"> StyleRef CharSClsNo \n </w:instrText>
          </w:r>
          <w:r>
            <w:fldChar w:fldCharType="separate"/>
          </w:r>
          <w:r>
            <w:instrText>0</w:instrText>
          </w:r>
          <w:r>
            <w:fldChar w:fldCharType="end"/>
          </w:r>
          <w:r>
            <w:instrText xml:space="preserve"> </w:instrText>
          </w:r>
          <w:r>
            <w:fldChar w:fldCharType="begin"/>
          </w:r>
          <w:r>
            <w:instrText xml:space="preserve"> StyleRef CharSClsNo </w:instrText>
          </w:r>
          <w:r>
            <w:fldChar w:fldCharType="separate"/>
          </w:r>
          <w:r>
            <w:instrText>Form 1</w:instrText>
          </w:r>
          <w:r>
            <w:fldChar w:fldCharType="end"/>
          </w:r>
          <w:r>
            <w:instrText xml:space="preserve"> </w:instrText>
          </w:r>
          <w:r>
            <w:fldChar w:fldCharType="separate"/>
          </w:r>
          <w:r>
            <w:t>Form 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5</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6EE0E93"/>
    <w:multiLevelType w:val="multilevel"/>
    <w:tmpl w:val="E666623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08113145"/>
    <w:docVar w:name="WAFER_20131219095808" w:val="RemoveTocBookmarks,RemoveUnusedBookmarks,RemoveLanguageTags,UsedStyles,ResetPageSize"/>
    <w:docVar w:name="WAFER_20131219095808_GUID" w:val="b1c89aed-3293-4f20-b89b-cfe1e86a7189"/>
    <w:docVar w:name="WAFER_20140107162458" w:val="RemoveTocBookmarks,RemoveUnusedBookmarks,RemoveLanguageTags,UsedStyles,ResetPageSize,ResetListTemplates"/>
    <w:docVar w:name="WAFER_20140107162458_GUID" w:val="afbbcc70-8409-48a1-bd4b-e199ea902e8a"/>
    <w:docVar w:name="WAFER_20140107162529" w:val="RemoveTocBookmarks,RemoveUnusedBookmarks,RemoveLanguageTags,UsedStyles,ResetPageSize"/>
    <w:docVar w:name="WAFER_20140107162529_GUID" w:val="07672565-e835-4eab-aba6-c1d52a6c6c6f"/>
    <w:docVar w:name="WAFER_20140605130822" w:val="RemoveTocBookmarks,RemoveUnusedBookmarks,RemoveLanguageTags,UsedStyles,ResetPageSize"/>
    <w:docVar w:name="WAFER_20140605130822_GUID" w:val="66c9ce03-86d1-4312-826c-34b76c414135"/>
    <w:docVar w:name="WAFER_20140606100702" w:val="RemoveTocBookmarks,RemoveUnusedBookmarks,RemoveLanguageTags,UsedStyles,ResetPageSize"/>
    <w:docVar w:name="WAFER_20140606100702_GUID" w:val="aee5f469-b3af-4e13-8712-0616ebb8689e"/>
    <w:docVar w:name="WAFER_20141009170652" w:val="RemoveTocBookmarks,RemoveUnusedBookmarks,RemoveLanguageTags,UsedStyles,ResetPageSize"/>
    <w:docVar w:name="WAFER_20141009170652_GUID" w:val="86be1d81-0f1b-4715-8497-a33ab64df618"/>
    <w:docVar w:name="WAFER_20150109114648" w:val="RemoveTocBookmarks,RunningHeaders"/>
    <w:docVar w:name="WAFER_20150109114648_GUID" w:val="c74dda9e-f440-4dcb-b2a0-fdea9b178cac"/>
    <w:docVar w:name="WAFER_20150413123553" w:val="ResetPageSize,UpdateArrangement,UpdateNTable"/>
    <w:docVar w:name="WAFER_20150413123553_GUID" w:val="eb7608cc-b7c7-4a4f-bb91-439c4242403c"/>
    <w:docVar w:name="WAFER_20151021152720" w:val="RemoveTocBookmarks,RemoveUnusedBookmarks,RemoveLanguageTags,UsedStyles,ResetPageSize,RemoveCustomizations,UpdateArrangement,UpdateNTable"/>
    <w:docVar w:name="WAFER_20151021152720_GUID" w:val="d4720a75-1071-4556-bb85-8b1d674a58b0"/>
    <w:docVar w:name="WAFER_20151103100247" w:val="UpdateStyles,UsedStyles"/>
    <w:docVar w:name="WAFER_20151103100247_GUID" w:val="082c888c-5117-40b6-bc28-e6d349b03190"/>
    <w:docVar w:name="WAFER_20151105112812" w:val="UsedStyles"/>
    <w:docVar w:name="WAFER_20151105112812_GUID" w:val="79695826-e1fa-4ad3-a73b-35652b2bf5c6"/>
    <w:docVar w:name="WAFER_20160308113145" w:val="RemoveTocBookmarks,RemoveUnusedBookmarks,RemoveLanguageTags,UsedStyles,RemoveTrackChanges"/>
    <w:docVar w:name="WAFER_20160308113145_GUID" w:val="31624bcc-8734-4fcd-bc6f-8740dd5a28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6638</Words>
  <Characters>31730</Characters>
  <Application>Microsoft Office Word</Application>
  <DocSecurity>0</DocSecurity>
  <Lines>1057</Lines>
  <Paragraphs>737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Fiona Stanley Hospital By-laws 2014 - 01-a0-00</dc:title>
  <dc:subject/>
  <dc:creator/>
  <cp:keywords/>
  <dc:description/>
  <cp:lastModifiedBy>svcMRProcess</cp:lastModifiedBy>
  <cp:revision>4</cp:revision>
  <cp:lastPrinted>2016-04-29T07:09:00Z</cp:lastPrinted>
  <dcterms:created xsi:type="dcterms:W3CDTF">2018-09-19T08:34:00Z</dcterms:created>
  <dcterms:modified xsi:type="dcterms:W3CDTF">2018-09-19T08:34:00Z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 2014 p 3701-30</vt:lpwstr>
  </property>
  <property fmtid="{D5CDD505-2E9C-101B-9397-08002B2CF9AE}" pid="3" name="OWLSUId">
    <vt:i4>356</vt:i4>
  </property>
  <property fmtid="{D5CDD505-2E9C-101B-9397-08002B2CF9AE}" pid="4" name="DocumentType">
    <vt:lpwstr>Reg</vt:lpwstr>
  </property>
  <property fmtid="{D5CDD505-2E9C-101B-9397-08002B2CF9AE}" pid="5" name="CommencementDate">
    <vt:lpwstr>20160415</vt:lpwstr>
  </property>
  <property fmtid="{D5CDD505-2E9C-101B-9397-08002B2CF9AE}" pid="6" name="ReprintedAsAt">
    <vt:filetime>2016-04-14T16:00:00Z</vt:filetime>
  </property>
  <property fmtid="{D5CDD505-2E9C-101B-9397-08002B2CF9AE}" pid="7" name="ReprintNo">
    <vt:lpwstr>1</vt:lpwstr>
  </property>
  <property fmtid="{D5CDD505-2E9C-101B-9397-08002B2CF9AE}" pid="8" name="AsAtDate">
    <vt:lpwstr>15 Apr 2016</vt:lpwstr>
  </property>
  <property fmtid="{D5CDD505-2E9C-101B-9397-08002B2CF9AE}" pid="9" name="Suffix">
    <vt:lpwstr>01-a0-00</vt:lpwstr>
  </property>
</Properties>
</file>