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Credit Act 1984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Credit (Regulation of Loan Contracts) Regulations 1993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Credit (Regulation of Loan Contracts) Regulations 1993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rPr>
          <w:snapToGrid w:val="0"/>
        </w:rPr>
        <w:t>1.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_Toc415664478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2.</w:t>
      </w:r>
      <w:r>
        <w:rPr>
          <w:snapToGrid w:val="0"/>
        </w:rPr>
        <w:tab/>
        <w:t>Annual or acceptable rate of loan contracts</w:t>
      </w:r>
      <w:r>
        <w:tab/>
      </w:r>
      <w:r>
        <w:fldChar w:fldCharType="begin"/>
      </w:r>
      <w:r>
        <w:instrText xml:space="preserve"> PAGEREF _Toc415664479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_Toc415664481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Credit Act 1984</w:t>
      </w:r>
    </w:p>
    <w:p>
      <w:pPr>
        <w:pStyle w:val="NameofActReg"/>
      </w:pPr>
      <w:r>
        <w:t>Credit (Regulation of Loan Contracts) Regulations 1993</w:t>
      </w:r>
    </w:p>
    <w:p>
      <w:pPr>
        <w:pStyle w:val="Heading5"/>
        <w:rPr>
          <w:snapToGrid w:val="0"/>
        </w:rPr>
      </w:pPr>
      <w:bookmarkStart w:id="3" w:name="_Toc378152597"/>
      <w:bookmarkStart w:id="4" w:name="_Toc415664478"/>
      <w:r>
        <w:rPr>
          <w:snapToGrid w:val="0"/>
        </w:rPr>
        <w:t>1.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Credit (Regulation of Loan Contracts) Regulations 1993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152598"/>
      <w:bookmarkStart w:id="6" w:name="_Toc415664479"/>
      <w:r>
        <w:rPr>
          <w:snapToGrid w:val="0"/>
        </w:rPr>
        <w:t>2.</w:t>
      </w:r>
      <w:r>
        <w:rPr>
          <w:snapToGrid w:val="0"/>
        </w:rPr>
        <w:tab/>
        <w:t>Annual or acceptable rate of loan contracts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 case of a loan contract made after 1 February 1993, for the purposes of section 30(2)(b) and (c) of the Act the lesser rate prescribed shall be 8%.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378152599"/>
      <w:bookmarkStart w:id="8" w:name="_Toc415664349"/>
      <w:bookmarkStart w:id="9" w:name="_Toc415664480"/>
      <w:r>
        <w:t>Notes</w:t>
      </w:r>
      <w:bookmarkEnd w:id="7"/>
      <w:bookmarkEnd w:id="8"/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2 April 2004 of the </w:t>
      </w:r>
      <w:r>
        <w:rPr>
          <w:i/>
          <w:noProof/>
          <w:snapToGrid w:val="0"/>
        </w:rPr>
        <w:t>Credit (Regulation of Loan Contracts) Regulations 1993</w:t>
      </w:r>
      <w:r>
        <w:rPr>
          <w:snapToGrid w:val="0"/>
        </w:rPr>
        <w:t xml:space="preserve">.  The following table contains information about those regulations and any reprint. </w:t>
      </w:r>
    </w:p>
    <w:p>
      <w:pPr>
        <w:pStyle w:val="nHeading3"/>
        <w:rPr>
          <w:snapToGrid w:val="0"/>
        </w:rPr>
      </w:pPr>
      <w:bookmarkStart w:id="10" w:name="_Toc378152600"/>
      <w:bookmarkStart w:id="11" w:name="_Toc415664481"/>
      <w:r>
        <w:rPr>
          <w:snapToGrid w:val="0"/>
        </w:rPr>
        <w:t>Compilation table</w:t>
      </w:r>
      <w:bookmarkEnd w:id="10"/>
      <w:bookmarkEnd w:id="11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Credit (Regulation of Loan Contracts) Regulations 1993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29 Jan 1993 p. 858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29 Jan 1993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</w:tcBorders>
          </w:tcPr>
          <w:p>
            <w:pPr>
              <w:pStyle w:val="nTable"/>
              <w:spacing w:after="40"/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Credit (Regulation of Loan Contracts) Regulations 1993</w:t>
            </w:r>
            <w:r>
              <w:rPr>
                <w:b/>
                <w:bCs/>
                <w:iCs/>
              </w:rPr>
              <w:t xml:space="preserve"> as at 2 Apr 2004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Apr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Apr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Apr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Apr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Apr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Apr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Credit (Regulation of Loan Contracts)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Credit (Regulation of Loan Contracts)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Credit (Regulation of Loan Contracts)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Credit (Regulation of Loan Contracts)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Credit (Regulation of Loan Contracts)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Credit (Regulation of Loan Contracts)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D1879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62823"/>
    <w:docVar w:name="WAFER_20140122095431" w:val="RemoveTocBookmarks,RemoveUnusedBookmarks,RemoveLanguageTags,UsedStyles,ResetPageSize,UpdateArrangement"/>
    <w:docVar w:name="WAFER_20140122095431_GUID" w:val="1d4b54f9-8ec3-495b-bffa-f37cc69a5fcb"/>
    <w:docVar w:name="WAFER_20140122110855" w:val="RemoveTocBookmarks,RunningHeaders"/>
    <w:docVar w:name="WAFER_20140122110855_GUID" w:val="9dd1b801-81cf-44f4-b6ce-4d72c8caa412"/>
    <w:docVar w:name="WAFER_20150401150844" w:val="ResetPageSize,UpdateArrangement,UpdateNTable"/>
    <w:docVar w:name="WAFER_20150401150844_GUID" w:val="501d30dd-aa20-4ecb-9d58-167ab5ca5fa9"/>
    <w:docVar w:name="WAFER_20151102162823" w:val="UpdateStyles,UsedStyles"/>
    <w:docVar w:name="WAFER_20151102162823_GUID" w:val="a0a7f48a-9a4f-4a1c-8823-74025352b61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</Words>
  <Characters>1343</Characters>
  <Application>Microsoft Office Word</Application>
  <DocSecurity>0</DocSecurity>
  <Lines>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1552</CharactersWithSpaces>
  <SharedDoc>false</SharedDoc>
  <HLinks>
    <vt:vector size="12" baseType="variant">
      <vt:variant>
        <vt:i4>65542</vt:i4>
      </vt:variant>
      <vt:variant>
        <vt:i4>1675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(Regulation of Loan Contracts) Regulations 1993 - 01-a0-09</dc:title>
  <dc:subject/>
  <dc:creator/>
  <cp:keywords/>
  <dc:description/>
  <cp:lastModifiedBy>svcMRProcess</cp:lastModifiedBy>
  <cp:revision>4</cp:revision>
  <cp:lastPrinted>2004-03-18T00:52:00Z</cp:lastPrinted>
  <dcterms:created xsi:type="dcterms:W3CDTF">2019-01-15T07:10:00Z</dcterms:created>
  <dcterms:modified xsi:type="dcterms:W3CDTF">2019-01-15T07:10:00Z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January 1993 p.858</vt:lpwstr>
  </property>
  <property fmtid="{D5CDD505-2E9C-101B-9397-08002B2CF9AE}" pid="3" name="CommencementDate">
    <vt:lpwstr>20040402</vt:lpwstr>
  </property>
  <property fmtid="{D5CDD505-2E9C-101B-9397-08002B2CF9AE}" pid="4" name="DocumentType">
    <vt:lpwstr>Reg</vt:lpwstr>
  </property>
  <property fmtid="{D5CDD505-2E9C-101B-9397-08002B2CF9AE}" pid="5" name="OwlsUID">
    <vt:i4>4379</vt:i4>
  </property>
  <property fmtid="{D5CDD505-2E9C-101B-9397-08002B2CF9AE}" pid="6" name="ReprintedAsAt">
    <vt:filetime>2004-04-01T16:00:00Z</vt:filetime>
  </property>
  <property fmtid="{D5CDD505-2E9C-101B-9397-08002B2CF9AE}" pid="7" name="ReprintNo">
    <vt:lpwstr/>
  </property>
  <property fmtid="{D5CDD505-2E9C-101B-9397-08002B2CF9AE}" pid="8" name="AsAtDate">
    <vt:lpwstr>02 Apr 2004</vt:lpwstr>
  </property>
  <property fmtid="{D5CDD505-2E9C-101B-9397-08002B2CF9AE}" pid="9" name="Suffix">
    <vt:lpwstr>01-a0-09</vt:lpwstr>
  </property>
</Properties>
</file>