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(South West Native Title Settlement)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_Toc451349208 \h </w:instrText>
      </w:r>
      <w:r>
        <w:fldChar w:fldCharType="separate"/>
      </w:r>
      <w:r>
        <w:t>5</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_Toc451349209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_Toc451349211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_Toc451349212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Land Administration (South West Native Title Settlement) Act 2016</w:t>
      </w:r>
    </w:p>
    <w:p>
      <w:pPr>
        <w:pStyle w:val="LongTitle"/>
        <w:suppressLineNumbers/>
      </w:pPr>
      <w:bookmarkStart w:id="3" w:name="BillCited"/>
      <w:bookmarkEnd w:id="3"/>
      <w:r>
        <w:t xml:space="preserve">An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23"/>
          <w:headerReference w:type="default" r:id="rId24"/>
          <w:footerReference w:type="even" r:id="rId25"/>
          <w:footerReference w:type="default" r:id="rId26"/>
          <w:endnotePr>
            <w:numFmt w:val="decimal"/>
          </w:endnotePr>
          <w:pgSz w:w="11907" w:h="16840" w:code="9"/>
          <w:pgMar w:top="2381" w:right="2410" w:bottom="3544" w:left="2410" w:header="720" w:footer="3544" w:gutter="0"/>
          <w:cols w:space="720"/>
          <w:titlePg/>
          <w:docGrid w:linePitch="326"/>
        </w:sectPr>
      </w:pPr>
      <w:bookmarkStart w:id="4" w:name="_Toc451347500"/>
    </w:p>
    <w:p>
      <w:pPr>
        <w:pStyle w:val="Heading2"/>
      </w:pPr>
      <w:bookmarkStart w:id="5" w:name="_Toc451349207"/>
      <w:r>
        <w:rPr>
          <w:rStyle w:val="CharPartNo"/>
        </w:rPr>
        <w:t>Part 1</w:t>
      </w:r>
      <w:r>
        <w:rPr>
          <w:rStyle w:val="CharDivNo"/>
        </w:rPr>
        <w:t> </w:t>
      </w:r>
      <w:r>
        <w:t>—</w:t>
      </w:r>
      <w:r>
        <w:rPr>
          <w:rStyle w:val="CharDivText"/>
        </w:rPr>
        <w:t> </w:t>
      </w:r>
      <w:r>
        <w:rPr>
          <w:rStyle w:val="CharPartText"/>
        </w:rPr>
        <w:t>Preliminary matters</w:t>
      </w:r>
      <w:bookmarkEnd w:id="4"/>
      <w:bookmarkEnd w:id="5"/>
    </w:p>
    <w:p>
      <w:pPr>
        <w:pStyle w:val="Heading5"/>
      </w:pPr>
      <w:bookmarkStart w:id="6" w:name="_Toc451349208"/>
      <w:r>
        <w:rPr>
          <w:rStyle w:val="CharSectno"/>
        </w:rPr>
        <w:t>1</w:t>
      </w:r>
      <w:r>
        <w:t>.</w:t>
      </w:r>
      <w:r>
        <w:tab/>
        <w:t>Short title</w:t>
      </w:r>
      <w:bookmarkEnd w:id="6"/>
      <w:r>
        <w:t xml:space="preserve"> </w:t>
      </w:r>
    </w:p>
    <w:p>
      <w:pPr>
        <w:pStyle w:val="Subsection"/>
      </w:pPr>
      <w:r>
        <w:tab/>
      </w:r>
      <w:r>
        <w:tab/>
        <w:t>This is the</w:t>
      </w:r>
      <w:r>
        <w:rPr>
          <w:i/>
        </w:rPr>
        <w:t xml:space="preserve"> Land Administration (South West Native Title Settlement) Act 2016</w:t>
      </w:r>
      <w:r>
        <w:t>.</w:t>
      </w:r>
    </w:p>
    <w:p>
      <w:pPr>
        <w:pStyle w:val="Heading5"/>
      </w:pPr>
      <w:bookmarkStart w:id="7" w:name="_Toc451349209"/>
      <w:r>
        <w:rPr>
          <w:rStyle w:val="CharSectno"/>
        </w:rPr>
        <w:t>2</w:t>
      </w:r>
      <w:r>
        <w:t>.</w:t>
      </w:r>
      <w:r>
        <w:tab/>
        <w:t>Commencement</w:t>
      </w:r>
      <w:bookmarkEnd w:id="7"/>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rPr>
        <w:t>3</w:t>
      </w:r>
      <w:r>
        <w:rPr>
          <w:b/>
        </w:rPr>
        <w:noBreakHyphen/>
        <w:t>7.</w:t>
      </w:r>
      <w:r>
        <w:rPr>
          <w:b/>
        </w:rPr>
        <w:tab/>
      </w:r>
      <w:r>
        <w:t>Have not come into operation </w:t>
      </w:r>
      <w:r>
        <w:rPr>
          <w:i w:val="0"/>
          <w:vertAlign w:val="superscript"/>
        </w:rPr>
        <w:t>2</w:t>
      </w:r>
      <w:r>
        <w:t>.]</w:t>
      </w:r>
    </w:p>
    <w:p>
      <w:pPr>
        <w:pStyle w:val="Ednotepart"/>
      </w:pPr>
      <w:r>
        <w:t>[Parts 2</w:t>
      </w:r>
      <w:r>
        <w:noBreakHyphen/>
        <w:t>7 have not come into operation </w:t>
      </w:r>
      <w:r>
        <w:rPr>
          <w:vertAlign w:val="superscript"/>
        </w:rPr>
        <w:t>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8" w:name="_Toc451349210"/>
      <w:r>
        <w:t>Notes</w:t>
      </w:r>
      <w:bookmarkEnd w:id="8"/>
    </w:p>
    <w:p>
      <w:pPr>
        <w:pStyle w:val="nSubsection"/>
      </w:pPr>
      <w:r>
        <w:rPr>
          <w:vertAlign w:val="superscript"/>
        </w:rPr>
        <w:t>1</w:t>
      </w:r>
      <w:r>
        <w:tab/>
        <w:t xml:space="preserve">This is a compilation of the </w:t>
      </w:r>
      <w:r>
        <w:rPr>
          <w:i/>
          <w:noProof/>
        </w:rPr>
        <w:t>Land Administration (South West Native Title Settlement) Act 2016</w:t>
      </w:r>
      <w:r>
        <w:rPr>
          <w:noProof/>
        </w:rPr>
        <w:t> </w:t>
      </w:r>
      <w:r>
        <w:rPr>
          <w:noProof/>
          <w:vertAlign w:val="superscript"/>
        </w:rPr>
        <w:t>1a</w:t>
      </w:r>
      <w:r>
        <w:t>.  The following table contains information about that Act.</w:t>
      </w:r>
    </w:p>
    <w:p>
      <w:pPr>
        <w:pStyle w:val="nHeading3"/>
      </w:pPr>
      <w:bookmarkStart w:id="9" w:name="_Toc451349211"/>
      <w:r>
        <w:t>Compilation table</w:t>
      </w:r>
      <w:bookmarkEnd w:id="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Land Administration (South West Native Title Settlement) Act 2016</w:t>
            </w:r>
            <w:r>
              <w:rPr>
                <w:noProof/>
              </w:rPr>
              <w:t xml:space="preserve"> s. 1 and 2</w:t>
            </w:r>
          </w:p>
        </w:tc>
        <w:tc>
          <w:tcPr>
            <w:tcW w:w="1134" w:type="dxa"/>
          </w:tcPr>
          <w:p>
            <w:pPr>
              <w:pStyle w:val="nTable"/>
              <w:spacing w:after="40"/>
            </w:pPr>
            <w:r>
              <w:t>10 of 2016</w:t>
            </w:r>
          </w:p>
        </w:tc>
        <w:tc>
          <w:tcPr>
            <w:tcW w:w="1134" w:type="dxa"/>
          </w:tcPr>
          <w:p>
            <w:pPr>
              <w:pStyle w:val="nTable"/>
              <w:spacing w:after="40"/>
            </w:pPr>
            <w:r>
              <w:t>16 May 2016</w:t>
            </w:r>
          </w:p>
        </w:tc>
        <w:tc>
          <w:tcPr>
            <w:tcW w:w="2552" w:type="dxa"/>
          </w:tcPr>
          <w:p>
            <w:pPr>
              <w:pStyle w:val="nTable"/>
              <w:spacing w:after="40"/>
            </w:pPr>
            <w:r>
              <w:t>16 May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 w:name="_Toc451349212"/>
      <w:r>
        <w:t>Provisions that have not come into operation</w:t>
      </w:r>
      <w:bookmarkEnd w:id="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Land Administration (South West Native Title Settlement) Act 2016</w:t>
            </w:r>
            <w:r>
              <w:rPr>
                <w:noProof/>
              </w:rPr>
              <w:t xml:space="preserve"> s. 3</w:t>
            </w:r>
            <w:r>
              <w:rPr>
                <w:noProof/>
              </w:rPr>
              <w:noBreakHyphen/>
              <w:t>7 and Pt. 2</w:t>
            </w:r>
            <w:r>
              <w:rPr>
                <w:noProof/>
              </w:rPr>
              <w:noBreakHyphen/>
              <w:t>6 </w:t>
            </w:r>
            <w:r>
              <w:rPr>
                <w:noProof/>
                <w:vertAlign w:val="superscript"/>
              </w:rPr>
              <w:t>2</w:t>
            </w:r>
          </w:p>
        </w:tc>
        <w:tc>
          <w:tcPr>
            <w:tcW w:w="1134" w:type="dxa"/>
          </w:tcPr>
          <w:p>
            <w:pPr>
              <w:pStyle w:val="nTable"/>
              <w:spacing w:after="40"/>
            </w:pPr>
            <w:r>
              <w:t>10 of 2016</w:t>
            </w:r>
          </w:p>
        </w:tc>
        <w:tc>
          <w:tcPr>
            <w:tcW w:w="1134" w:type="dxa"/>
          </w:tcPr>
          <w:p>
            <w:pPr>
              <w:pStyle w:val="nTable"/>
              <w:spacing w:after="40"/>
            </w:pPr>
            <w:r>
              <w:t>16 May 2016</w:t>
            </w:r>
          </w:p>
        </w:tc>
        <w:tc>
          <w:tcPr>
            <w:tcW w:w="2552" w:type="dxa"/>
          </w:tcPr>
          <w:p>
            <w:pPr>
              <w:pStyle w:val="nTable"/>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Land Administration (South West Native Title Settlement) Act 2016 </w:t>
      </w:r>
      <w:r>
        <w:t xml:space="preserve">s. 3-7 and Pt. 2-6 </w:t>
      </w:r>
      <w:r>
        <w:rPr>
          <w:snapToGrid w:val="0"/>
        </w:rPr>
        <w:t>had not come into operation.  They read as follows:</w:t>
      </w:r>
    </w:p>
    <w:p>
      <w:pPr>
        <w:pStyle w:val="BlankOpen"/>
      </w:pPr>
    </w:p>
    <w:p>
      <w:pPr>
        <w:pStyle w:val="nzHeading5"/>
      </w:pPr>
      <w:bookmarkStart w:id="11" w:name="_Toc451247514"/>
      <w:bookmarkStart w:id="12" w:name="_Toc451250455"/>
      <w:r>
        <w:rPr>
          <w:rStyle w:val="CharSectno"/>
        </w:rPr>
        <w:t>3</w:t>
      </w:r>
      <w:r>
        <w:t>.</w:t>
      </w:r>
      <w:r>
        <w:tab/>
        <w:t>Terms used</w:t>
      </w:r>
      <w:bookmarkEnd w:id="11"/>
      <w:bookmarkEnd w:id="12"/>
      <w:r>
        <w:t xml:space="preserve"> </w:t>
      </w:r>
    </w:p>
    <w:p>
      <w:pPr>
        <w:pStyle w:val="nzSubsection"/>
      </w:pPr>
      <w:r>
        <w:tab/>
      </w:r>
      <w:r>
        <w:tab/>
        <w:t xml:space="preserve">In this Act, unless the contrary intention appears — </w:t>
      </w:r>
    </w:p>
    <w:p>
      <w:pPr>
        <w:pStyle w:val="nzDefstart"/>
      </w:pPr>
      <w:r>
        <w:tab/>
      </w:r>
      <w:r>
        <w:rPr>
          <w:rStyle w:val="CharDefText"/>
        </w:rPr>
        <w:t>Aboriginal Customary Purpose</w:t>
      </w:r>
      <w:r>
        <w:t xml:space="preserve"> has the meaning given in the settlement terms Annexure O clause 1.1;</w:t>
      </w:r>
    </w:p>
    <w:p>
      <w:pPr>
        <w:pStyle w:val="nzDefstart"/>
      </w:pPr>
      <w:r>
        <w:tab/>
      </w:r>
      <w:r>
        <w:rPr>
          <w:rStyle w:val="CharDefText"/>
        </w:rPr>
        <w:t>Crown land</w:t>
      </w:r>
      <w:r>
        <w:t xml:space="preserve"> has the meaning given in the LAA section 3(1);</w:t>
      </w:r>
    </w:p>
    <w:p>
      <w:pPr>
        <w:pStyle w:val="nzDefstart"/>
      </w:pPr>
      <w:r>
        <w:tab/>
      </w:r>
      <w:r>
        <w:rPr>
          <w:rStyle w:val="CharDefText"/>
        </w:rPr>
        <w:t>LAA</w:t>
      </w:r>
      <w:r>
        <w:t xml:space="preserve"> means the </w:t>
      </w:r>
      <w:r>
        <w:rPr>
          <w:i/>
        </w:rPr>
        <w:t>Land Administration Act 1997</w:t>
      </w:r>
      <w:r>
        <w:t>;</w:t>
      </w:r>
    </w:p>
    <w:p>
      <w:pPr>
        <w:pStyle w:val="nzDefstart"/>
      </w:pPr>
      <w:r>
        <w:tab/>
      </w:r>
      <w:r>
        <w:rPr>
          <w:rStyle w:val="CharDefText"/>
        </w:rPr>
        <w:t>land access licence</w:t>
      </w:r>
      <w:r>
        <w:t xml:space="preserve"> means a licence in force under the LAA section 91 because of the operation of Part 4;</w:t>
      </w:r>
    </w:p>
    <w:p>
      <w:pPr>
        <w:pStyle w:val="nzDefstart"/>
      </w:pPr>
      <w:r>
        <w:tab/>
      </w:r>
      <w:r>
        <w:rPr>
          <w:rStyle w:val="CharDefText"/>
        </w:rPr>
        <w:t>Land Base Strategy</w:t>
      </w:r>
      <w:r>
        <w:t xml:space="preserve"> has the meaning given in the settlement terms clause 1.3;</w:t>
      </w:r>
    </w:p>
    <w:p>
      <w:pPr>
        <w:pStyle w:val="nzDefstart"/>
      </w:pPr>
      <w:r>
        <w:tab/>
      </w:r>
      <w:r>
        <w:rPr>
          <w:rStyle w:val="CharDefText"/>
        </w:rPr>
        <w:t>Land Sub</w:t>
      </w:r>
      <w:r>
        <w:t xml:space="preserve"> has the meaning given in the settlement terms clause 1.3;</w:t>
      </w:r>
    </w:p>
    <w:p>
      <w:pPr>
        <w:pStyle w:val="nz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nzDefstart"/>
      </w:pPr>
      <w:r>
        <w:tab/>
      </w:r>
      <w:r>
        <w:rPr>
          <w:rStyle w:val="CharDefText"/>
        </w:rPr>
        <w:t>Licence Area</w:t>
      </w:r>
      <w:r>
        <w:t xml:space="preserve"> has the meaning given in the settlement terms Annexure O clause 1.1;</w:t>
      </w:r>
    </w:p>
    <w:p>
      <w:pPr>
        <w:pStyle w:val="nzDefstart"/>
      </w:pPr>
      <w:r>
        <w:tab/>
      </w:r>
      <w:r>
        <w:rPr>
          <w:rStyle w:val="CharDefText"/>
        </w:rPr>
        <w:t>Licensee</w:t>
      </w:r>
      <w:r>
        <w:t xml:space="preserve"> has the same meaning as in the settlement terms Annexure O;</w:t>
      </w:r>
    </w:p>
    <w:p>
      <w:pPr>
        <w:pStyle w:val="nzDefstart"/>
      </w:pPr>
      <w:r>
        <w:tab/>
      </w:r>
      <w:r>
        <w:rPr>
          <w:rStyle w:val="CharDefText"/>
        </w:rPr>
        <w:t>Licensee’s Agents</w:t>
      </w:r>
      <w:r>
        <w:t xml:space="preserve"> has the meaning given in the settlement terms Annexure O clause 1.1;</w:t>
      </w:r>
    </w:p>
    <w:p>
      <w:pPr>
        <w:pStyle w:val="nzDefstart"/>
      </w:pPr>
      <w:r>
        <w:tab/>
      </w:r>
      <w:r>
        <w:rPr>
          <w:rStyle w:val="CharDefText"/>
        </w:rPr>
        <w:t>Licensee’s Members</w:t>
      </w:r>
      <w:r>
        <w:t xml:space="preserve"> has the meaning given in the settlement terms Annexure O clause 1.1;</w:t>
      </w:r>
    </w:p>
    <w:p>
      <w:pPr>
        <w:pStyle w:val="nzDefstart"/>
      </w:pPr>
      <w:r>
        <w:tab/>
      </w:r>
      <w:r>
        <w:rPr>
          <w:rStyle w:val="CharDefText"/>
        </w:rPr>
        <w:t>management order</w:t>
      </w:r>
      <w:r>
        <w:t xml:space="preserve"> means an order made under the LAA section 46(1) placing the care, control and management of a reserve with the Land Sub;</w:t>
      </w:r>
    </w:p>
    <w:p>
      <w:pPr>
        <w:pStyle w:val="nzDefstart"/>
      </w:pPr>
      <w:r>
        <w:tab/>
      </w:r>
      <w:r>
        <w:rPr>
          <w:rStyle w:val="CharDefText"/>
        </w:rPr>
        <w:t>Minister for Lands</w:t>
      </w:r>
      <w:r>
        <w:t xml:space="preserve"> means the Minister as defined in the LAA section 3(1);</w:t>
      </w:r>
    </w:p>
    <w:p>
      <w:pPr>
        <w:pStyle w:val="nzDefstart"/>
      </w:pPr>
      <w:r>
        <w:tab/>
      </w:r>
      <w:r>
        <w:rPr>
          <w:rStyle w:val="CharDefText"/>
        </w:rPr>
        <w:t>Noongar Land Estate</w:t>
      </w:r>
      <w:r>
        <w:t xml:space="preserve"> has the meaning given in the settlement terms clause 1.3;</w:t>
      </w:r>
    </w:p>
    <w:p>
      <w:pPr>
        <w:pStyle w:val="nz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nzDefstart"/>
      </w:pPr>
      <w:r>
        <w:tab/>
      </w:r>
      <w:r>
        <w:rPr>
          <w:rStyle w:val="CharDefText"/>
        </w:rPr>
        <w:t>reserve</w:t>
      </w:r>
      <w:r>
        <w:t xml:space="preserve"> has the meaning given in the LAA section 3(1);</w:t>
      </w:r>
    </w:p>
    <w:p>
      <w:pPr>
        <w:pStyle w:val="nz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nzDefpara"/>
      </w:pPr>
      <w:r>
        <w:tab/>
        <w:t>(a)</w:t>
      </w:r>
      <w:r>
        <w:tab/>
        <w:t>Ballardong People Indigenous Land Use Agreement;</w:t>
      </w:r>
    </w:p>
    <w:p>
      <w:pPr>
        <w:pStyle w:val="nzDefpara"/>
      </w:pPr>
      <w:r>
        <w:tab/>
        <w:t>(b)</w:t>
      </w:r>
      <w:r>
        <w:tab/>
        <w:t>Gnaala Karla Booja Indigenous Land Use Agreement;</w:t>
      </w:r>
    </w:p>
    <w:p>
      <w:pPr>
        <w:pStyle w:val="nzDefpara"/>
      </w:pPr>
      <w:r>
        <w:tab/>
        <w:t>(c)</w:t>
      </w:r>
      <w:r>
        <w:tab/>
        <w:t>South West Boojarah #2 Indigenous Land Use Agreement;</w:t>
      </w:r>
    </w:p>
    <w:p>
      <w:pPr>
        <w:pStyle w:val="nzDefpara"/>
      </w:pPr>
      <w:r>
        <w:tab/>
        <w:t>(d)</w:t>
      </w:r>
      <w:r>
        <w:tab/>
        <w:t>Wagyl Kaip &amp; Southern Noongar Indigenous Land Use Agreement;</w:t>
      </w:r>
    </w:p>
    <w:p>
      <w:pPr>
        <w:pStyle w:val="nzDefpara"/>
      </w:pPr>
      <w:r>
        <w:tab/>
        <w:t>(e)</w:t>
      </w:r>
      <w:r>
        <w:tab/>
        <w:t>Whadjuk People Indigenous Land Use Agreement;</w:t>
      </w:r>
    </w:p>
    <w:p>
      <w:pPr>
        <w:pStyle w:val="nzDefpara"/>
      </w:pPr>
      <w:r>
        <w:tab/>
        <w:t>(f)</w:t>
      </w:r>
      <w:r>
        <w:tab/>
        <w:t>Yued Indigenous Land Use Agreement;</w:t>
      </w:r>
    </w:p>
    <w:p>
      <w:pPr>
        <w:pStyle w:val="nzPermNoteHeading"/>
        <w:spacing w:before="80"/>
      </w:pPr>
      <w:r>
        <w:tab/>
        <w:t>Note for this definition:</w:t>
      </w:r>
    </w:p>
    <w:p>
      <w:pPr>
        <w:pStyle w:val="nzPermNoteText"/>
        <w:ind w:left="1843"/>
      </w:pPr>
      <w:r>
        <w:tab/>
      </w:r>
      <w:r>
        <w:tab/>
        <w:t>Clause 17 of each settlement ILUA provides for the publication of the settlement ILUA as executed, and any variations to it, on the Agreements, Treaties and Negotiated Settlements database (ATNS) at www.atns.net.au and on relevant State and Government Party websites.</w:t>
      </w:r>
    </w:p>
    <w:p>
      <w:pPr>
        <w:pStyle w:val="nzDefstart"/>
      </w:pPr>
      <w:r>
        <w:tab/>
      </w:r>
      <w:r>
        <w:rPr>
          <w:rStyle w:val="CharDefText"/>
        </w:rPr>
        <w:t>settlement terms</w:t>
      </w:r>
      <w:r>
        <w:t xml:space="preserve"> means the document entitled “South West Settlement Terms” that is set out in Schedule 10 to a settlement ILUA;</w:t>
      </w:r>
    </w:p>
    <w:p>
      <w:pPr>
        <w:pStyle w:val="nzDefstart"/>
      </w:pPr>
      <w:r>
        <w:tab/>
      </w:r>
      <w:r>
        <w:rPr>
          <w:rStyle w:val="CharDefText"/>
        </w:rPr>
        <w:t>Trust</w:t>
      </w:r>
      <w:r>
        <w:t xml:space="preserve"> has the meaning given in the settlement terms clause 1.3;</w:t>
      </w:r>
    </w:p>
    <w:p>
      <w:pPr>
        <w:pStyle w:val="nzDefstart"/>
      </w:pPr>
      <w:r>
        <w:tab/>
      </w:r>
      <w:r>
        <w:rPr>
          <w:rStyle w:val="CharDefText"/>
        </w:rPr>
        <w:t>Trust Deed</w:t>
      </w:r>
      <w:r>
        <w:t xml:space="preserve"> has the meaning given in the settlement terms clause 1.3;</w:t>
      </w:r>
    </w:p>
    <w:p>
      <w:pPr>
        <w:pStyle w:val="nzDefstart"/>
      </w:pPr>
      <w:r>
        <w:tab/>
      </w:r>
      <w:r>
        <w:rPr>
          <w:rStyle w:val="CharDefText"/>
        </w:rPr>
        <w:t>unallocated Crown land</w:t>
      </w:r>
      <w:r>
        <w:t xml:space="preserve"> has the meaning given in the LAA section 3(1);</w:t>
      </w:r>
    </w:p>
    <w:p>
      <w:pPr>
        <w:pStyle w:val="nzDefstart"/>
      </w:pPr>
      <w:r>
        <w:tab/>
      </w:r>
      <w:r>
        <w:rPr>
          <w:rStyle w:val="CharDefText"/>
        </w:rPr>
        <w:t>unmanaged reserve</w:t>
      </w:r>
      <w:r>
        <w:t xml:space="preserve"> has the meaning given in the LAA section 3(1).</w:t>
      </w:r>
    </w:p>
    <w:p>
      <w:pPr>
        <w:pStyle w:val="nzHeading5"/>
      </w:pPr>
      <w:bookmarkStart w:id="13" w:name="_Toc451247515"/>
      <w:bookmarkStart w:id="14" w:name="_Toc451250456"/>
      <w:r>
        <w:rPr>
          <w:rStyle w:val="CharSectno"/>
        </w:rPr>
        <w:t>4</w:t>
      </w:r>
      <w:r>
        <w:t>.</w:t>
      </w:r>
      <w:r>
        <w:tab/>
        <w:t>Notes not part of Act</w:t>
      </w:r>
      <w:bookmarkEnd w:id="13"/>
      <w:bookmarkEnd w:id="14"/>
    </w:p>
    <w:p>
      <w:pPr>
        <w:pStyle w:val="nzSubsection"/>
      </w:pPr>
      <w:r>
        <w:tab/>
      </w:r>
      <w:r>
        <w:tab/>
        <w:t>A note set out at the foot of a provision of this Act is provided to assist understanding and does not form part of this Act.</w:t>
      </w:r>
    </w:p>
    <w:p>
      <w:pPr>
        <w:pStyle w:val="nzHeading5"/>
      </w:pPr>
      <w:bookmarkStart w:id="15" w:name="_Toc451247516"/>
      <w:bookmarkStart w:id="16" w:name="_Toc451250457"/>
      <w:r>
        <w:rPr>
          <w:rStyle w:val="CharSectno"/>
        </w:rPr>
        <w:t>5</w:t>
      </w:r>
      <w:r>
        <w:t>.</w:t>
      </w:r>
      <w:r>
        <w:tab/>
        <w:t>Purposes</w:t>
      </w:r>
      <w:bookmarkEnd w:id="15"/>
      <w:bookmarkEnd w:id="16"/>
    </w:p>
    <w:p>
      <w:pPr>
        <w:pStyle w:val="nzSubsection"/>
      </w:pPr>
      <w:r>
        <w:tab/>
      </w:r>
      <w:r>
        <w:tab/>
        <w:t xml:space="preserve">The purposes of this Act are — </w:t>
      </w:r>
    </w:p>
    <w:p>
      <w:pPr>
        <w:pStyle w:val="nzIndenta"/>
      </w:pPr>
      <w:r>
        <w:tab/>
        <w:t>(a)</w:t>
      </w:r>
      <w:r>
        <w:tab/>
        <w:t>to provide for the implementation of the Land Base Strategy for the purpose of establishing the Noongar Land Estate in accordance with the settlement terms; and</w:t>
      </w:r>
    </w:p>
    <w:p>
      <w:pPr>
        <w:pStyle w:val="nzIndenta"/>
      </w:pPr>
      <w:r>
        <w:tab/>
        <w:t>(b)</w:t>
      </w:r>
      <w:r>
        <w:tab/>
        <w:t>to provide for land access licences in accordance with the settlement terms.</w:t>
      </w:r>
    </w:p>
    <w:p>
      <w:pPr>
        <w:pStyle w:val="nzHeading5"/>
      </w:pPr>
      <w:bookmarkStart w:id="17" w:name="_Toc451247517"/>
      <w:bookmarkStart w:id="18" w:name="_Toc451250458"/>
      <w:r>
        <w:rPr>
          <w:rStyle w:val="CharSectno"/>
        </w:rPr>
        <w:t>6</w:t>
      </w:r>
      <w:r>
        <w:t>.</w:t>
      </w:r>
      <w:r>
        <w:tab/>
        <w:t>Act binds Crown</w:t>
      </w:r>
      <w:bookmarkEnd w:id="17"/>
      <w:bookmarkEnd w:id="18"/>
    </w:p>
    <w:p>
      <w:pPr>
        <w:pStyle w:val="nzSubsection"/>
      </w:pPr>
      <w:r>
        <w:tab/>
      </w:r>
      <w:r>
        <w:tab/>
        <w:t>This Act binds the State and, so far as the legislative power of the State permits, the Crown in all its other capacities.</w:t>
      </w:r>
    </w:p>
    <w:p>
      <w:pPr>
        <w:pStyle w:val="nzHeading5"/>
      </w:pPr>
      <w:bookmarkStart w:id="19" w:name="_Toc451247518"/>
      <w:bookmarkStart w:id="20" w:name="_Toc451250459"/>
      <w:r>
        <w:rPr>
          <w:rStyle w:val="CharSectno"/>
        </w:rPr>
        <w:t>7</w:t>
      </w:r>
      <w:r>
        <w:t>.</w:t>
      </w:r>
      <w:r>
        <w:tab/>
      </w:r>
      <w:r>
        <w:rPr>
          <w:i/>
        </w:rPr>
        <w:t>Government Agreements Act 1979</w:t>
      </w:r>
      <w:r>
        <w:t xml:space="preserve"> does not apply</w:t>
      </w:r>
      <w:bookmarkEnd w:id="19"/>
      <w:bookmarkEnd w:id="20"/>
    </w:p>
    <w:p>
      <w:pPr>
        <w:pStyle w:val="nzSubsection"/>
      </w:pPr>
      <w:r>
        <w:tab/>
      </w:r>
      <w:r>
        <w:tab/>
        <w:t xml:space="preserve">The </w:t>
      </w:r>
      <w:r>
        <w:rPr>
          <w:i/>
        </w:rPr>
        <w:t>Government Agreements Act 1979</w:t>
      </w:r>
      <w:r>
        <w:t xml:space="preserve"> does not apply to or in relation to any of the following regardless of whether the administration of this Act is for the time being committed by the Governor to, or approved by the Governor to be placed under the control of, the Minister administering that Act — </w:t>
      </w:r>
    </w:p>
    <w:p>
      <w:pPr>
        <w:pStyle w:val="nzIndenta"/>
      </w:pPr>
      <w:r>
        <w:tab/>
        <w:t>(a)</w:t>
      </w:r>
      <w:r>
        <w:tab/>
        <w:t>a settlement ILUA;</w:t>
      </w:r>
    </w:p>
    <w:p>
      <w:pPr>
        <w:pStyle w:val="nzIndenta"/>
      </w:pPr>
      <w:r>
        <w:tab/>
        <w:t>(b)</w:t>
      </w:r>
      <w:r>
        <w:tab/>
        <w:t>any variation of a settlement ILUA;</w:t>
      </w:r>
    </w:p>
    <w:p>
      <w:pPr>
        <w:pStyle w:val="nzIndenta"/>
      </w:pPr>
      <w:r>
        <w:tab/>
        <w:t>(c)</w:t>
      </w:r>
      <w:r>
        <w:tab/>
        <w:t>any document, instrument or other thing made, executed, issued or obtained for the purposes of a settlement ILUA or the implementation of a settlement ILUA.</w:t>
      </w:r>
    </w:p>
    <w:p>
      <w:pPr>
        <w:pStyle w:val="nzHeading2"/>
      </w:pPr>
      <w:bookmarkStart w:id="21" w:name="_Toc427920062"/>
      <w:bookmarkStart w:id="22" w:name="_Toc427920483"/>
      <w:bookmarkStart w:id="23" w:name="_Toc427920624"/>
      <w:bookmarkStart w:id="24" w:name="_Toc427937327"/>
      <w:bookmarkStart w:id="25" w:name="_Toc427939081"/>
      <w:bookmarkStart w:id="26" w:name="_Toc427939181"/>
      <w:bookmarkStart w:id="27" w:name="_Toc427939417"/>
      <w:bookmarkStart w:id="28" w:name="_Toc427939504"/>
      <w:bookmarkStart w:id="29" w:name="_Toc427939543"/>
      <w:bookmarkStart w:id="30" w:name="_Toc430086998"/>
      <w:bookmarkStart w:id="31" w:name="_Toc430088423"/>
      <w:bookmarkStart w:id="32" w:name="_Toc430088851"/>
      <w:bookmarkStart w:id="33" w:name="_Toc430335092"/>
      <w:bookmarkStart w:id="34" w:name="_Toc430335131"/>
      <w:bookmarkStart w:id="35" w:name="_Toc435448276"/>
      <w:bookmarkStart w:id="36" w:name="_Toc435637323"/>
      <w:bookmarkStart w:id="37" w:name="_Toc450726940"/>
      <w:bookmarkStart w:id="38" w:name="_Toc451247519"/>
      <w:bookmarkStart w:id="39" w:name="_Toc451250460"/>
      <w:r>
        <w:rPr>
          <w:rStyle w:val="CharPartNo"/>
        </w:rPr>
        <w:t>Part 2</w:t>
      </w:r>
      <w:r>
        <w:rPr>
          <w:rStyle w:val="CharDivNo"/>
        </w:rPr>
        <w:t> </w:t>
      </w:r>
      <w:r>
        <w:t>—</w:t>
      </w:r>
      <w:r>
        <w:rPr>
          <w:rStyle w:val="CharDivText"/>
        </w:rPr>
        <w:t> </w:t>
      </w:r>
      <w:r>
        <w:rPr>
          <w:rStyle w:val="CharPartText"/>
        </w:rPr>
        <w:t>General matters relating to LAA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nzHeading5"/>
      </w:pPr>
      <w:bookmarkStart w:id="40" w:name="_Toc451247520"/>
      <w:bookmarkStart w:id="41" w:name="_Toc451250461"/>
      <w:r>
        <w:rPr>
          <w:rStyle w:val="CharSectno"/>
        </w:rPr>
        <w:t>8</w:t>
      </w:r>
      <w:r>
        <w:t>.</w:t>
      </w:r>
      <w:r>
        <w:tab/>
        <w:t>Functions and powers of Minister for Lands</w:t>
      </w:r>
      <w:bookmarkEnd w:id="40"/>
      <w:bookmarkEnd w:id="41"/>
    </w:p>
    <w:p>
      <w:pPr>
        <w:pStyle w:val="nzSubsection"/>
      </w:pPr>
      <w:r>
        <w:tab/>
        <w:t>(1)</w:t>
      </w:r>
      <w:r>
        <w:tab/>
        <w:t>The Minister for Lands has all the functions and powers necessary or convenient for the purposes of this Act.</w:t>
      </w:r>
    </w:p>
    <w:p>
      <w:pPr>
        <w:pStyle w:val="nzSubsection"/>
      </w:pPr>
      <w:r>
        <w:tab/>
        <w:t>(2)</w:t>
      </w:r>
      <w:r>
        <w:tab/>
        <w:t>Subsection (1) is not limited by Part 3 or 4.</w:t>
      </w:r>
    </w:p>
    <w:p>
      <w:pPr>
        <w:pStyle w:val="nzHeading5"/>
      </w:pPr>
      <w:bookmarkStart w:id="42" w:name="_Toc451247521"/>
      <w:bookmarkStart w:id="43" w:name="_Toc451250462"/>
      <w:r>
        <w:rPr>
          <w:rStyle w:val="CharSectno"/>
        </w:rPr>
        <w:t>9</w:t>
      </w:r>
      <w:r>
        <w:t>.</w:t>
      </w:r>
      <w:r>
        <w:tab/>
        <w:t>Relationship with LAA</w:t>
      </w:r>
      <w:bookmarkEnd w:id="42"/>
      <w:bookmarkEnd w:id="43"/>
    </w:p>
    <w:p>
      <w:pPr>
        <w:pStyle w:val="nzSubsection"/>
      </w:pPr>
      <w:r>
        <w:tab/>
        <w:t>(1)</w:t>
      </w:r>
      <w:r>
        <w:tab/>
        <w:t>If there is an inconsistency between this Act and the LAA, this Act prevails to the extent of the inconsistency.</w:t>
      </w:r>
    </w:p>
    <w:p>
      <w:pPr>
        <w:pStyle w:val="nz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nzHeading2"/>
        <w:rPr>
          <w:rStyle w:val="CharPartText"/>
        </w:rPr>
      </w:pPr>
      <w:bookmarkStart w:id="44" w:name="_Toc427920065"/>
      <w:bookmarkStart w:id="45" w:name="_Toc427920486"/>
      <w:bookmarkStart w:id="46" w:name="_Toc427920627"/>
      <w:bookmarkStart w:id="47" w:name="_Toc427937330"/>
      <w:bookmarkStart w:id="48" w:name="_Toc427939084"/>
      <w:bookmarkStart w:id="49" w:name="_Toc427939184"/>
      <w:bookmarkStart w:id="50" w:name="_Toc427939420"/>
      <w:bookmarkStart w:id="51" w:name="_Toc427939507"/>
      <w:bookmarkStart w:id="52" w:name="_Toc427939546"/>
      <w:bookmarkStart w:id="53" w:name="_Toc430087001"/>
      <w:bookmarkStart w:id="54" w:name="_Toc430088426"/>
      <w:bookmarkStart w:id="55" w:name="_Toc430088854"/>
      <w:bookmarkStart w:id="56" w:name="_Toc430335095"/>
      <w:bookmarkStart w:id="57" w:name="_Toc430335134"/>
      <w:bookmarkStart w:id="58" w:name="_Toc435448279"/>
      <w:bookmarkStart w:id="59" w:name="_Toc435637326"/>
      <w:bookmarkStart w:id="60" w:name="_Toc450726943"/>
      <w:bookmarkStart w:id="61" w:name="_Toc451247522"/>
      <w:bookmarkStart w:id="62" w:name="_Toc451250463"/>
      <w:r>
        <w:rPr>
          <w:rStyle w:val="CharPartNo"/>
        </w:rPr>
        <w:t>Part 3</w:t>
      </w:r>
      <w:r>
        <w:rPr>
          <w:rStyle w:val="CharDivNo"/>
        </w:rPr>
        <w:t> </w:t>
      </w:r>
      <w:r>
        <w:t>—</w:t>
      </w:r>
      <w:r>
        <w:rPr>
          <w:rStyle w:val="CharDivText"/>
        </w:rPr>
        <w:t> </w:t>
      </w:r>
      <w:r>
        <w:rPr>
          <w:rStyle w:val="CharPartText"/>
        </w:rPr>
        <w:t>Land Base Strategy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nzHeading5"/>
      </w:pPr>
      <w:bookmarkStart w:id="63" w:name="_Toc451247523"/>
      <w:bookmarkStart w:id="64" w:name="_Toc451250464"/>
      <w:r>
        <w:rPr>
          <w:rStyle w:val="CharSectno"/>
        </w:rPr>
        <w:t>10</w:t>
      </w:r>
      <w:r>
        <w:t>.</w:t>
      </w:r>
      <w:r>
        <w:tab/>
        <w:t>Power of Minister for Lands to implement Land Base Strategy</w:t>
      </w:r>
      <w:bookmarkEnd w:id="63"/>
      <w:bookmarkEnd w:id="64"/>
    </w:p>
    <w:p>
      <w:pPr>
        <w:pStyle w:val="nzSubsection"/>
      </w:pPr>
      <w:r>
        <w:tab/>
        <w:t>(1)</w:t>
      </w:r>
      <w:r>
        <w:tab/>
        <w:t>The Minister for Lands may, on behalf of the State, do anything that is necessary or convenient to be done for the purposes of implementing the Land Base Strategy.</w:t>
      </w:r>
    </w:p>
    <w:p>
      <w:pPr>
        <w:pStyle w:val="nz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nzSubsection"/>
      </w:pPr>
      <w:r>
        <w:tab/>
        <w:t>(3)</w:t>
      </w:r>
      <w:r>
        <w:tab/>
        <w:t>In this section, a reference to the doing of a thing includes a reference to an omission to do a thing.</w:t>
      </w:r>
    </w:p>
    <w:p>
      <w:pPr>
        <w:pStyle w:val="nzHeading5"/>
      </w:pPr>
      <w:bookmarkStart w:id="65" w:name="_Toc451247524"/>
      <w:bookmarkStart w:id="66" w:name="_Toc451250465"/>
      <w:r>
        <w:rPr>
          <w:rStyle w:val="CharSectno"/>
        </w:rPr>
        <w:t>11</w:t>
      </w:r>
      <w:r>
        <w:t>.</w:t>
      </w:r>
      <w:r>
        <w:tab/>
        <w:t>Exemption from transfer duty</w:t>
      </w:r>
      <w:bookmarkEnd w:id="65"/>
      <w:bookmarkEnd w:id="66"/>
    </w:p>
    <w:p>
      <w:pPr>
        <w:pStyle w:val="nz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nzHeading5"/>
      </w:pPr>
      <w:bookmarkStart w:id="67" w:name="_Toc451247525"/>
      <w:bookmarkStart w:id="68" w:name="_Toc451250466"/>
      <w:r>
        <w:rPr>
          <w:rStyle w:val="CharSectno"/>
        </w:rPr>
        <w:t>12</w:t>
      </w:r>
      <w:r>
        <w:t>.</w:t>
      </w:r>
      <w:r>
        <w:tab/>
        <w:t>Compensation for revocation of management order</w:t>
      </w:r>
      <w:bookmarkEnd w:id="67"/>
      <w:bookmarkEnd w:id="68"/>
    </w:p>
    <w:p>
      <w:pPr>
        <w:pStyle w:val="nzSubsection"/>
      </w:pPr>
      <w:r>
        <w:tab/>
        <w:t>(1)</w:t>
      </w:r>
      <w:r>
        <w:tab/>
        <w:t>This section applies if a management order is revoked in the circumstances described in the Land Base Strategy clause 4(b).</w:t>
      </w:r>
    </w:p>
    <w:p>
      <w:pPr>
        <w:pStyle w:val="nzSubsection"/>
      </w:pPr>
      <w:r>
        <w:tab/>
        <w:t>(2)</w:t>
      </w:r>
      <w:r>
        <w:tab/>
        <w:t>The provision of alternative reserve land or compensation in accordance with the Land Base Strategy clause 4(b) is in addition to any compensation payable under the LAA section 50(3) or 204(1) in respect of the revocation.</w:t>
      </w:r>
    </w:p>
    <w:p>
      <w:pPr>
        <w:pStyle w:val="nzSubsection"/>
      </w:pPr>
      <w:r>
        <w:tab/>
        <w:t>(3)</w:t>
      </w:r>
      <w:r>
        <w:tab/>
        <w:t>The LAA section 204(2) does not apply in respect of the revocation.</w:t>
      </w:r>
    </w:p>
    <w:p>
      <w:pPr>
        <w:pStyle w:val="nzHeading2"/>
        <w:rPr>
          <w:rStyle w:val="CharPartText"/>
        </w:rPr>
      </w:pPr>
      <w:bookmarkStart w:id="69" w:name="_Toc427920069"/>
      <w:bookmarkStart w:id="70" w:name="_Toc427920490"/>
      <w:bookmarkStart w:id="71" w:name="_Toc427920631"/>
      <w:bookmarkStart w:id="72" w:name="_Toc427937334"/>
      <w:bookmarkStart w:id="73" w:name="_Toc427939088"/>
      <w:bookmarkStart w:id="74" w:name="_Toc427939188"/>
      <w:bookmarkStart w:id="75" w:name="_Toc427939424"/>
      <w:bookmarkStart w:id="76" w:name="_Toc427939511"/>
      <w:bookmarkStart w:id="77" w:name="_Toc427939550"/>
      <w:bookmarkStart w:id="78" w:name="_Toc430087005"/>
      <w:bookmarkStart w:id="79" w:name="_Toc430088430"/>
      <w:bookmarkStart w:id="80" w:name="_Toc430088858"/>
      <w:bookmarkStart w:id="81" w:name="_Toc430335099"/>
      <w:bookmarkStart w:id="82" w:name="_Toc430335138"/>
      <w:bookmarkStart w:id="83" w:name="_Toc435448283"/>
      <w:bookmarkStart w:id="84" w:name="_Toc435637330"/>
      <w:bookmarkStart w:id="85" w:name="_Toc450726947"/>
      <w:bookmarkStart w:id="86" w:name="_Toc451247526"/>
      <w:bookmarkStart w:id="87" w:name="_Toc451250467"/>
      <w:r>
        <w:rPr>
          <w:rStyle w:val="CharPartNo"/>
        </w:rPr>
        <w:t>Part 4</w:t>
      </w:r>
      <w:r>
        <w:t> — </w:t>
      </w:r>
      <w:r>
        <w:rPr>
          <w:rStyle w:val="CharPartText"/>
        </w:rPr>
        <w:t>Land access licences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zHeading3"/>
      </w:pPr>
      <w:bookmarkStart w:id="88" w:name="_Toc427920632"/>
      <w:bookmarkStart w:id="89" w:name="_Toc427937335"/>
      <w:bookmarkStart w:id="90" w:name="_Toc427939089"/>
      <w:bookmarkStart w:id="91" w:name="_Toc427939189"/>
      <w:bookmarkStart w:id="92" w:name="_Toc427939425"/>
      <w:bookmarkStart w:id="93" w:name="_Toc427939512"/>
      <w:bookmarkStart w:id="94" w:name="_Toc427939551"/>
      <w:bookmarkStart w:id="95" w:name="_Toc430087006"/>
      <w:bookmarkStart w:id="96" w:name="_Toc430088431"/>
      <w:bookmarkStart w:id="97" w:name="_Toc430088859"/>
      <w:bookmarkStart w:id="98" w:name="_Toc430335100"/>
      <w:bookmarkStart w:id="99" w:name="_Toc430335139"/>
      <w:bookmarkStart w:id="100" w:name="_Toc435448284"/>
      <w:bookmarkStart w:id="101" w:name="_Toc435637331"/>
      <w:bookmarkStart w:id="102" w:name="_Toc450726948"/>
      <w:bookmarkStart w:id="103" w:name="_Toc451247527"/>
      <w:bookmarkStart w:id="104" w:name="_Toc451250468"/>
      <w:r>
        <w:rPr>
          <w:rStyle w:val="CharDivNo"/>
        </w:rPr>
        <w:t>Division 1</w:t>
      </w:r>
      <w:r>
        <w:t> — </w:t>
      </w:r>
      <w:r>
        <w:rPr>
          <w:rStyle w:val="CharDivText"/>
        </w:rPr>
        <w:t>Grant and terms of licences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zHeading5"/>
      </w:pPr>
      <w:bookmarkStart w:id="105" w:name="_Toc451247528"/>
      <w:bookmarkStart w:id="106" w:name="_Toc451250469"/>
      <w:r>
        <w:rPr>
          <w:rStyle w:val="CharSectno"/>
        </w:rPr>
        <w:t>13</w:t>
      </w:r>
      <w:r>
        <w:t>.</w:t>
      </w:r>
      <w:r>
        <w:tab/>
        <w:t>Grant of licence</w:t>
      </w:r>
      <w:bookmarkEnd w:id="105"/>
      <w:bookmarkEnd w:id="106"/>
    </w:p>
    <w:p>
      <w:pPr>
        <w:pStyle w:val="nzSubsection"/>
      </w:pPr>
      <w:r>
        <w:tab/>
        <w:t>(1)</w:t>
      </w:r>
      <w:r>
        <w:tab/>
        <w:t>The Minister for Lands must grant to a Regional Corporation a licence in accordance with the settlement terms clause 13.1(b) or (d).</w:t>
      </w:r>
    </w:p>
    <w:p>
      <w:pPr>
        <w:pStyle w:val="nzSubsection"/>
      </w:pPr>
      <w:r>
        <w:tab/>
        <w:t>(2)</w:t>
      </w:r>
      <w:r>
        <w:tab/>
        <w:t>The LAA section 48(1) does not apply in respect of the grant of a licence under subsection (1).</w:t>
      </w:r>
    </w:p>
    <w:p>
      <w:pPr>
        <w:pStyle w:val="nzSubsection"/>
      </w:pPr>
      <w:r>
        <w:tab/>
        <w:t>(3)</w:t>
      </w:r>
      <w:r>
        <w:tab/>
        <w:t>A licence granted under subsection (1) is to be taken to be a licence granted under the LAA section 91(1).</w:t>
      </w:r>
    </w:p>
    <w:p>
      <w:pPr>
        <w:pStyle w:val="nzHeading5"/>
      </w:pPr>
      <w:bookmarkStart w:id="107" w:name="_Toc451247529"/>
      <w:bookmarkStart w:id="108" w:name="_Toc451250470"/>
      <w:r>
        <w:rPr>
          <w:rStyle w:val="CharSectno"/>
        </w:rPr>
        <w:t>14</w:t>
      </w:r>
      <w:r>
        <w:t>.</w:t>
      </w:r>
      <w:r>
        <w:tab/>
        <w:t>Terms and conditions of licence</w:t>
      </w:r>
      <w:bookmarkEnd w:id="107"/>
      <w:bookmarkEnd w:id="108"/>
    </w:p>
    <w:p>
      <w:pPr>
        <w:pStyle w:val="nz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nzSubsection"/>
      </w:pPr>
      <w:r>
        <w:tab/>
        <w:t>(2)</w:t>
      </w:r>
      <w:r>
        <w:tab/>
        <w:t>The LAA section 91(2)(a) to (c) do not apply in respect of a land access licence.</w:t>
      </w:r>
    </w:p>
    <w:p>
      <w:pPr>
        <w:pStyle w:val="nzHeading5"/>
      </w:pPr>
      <w:bookmarkStart w:id="109" w:name="_Toc451247530"/>
      <w:bookmarkStart w:id="110" w:name="_Toc451250471"/>
      <w:r>
        <w:rPr>
          <w:rStyle w:val="CharSectno"/>
        </w:rPr>
        <w:t>15</w:t>
      </w:r>
      <w:r>
        <w:t>.</w:t>
      </w:r>
      <w:r>
        <w:tab/>
        <w:t>Amendment of licence</w:t>
      </w:r>
      <w:bookmarkEnd w:id="109"/>
      <w:bookmarkEnd w:id="110"/>
    </w:p>
    <w:p>
      <w:pPr>
        <w:pStyle w:val="nzSubsection"/>
      </w:pPr>
      <w:r>
        <w:tab/>
        <w:t>(1)</w:t>
      </w:r>
      <w:r>
        <w:tab/>
        <w:t>A land access licence can only be amended in accordance with the settlement terms.</w:t>
      </w:r>
    </w:p>
    <w:p>
      <w:pPr>
        <w:pStyle w:val="nzSubsection"/>
      </w:pPr>
      <w:r>
        <w:tab/>
        <w:t>(2)</w:t>
      </w:r>
      <w:r>
        <w:tab/>
        <w:t>The LAA section 91(2)(d) does not apply in respect of a land access licence.</w:t>
      </w:r>
    </w:p>
    <w:p>
      <w:pPr>
        <w:pStyle w:val="nzHeading5"/>
      </w:pPr>
      <w:bookmarkStart w:id="111" w:name="_Toc451247531"/>
      <w:bookmarkStart w:id="112" w:name="_Toc451250472"/>
      <w:r>
        <w:rPr>
          <w:rStyle w:val="CharSectno"/>
        </w:rPr>
        <w:t>16</w:t>
      </w:r>
      <w:r>
        <w:t>.</w:t>
      </w:r>
      <w:r>
        <w:tab/>
        <w:t>Suspension or termination of licence</w:t>
      </w:r>
      <w:bookmarkEnd w:id="111"/>
      <w:bookmarkEnd w:id="112"/>
    </w:p>
    <w:p>
      <w:pPr>
        <w:pStyle w:val="nzSubsection"/>
      </w:pPr>
      <w:r>
        <w:tab/>
        <w:t>(1)</w:t>
      </w:r>
      <w:r>
        <w:tab/>
        <w:t>A land access licence can only be suspended or terminated in accordance with its terms and conditions.</w:t>
      </w:r>
    </w:p>
    <w:p>
      <w:pPr>
        <w:pStyle w:val="nzSubsection"/>
      </w:pPr>
      <w:r>
        <w:tab/>
        <w:t>(2)</w:t>
      </w:r>
      <w:r>
        <w:tab/>
        <w:t>The LAA section 91(3) does not apply in respect of a land access licence.</w:t>
      </w:r>
    </w:p>
    <w:p>
      <w:pPr>
        <w:pStyle w:val="nzHeading3"/>
      </w:pPr>
      <w:bookmarkStart w:id="113" w:name="_Toc427920075"/>
      <w:bookmarkStart w:id="114" w:name="_Toc427920496"/>
      <w:bookmarkStart w:id="115" w:name="_Toc427920637"/>
      <w:bookmarkStart w:id="116" w:name="_Toc427937340"/>
      <w:bookmarkStart w:id="117" w:name="_Toc427939094"/>
      <w:bookmarkStart w:id="118" w:name="_Toc427939194"/>
      <w:bookmarkStart w:id="119" w:name="_Toc427939430"/>
      <w:bookmarkStart w:id="120" w:name="_Toc427939517"/>
      <w:bookmarkStart w:id="121" w:name="_Toc427939556"/>
      <w:bookmarkStart w:id="122" w:name="_Toc430087011"/>
      <w:bookmarkStart w:id="123" w:name="_Toc430088436"/>
      <w:bookmarkStart w:id="124" w:name="_Toc430088864"/>
      <w:bookmarkStart w:id="125" w:name="_Toc430335105"/>
      <w:bookmarkStart w:id="126" w:name="_Toc430335144"/>
      <w:bookmarkStart w:id="127" w:name="_Toc435448289"/>
      <w:bookmarkStart w:id="128" w:name="_Toc435637336"/>
      <w:bookmarkStart w:id="129" w:name="_Toc450726953"/>
      <w:bookmarkStart w:id="130" w:name="_Toc451247532"/>
      <w:bookmarkStart w:id="131" w:name="_Toc451250473"/>
      <w:r>
        <w:rPr>
          <w:rStyle w:val="CharDivNo"/>
        </w:rPr>
        <w:t>Division 2</w:t>
      </w:r>
      <w:r>
        <w:t> — </w:t>
      </w:r>
      <w:r>
        <w:rPr>
          <w:rStyle w:val="CharDivText"/>
        </w:rPr>
        <w:t>Legal effect of licence</w:t>
      </w:r>
      <w:r>
        <w: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zHeading5"/>
      </w:pPr>
      <w:bookmarkStart w:id="132" w:name="_Toc451247533"/>
      <w:bookmarkStart w:id="133" w:name="_Toc451250474"/>
      <w:r>
        <w:rPr>
          <w:rStyle w:val="CharSectno"/>
        </w:rPr>
        <w:t>17</w:t>
      </w:r>
      <w:r>
        <w:t>.</w:t>
      </w:r>
      <w:r>
        <w:tab/>
        <w:t>Approval for co</w:t>
      </w:r>
      <w:r>
        <w:noBreakHyphen/>
        <w:t>existence of certain rights not required</w:t>
      </w:r>
      <w:bookmarkEnd w:id="132"/>
      <w:bookmarkEnd w:id="133"/>
    </w:p>
    <w:p>
      <w:pPr>
        <w:pStyle w:val="nzSubsection"/>
      </w:pPr>
      <w:r>
        <w:tab/>
        <w:t>(1)</w:t>
      </w:r>
      <w:r>
        <w:tab/>
        <w:t>The LAA does not prevent the simultaneous existence on the same area of Crown land of a land access licence and another right referred to in the LAA section 91(5).</w:t>
      </w:r>
    </w:p>
    <w:p>
      <w:pPr>
        <w:pStyle w:val="nzSubsection"/>
      </w:pPr>
      <w:r>
        <w:tab/>
        <w:t>(2)</w:t>
      </w:r>
      <w:r>
        <w:tab/>
        <w:t>For the purposes of subsection (1) an approval referred to in the LAA section 91(5) is not required.</w:t>
      </w:r>
    </w:p>
    <w:p>
      <w:pPr>
        <w:pStyle w:val="nzHeading5"/>
      </w:pPr>
      <w:bookmarkStart w:id="134" w:name="_Toc451247534"/>
      <w:bookmarkStart w:id="135" w:name="_Toc451250475"/>
      <w:r>
        <w:rPr>
          <w:rStyle w:val="CharSectno"/>
        </w:rPr>
        <w:t>18</w:t>
      </w:r>
      <w:r>
        <w:t>.</w:t>
      </w:r>
      <w:r>
        <w:tab/>
        <w:t>Effect of licence on unallocated Crown land</w:t>
      </w:r>
      <w:bookmarkEnd w:id="134"/>
      <w:bookmarkEnd w:id="135"/>
    </w:p>
    <w:p>
      <w:pPr>
        <w:pStyle w:val="nzSubsection"/>
      </w:pPr>
      <w:r>
        <w:tab/>
      </w:r>
      <w:r>
        <w:tab/>
        <w:t>Land does not cease to be unallocated Crown land because of the existence of a land access licence in respect of the land.</w:t>
      </w:r>
    </w:p>
    <w:p>
      <w:pPr>
        <w:pStyle w:val="nzHeading5"/>
      </w:pPr>
      <w:bookmarkStart w:id="136" w:name="_Toc451247535"/>
      <w:bookmarkStart w:id="137" w:name="_Toc451250476"/>
      <w:r>
        <w:rPr>
          <w:rStyle w:val="CharSectno"/>
        </w:rPr>
        <w:t>19</w:t>
      </w:r>
      <w:r>
        <w:t>.</w:t>
      </w:r>
      <w:r>
        <w:tab/>
        <w:t>Effect of licence on creation of other interests</w:t>
      </w:r>
      <w:bookmarkEnd w:id="136"/>
      <w:bookmarkEnd w:id="137"/>
    </w:p>
    <w:p>
      <w:pPr>
        <w:pStyle w:val="nz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nzHeading5"/>
      </w:pPr>
      <w:bookmarkStart w:id="138" w:name="_Toc451247536"/>
      <w:bookmarkStart w:id="139" w:name="_Toc451250477"/>
      <w:r>
        <w:rPr>
          <w:rStyle w:val="CharSectno"/>
        </w:rPr>
        <w:t>20</w:t>
      </w:r>
      <w:r>
        <w:t>.</w:t>
      </w:r>
      <w:r>
        <w:tab/>
        <w:t xml:space="preserve">Application of </w:t>
      </w:r>
      <w:r>
        <w:rPr>
          <w:i/>
        </w:rPr>
        <w:t>Property Law Act 1969</w:t>
      </w:r>
      <w:bookmarkEnd w:id="138"/>
      <w:bookmarkEnd w:id="139"/>
    </w:p>
    <w:p>
      <w:pPr>
        <w:pStyle w:val="nzSubsection"/>
      </w:pPr>
      <w:r>
        <w:tab/>
      </w:r>
      <w:r>
        <w:tab/>
        <w:t xml:space="preserve">A land access licence is not property for the purposes of the </w:t>
      </w:r>
      <w:r>
        <w:rPr>
          <w:i/>
        </w:rPr>
        <w:t>Property Law Act 1969</w:t>
      </w:r>
      <w:r>
        <w:t>.</w:t>
      </w:r>
    </w:p>
    <w:p>
      <w:pPr>
        <w:pStyle w:val="nzHeading3"/>
      </w:pPr>
      <w:bookmarkStart w:id="140" w:name="_Toc427920080"/>
      <w:bookmarkStart w:id="141" w:name="_Toc427920501"/>
      <w:bookmarkStart w:id="142" w:name="_Toc427920642"/>
      <w:bookmarkStart w:id="143" w:name="_Toc427937345"/>
      <w:bookmarkStart w:id="144" w:name="_Toc427939099"/>
      <w:bookmarkStart w:id="145" w:name="_Toc427939199"/>
      <w:bookmarkStart w:id="146" w:name="_Toc427939435"/>
      <w:bookmarkStart w:id="147" w:name="_Toc427939522"/>
      <w:bookmarkStart w:id="148" w:name="_Toc427939561"/>
      <w:bookmarkStart w:id="149" w:name="_Toc430087016"/>
      <w:bookmarkStart w:id="150" w:name="_Toc430088441"/>
      <w:bookmarkStart w:id="151" w:name="_Toc430088869"/>
      <w:bookmarkStart w:id="152" w:name="_Toc430335110"/>
      <w:bookmarkStart w:id="153" w:name="_Toc430335149"/>
      <w:bookmarkStart w:id="154" w:name="_Toc435448294"/>
      <w:bookmarkStart w:id="155" w:name="_Toc435637341"/>
      <w:bookmarkStart w:id="156" w:name="_Toc450726958"/>
      <w:bookmarkStart w:id="157" w:name="_Toc451247537"/>
      <w:bookmarkStart w:id="158" w:name="_Toc451250478"/>
      <w:r>
        <w:rPr>
          <w:rStyle w:val="CharDivNo"/>
        </w:rPr>
        <w:t>Division 3</w:t>
      </w:r>
      <w:r>
        <w:t> — </w:t>
      </w:r>
      <w:r>
        <w:rPr>
          <w:rStyle w:val="CharDivText"/>
        </w:rPr>
        <w:t>Parliamentary scrutiny of licence amendments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5"/>
      </w:pPr>
      <w:bookmarkStart w:id="159" w:name="_Toc451247538"/>
      <w:bookmarkStart w:id="160" w:name="_Toc451250479"/>
      <w:r>
        <w:rPr>
          <w:rStyle w:val="CharSectno"/>
        </w:rPr>
        <w:t>21</w:t>
      </w:r>
      <w:r>
        <w:t>.</w:t>
      </w:r>
      <w:r>
        <w:tab/>
        <w:t>Tabling and disallowance of licence amendment</w:t>
      </w:r>
      <w:bookmarkEnd w:id="159"/>
      <w:bookmarkEnd w:id="160"/>
    </w:p>
    <w:p>
      <w:pPr>
        <w:pStyle w:val="nzSubsection"/>
      </w:pPr>
      <w:r>
        <w:tab/>
        <w:t>(1)</w:t>
      </w:r>
      <w:r>
        <w:tab/>
        <w:t>The Minister for Lands must cause a licence amendment to be laid before each House of Parliament within 12 sitting days of the House after the day on which the licence amendment takes effect.</w:t>
      </w:r>
    </w:p>
    <w:p>
      <w:pPr>
        <w:pStyle w:val="nzSubsection"/>
      </w:pPr>
      <w:r>
        <w:tab/>
        <w:t>(2)</w:t>
      </w:r>
      <w:r>
        <w:tab/>
        <w:t xml:space="preserve">The </w:t>
      </w:r>
      <w:r>
        <w:rPr>
          <w:i/>
        </w:rPr>
        <w:t>Interpretation Act 1984</w:t>
      </w:r>
      <w:r>
        <w:t xml:space="preserve"> section 42(2) and (3) apply in relation to a licence amendment as if it were a regulation.</w:t>
      </w:r>
    </w:p>
    <w:p>
      <w:pPr>
        <w:pStyle w:val="nzSubsection"/>
      </w:pPr>
      <w:r>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nz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nzHeading3"/>
        <w:rPr>
          <w:rStyle w:val="CharDivText"/>
        </w:rPr>
      </w:pPr>
      <w:bookmarkStart w:id="161" w:name="_Toc427920082"/>
      <w:bookmarkStart w:id="162" w:name="_Toc427920503"/>
      <w:bookmarkStart w:id="163" w:name="_Toc427920644"/>
      <w:bookmarkStart w:id="164" w:name="_Toc427937347"/>
      <w:bookmarkStart w:id="165" w:name="_Toc427939101"/>
      <w:bookmarkStart w:id="166" w:name="_Toc427939201"/>
      <w:bookmarkStart w:id="167" w:name="_Toc427939437"/>
      <w:bookmarkStart w:id="168" w:name="_Toc427939524"/>
      <w:bookmarkStart w:id="169" w:name="_Toc427939563"/>
      <w:bookmarkStart w:id="170" w:name="_Toc430087018"/>
      <w:bookmarkStart w:id="171" w:name="_Toc430088443"/>
      <w:bookmarkStart w:id="172" w:name="_Toc430088871"/>
      <w:bookmarkStart w:id="173" w:name="_Toc430335112"/>
      <w:bookmarkStart w:id="174" w:name="_Toc430335151"/>
      <w:bookmarkStart w:id="175" w:name="_Toc435448296"/>
      <w:bookmarkStart w:id="176" w:name="_Toc435637343"/>
      <w:bookmarkStart w:id="177" w:name="_Toc450726960"/>
      <w:bookmarkStart w:id="178" w:name="_Toc451247539"/>
      <w:bookmarkStart w:id="179" w:name="_Toc451250480"/>
      <w:r>
        <w:rPr>
          <w:rStyle w:val="CharDivNo"/>
        </w:rPr>
        <w:t>Division 4</w:t>
      </w:r>
      <w:r>
        <w:t> — </w:t>
      </w:r>
      <w:r>
        <w:rPr>
          <w:rStyle w:val="CharDivText"/>
        </w:rPr>
        <w:t>Liability of State in respect of licences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5"/>
      </w:pPr>
      <w:bookmarkStart w:id="180" w:name="_Toc451247540"/>
      <w:bookmarkStart w:id="181" w:name="_Toc451250481"/>
      <w:r>
        <w:rPr>
          <w:rStyle w:val="CharSectno"/>
        </w:rPr>
        <w:t>22</w:t>
      </w:r>
      <w:r>
        <w:t>.</w:t>
      </w:r>
      <w:r>
        <w:tab/>
        <w:t>Acts or activities of Crown</w:t>
      </w:r>
      <w:bookmarkEnd w:id="180"/>
      <w:bookmarkEnd w:id="181"/>
    </w:p>
    <w:p>
      <w:pPr>
        <w:pStyle w:val="nzSubsection"/>
      </w:pPr>
      <w:r>
        <w:tab/>
      </w:r>
      <w:r>
        <w:tab/>
        <w:t>Nothing done under this Part, or under a land access licence, is to be taken to be an act of the Crown or an activity undertaken by the Crown for the purposes of the LAA section 264(2)(a).</w:t>
      </w:r>
    </w:p>
    <w:p>
      <w:pPr>
        <w:pStyle w:val="nzHeading5"/>
      </w:pPr>
      <w:bookmarkStart w:id="182" w:name="_Toc451247541"/>
      <w:bookmarkStart w:id="183" w:name="_Toc451250482"/>
      <w:r>
        <w:rPr>
          <w:rStyle w:val="CharSectno"/>
        </w:rPr>
        <w:t>23</w:t>
      </w:r>
      <w:r>
        <w:t>.</w:t>
      </w:r>
      <w:r>
        <w:tab/>
        <w:t>Entry and use of Licence Area</w:t>
      </w:r>
      <w:bookmarkEnd w:id="182"/>
      <w:bookmarkEnd w:id="183"/>
    </w:p>
    <w:p>
      <w:pPr>
        <w:pStyle w:val="nzSubsection"/>
      </w:pPr>
      <w:r>
        <w:tab/>
      </w:r>
      <w:r>
        <w:tab/>
        <w:t>A Licensee under a land access licence, the Licensee’s Members and the Licensee’s Agents enter and use the Licence Area under the land access licence entirely at their own risk.</w:t>
      </w:r>
    </w:p>
    <w:p>
      <w:pPr>
        <w:pStyle w:val="nzHeading5"/>
      </w:pPr>
      <w:bookmarkStart w:id="184" w:name="_Toc451247542"/>
      <w:bookmarkStart w:id="185" w:name="_Toc451250483"/>
      <w:r>
        <w:rPr>
          <w:rStyle w:val="CharSectno"/>
        </w:rPr>
        <w:t>24</w:t>
      </w:r>
      <w:r>
        <w:t>.</w:t>
      </w:r>
      <w:r>
        <w:tab/>
        <w:t>Occupier in relation to Licence Area</w:t>
      </w:r>
      <w:bookmarkEnd w:id="184"/>
      <w:bookmarkEnd w:id="185"/>
    </w:p>
    <w:p>
      <w:pPr>
        <w:pStyle w:val="nz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nzHeading5"/>
      </w:pPr>
      <w:bookmarkStart w:id="186" w:name="_Toc451247543"/>
      <w:bookmarkStart w:id="187" w:name="_Toc451250484"/>
      <w:r>
        <w:rPr>
          <w:rStyle w:val="CharSectno"/>
        </w:rPr>
        <w:t>25</w:t>
      </w:r>
      <w:r>
        <w:t>.</w:t>
      </w:r>
      <w:r>
        <w:tab/>
        <w:t>Foreseeability of risk</w:t>
      </w:r>
      <w:bookmarkEnd w:id="186"/>
      <w:bookmarkEnd w:id="187"/>
    </w:p>
    <w:p>
      <w:pPr>
        <w:pStyle w:val="nz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nzHeading2"/>
      </w:pPr>
      <w:bookmarkStart w:id="188" w:name="_Toc427920087"/>
      <w:bookmarkStart w:id="189" w:name="_Toc427920508"/>
      <w:bookmarkStart w:id="190" w:name="_Toc427920649"/>
      <w:bookmarkStart w:id="191" w:name="_Toc427937352"/>
      <w:bookmarkStart w:id="192" w:name="_Toc427939106"/>
      <w:bookmarkStart w:id="193" w:name="_Toc427939206"/>
      <w:bookmarkStart w:id="194" w:name="_Toc427939442"/>
      <w:bookmarkStart w:id="195" w:name="_Toc427939529"/>
      <w:bookmarkStart w:id="196" w:name="_Toc427939568"/>
      <w:bookmarkStart w:id="197" w:name="_Toc430087023"/>
      <w:bookmarkStart w:id="198" w:name="_Toc430088448"/>
      <w:bookmarkStart w:id="199" w:name="_Toc430088876"/>
      <w:bookmarkStart w:id="200" w:name="_Toc430335117"/>
      <w:bookmarkStart w:id="201" w:name="_Toc430335156"/>
      <w:bookmarkStart w:id="202" w:name="_Toc435448301"/>
      <w:bookmarkStart w:id="203" w:name="_Toc435637348"/>
      <w:bookmarkStart w:id="204" w:name="_Toc450726965"/>
      <w:bookmarkStart w:id="205" w:name="_Toc451247544"/>
      <w:bookmarkStart w:id="206" w:name="_Toc451250485"/>
      <w:r>
        <w:rPr>
          <w:rStyle w:val="CharPartNo"/>
        </w:rPr>
        <w:t>Part 5</w:t>
      </w:r>
      <w:r>
        <w:rPr>
          <w:rStyle w:val="CharDivNo"/>
        </w:rPr>
        <w:t> </w:t>
      </w:r>
      <w:r>
        <w:t>—</w:t>
      </w:r>
      <w:r>
        <w:rPr>
          <w:rStyle w:val="CharDivText"/>
        </w:rPr>
        <w:t> </w:t>
      </w:r>
      <w:r>
        <w:rPr>
          <w:rStyle w:val="CharPartText"/>
        </w:rPr>
        <w:t>Miscellaneous matters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zHeading5"/>
      </w:pPr>
      <w:bookmarkStart w:id="207" w:name="_Toc451247545"/>
      <w:bookmarkStart w:id="208" w:name="_Toc451250486"/>
      <w:r>
        <w:rPr>
          <w:rStyle w:val="CharSectno"/>
        </w:rPr>
        <w:t>26</w:t>
      </w:r>
      <w:r>
        <w:t>.</w:t>
      </w:r>
      <w:r>
        <w:tab/>
        <w:t>Regulations</w:t>
      </w:r>
      <w:bookmarkEnd w:id="207"/>
      <w:bookmarkEnd w:id="208"/>
    </w:p>
    <w:p>
      <w:pPr>
        <w:pStyle w:val="nzSubsection"/>
      </w:pPr>
      <w:r>
        <w:tab/>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Heading2"/>
      </w:pPr>
      <w:bookmarkStart w:id="209" w:name="_Toc427920089"/>
      <w:bookmarkStart w:id="210" w:name="_Toc427920510"/>
      <w:bookmarkStart w:id="211" w:name="_Toc427920651"/>
      <w:bookmarkStart w:id="212" w:name="_Toc427937354"/>
      <w:bookmarkStart w:id="213" w:name="_Toc427939108"/>
      <w:bookmarkStart w:id="214" w:name="_Toc427939208"/>
      <w:bookmarkStart w:id="215" w:name="_Toc427939444"/>
      <w:bookmarkStart w:id="216" w:name="_Toc427939531"/>
      <w:bookmarkStart w:id="217" w:name="_Toc427939570"/>
      <w:bookmarkStart w:id="218" w:name="_Toc430087025"/>
      <w:bookmarkStart w:id="219" w:name="_Toc430088450"/>
      <w:bookmarkStart w:id="220" w:name="_Toc430088878"/>
      <w:bookmarkStart w:id="221" w:name="_Toc430335119"/>
      <w:bookmarkStart w:id="222" w:name="_Toc430335158"/>
      <w:bookmarkStart w:id="223" w:name="_Toc435448303"/>
      <w:bookmarkStart w:id="224" w:name="_Toc435637350"/>
      <w:bookmarkStart w:id="225" w:name="_Toc450726967"/>
      <w:bookmarkStart w:id="226" w:name="_Toc451247546"/>
      <w:bookmarkStart w:id="227" w:name="_Toc451250487"/>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zHeading5"/>
      </w:pPr>
      <w:bookmarkStart w:id="228" w:name="_Toc451247547"/>
      <w:bookmarkStart w:id="229" w:name="_Toc451250488"/>
      <w:r>
        <w:rPr>
          <w:rStyle w:val="CharSectno"/>
        </w:rPr>
        <w:t>27</w:t>
      </w:r>
      <w:r>
        <w:t>.</w:t>
      </w:r>
      <w:r>
        <w:tab/>
        <w:t>Act amended</w:t>
      </w:r>
      <w:bookmarkEnd w:id="228"/>
      <w:bookmarkEnd w:id="229"/>
    </w:p>
    <w:p>
      <w:pPr>
        <w:pStyle w:val="nzSubsection"/>
      </w:pPr>
      <w:r>
        <w:tab/>
      </w:r>
      <w:r>
        <w:tab/>
        <w:t xml:space="preserve">This Part amends the </w:t>
      </w:r>
      <w:r>
        <w:rPr>
          <w:i/>
        </w:rPr>
        <w:t>Land Administration Act 1997</w:t>
      </w:r>
      <w:r>
        <w:t>.</w:t>
      </w:r>
    </w:p>
    <w:p>
      <w:pPr>
        <w:pStyle w:val="nzHeading5"/>
      </w:pPr>
      <w:bookmarkStart w:id="230" w:name="_Toc451247548"/>
      <w:bookmarkStart w:id="231" w:name="_Toc451250489"/>
      <w:r>
        <w:rPr>
          <w:rStyle w:val="CharSectno"/>
        </w:rPr>
        <w:t>28</w:t>
      </w:r>
      <w:r>
        <w:t>.</w:t>
      </w:r>
      <w:r>
        <w:tab/>
        <w:t>Section 91 amended</w:t>
      </w:r>
      <w:bookmarkEnd w:id="230"/>
      <w:bookmarkEnd w:id="231"/>
    </w:p>
    <w:p>
      <w:pPr>
        <w:pStyle w:val="nzSubsection"/>
      </w:pPr>
      <w:r>
        <w:tab/>
      </w:r>
      <w:r>
        <w:tab/>
        <w:t>After section 91(6) insert:</w:t>
      </w:r>
    </w:p>
    <w:p>
      <w:pPr>
        <w:pStyle w:val="BlankOpen"/>
      </w:pPr>
    </w:p>
    <w:p>
      <w:pPr>
        <w:pStyle w:val="nzSubsection"/>
      </w:pPr>
      <w:r>
        <w:tab/>
        <w:t>(7)</w:t>
      </w:r>
      <w:r>
        <w:tab/>
        <w:t xml:space="preserve">The operation of this section is affected by the </w:t>
      </w:r>
      <w:r>
        <w:rPr>
          <w:i/>
        </w:rPr>
        <w:t>Land Administration (South West Native Title Settlement) Act 2016</w:t>
      </w:r>
      <w:r>
        <w:t xml:space="preserve"> Part 4.</w:t>
      </w:r>
    </w:p>
    <w:p>
      <w:pPr>
        <w:pStyle w:val="BlankClose"/>
      </w:pPr>
    </w:p>
    <w:p>
      <w:pPr>
        <w:pStyle w:val="BlankClose"/>
      </w:pPr>
    </w:p>
    <w:p>
      <w:pPr>
        <w:pStyle w:val="BlankClose"/>
        <w:jc w:val="left"/>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145557"/>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CC65-7C31-4D9F-AEC2-C83197AD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2570</Words>
  <Characters>12465</Characters>
  <Application>Microsoft Office Word</Application>
  <DocSecurity>0</DocSecurity>
  <Lines>356</Lines>
  <Paragraphs>217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2016 - 00-a0-00</dc:title>
  <dc:subject/>
  <dc:creator/>
  <cp:keywords/>
  <dc:description/>
  <cp:lastModifiedBy>svcMRProcess</cp:lastModifiedBy>
  <cp:revision>4</cp:revision>
  <cp:lastPrinted>2016-05-17T03:28:00Z</cp:lastPrinted>
  <dcterms:created xsi:type="dcterms:W3CDTF">2018-09-19T17:28:00Z</dcterms:created>
  <dcterms:modified xsi:type="dcterms:W3CDTF">2018-09-19T17:28:00Z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AsAtDate">
    <vt:lpwstr>16 May 2016</vt:lpwstr>
  </property>
  <property fmtid="{D5CDD505-2E9C-101B-9397-08002B2CF9AE}" pid="6" name="Suffix">
    <vt:lpwstr>00-a0-00</vt:lpwstr>
  </property>
  <property fmtid="{D5CDD505-2E9C-101B-9397-08002B2CF9AE}" pid="7" name="CommencementDate">
    <vt:lpwstr>20160516</vt:lpwstr>
  </property>
</Properties>
</file>