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_Toc423508023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_Toc423508024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_Toc423508025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_Toc423508026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_Toc423508027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_Toc423508028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_Toc423508029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_Toc423508030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_Toc423508031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_Toc423508032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_Toc423508035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3" w:name="_Toc407194575"/>
      <w:bookmarkStart w:id="4" w:name="_Toc42350802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423508024"/>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194577"/>
      <w:bookmarkStart w:id="8" w:name="_Toc423508025"/>
      <w:r>
        <w:rPr>
          <w:rStyle w:val="CharSectno"/>
        </w:rPr>
        <w:t>3</w:t>
      </w:r>
      <w:r>
        <w:rPr>
          <w:snapToGrid w:val="0"/>
        </w:rPr>
        <w:t>.</w:t>
      </w:r>
      <w:r>
        <w:rPr>
          <w:snapToGrid w:val="0"/>
        </w:rPr>
        <w:tab/>
        <w:t>Categories of events</w:t>
      </w:r>
      <w:bookmarkEnd w:id="7"/>
      <w:bookmarkEnd w:id="8"/>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w:t>
      </w:r>
    </w:p>
    <w:p>
      <w:pPr>
        <w:pStyle w:val="Heading5"/>
        <w:rPr>
          <w:snapToGrid w:val="0"/>
        </w:rPr>
      </w:pPr>
      <w:bookmarkStart w:id="9" w:name="_Toc407194578"/>
      <w:bookmarkStart w:id="10" w:name="_Toc423508026"/>
      <w:r>
        <w:rPr>
          <w:rStyle w:val="CharSectno"/>
        </w:rPr>
        <w:t>4</w:t>
      </w:r>
      <w:r>
        <w:rPr>
          <w:snapToGrid w:val="0"/>
        </w:rPr>
        <w:t>.</w:t>
      </w:r>
      <w:r>
        <w:rPr>
          <w:snapToGrid w:val="0"/>
        </w:rPr>
        <w:tab/>
        <w:t>Approvals</w:t>
      </w:r>
      <w:bookmarkEnd w:id="9"/>
      <w:bookmarkEnd w:id="10"/>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1" w:name="_Toc407194579"/>
      <w:r>
        <w:tab/>
        <w:t>[Regulation 4 amended in Gazette 23 Dec 2014 p. 4931 and 4932.]</w:t>
      </w:r>
    </w:p>
    <w:p>
      <w:pPr>
        <w:pStyle w:val="Heading5"/>
        <w:rPr>
          <w:snapToGrid w:val="0"/>
        </w:rPr>
      </w:pPr>
      <w:bookmarkStart w:id="12" w:name="_Toc423508027"/>
      <w:r>
        <w:rPr>
          <w:rStyle w:val="CharSectno"/>
        </w:rPr>
        <w:t>5</w:t>
      </w:r>
      <w:r>
        <w:rPr>
          <w:snapToGrid w:val="0"/>
        </w:rPr>
        <w:t>.</w:t>
      </w:r>
      <w:r>
        <w:rPr>
          <w:snapToGrid w:val="0"/>
        </w:rPr>
        <w:tab/>
        <w:t>Occupier’s consent</w:t>
      </w:r>
      <w:bookmarkEnd w:id="11"/>
      <w:bookmarkEnd w:id="12"/>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3" w:name="_Toc407194580"/>
      <w:bookmarkStart w:id="14" w:name="_Toc423508028"/>
      <w:r>
        <w:rPr>
          <w:rStyle w:val="CharSectno"/>
        </w:rPr>
        <w:t>6</w:t>
      </w:r>
      <w:r>
        <w:rPr>
          <w:snapToGrid w:val="0"/>
        </w:rPr>
        <w:t>.</w:t>
      </w:r>
      <w:r>
        <w:rPr>
          <w:snapToGrid w:val="0"/>
        </w:rPr>
        <w:tab/>
        <w:t>Application for order</w:t>
      </w:r>
      <w:bookmarkEnd w:id="13"/>
      <w:bookmarkEnd w:id="14"/>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zTHeadingNAm"/>
      </w:pPr>
      <w:r>
        <w:t>Table</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26"/>
        <w:gridCol w:w="2127"/>
      </w:tblGrid>
      <w:tr>
        <w:trPr>
          <w:tblHeader/>
        </w:trPr>
        <w:tc>
          <w:tcPr>
            <w:tcW w:w="2126" w:type="dxa"/>
          </w:tcPr>
          <w:p>
            <w:pPr>
              <w:pStyle w:val="TableNAm"/>
              <w:jc w:val="center"/>
            </w:pPr>
            <w:r>
              <w:rPr>
                <w:b/>
                <w:bCs/>
              </w:rPr>
              <w:t>Category event</w:t>
            </w:r>
          </w:p>
        </w:tc>
        <w:tc>
          <w:tcPr>
            <w:tcW w:w="2127" w:type="dxa"/>
          </w:tcPr>
          <w:p>
            <w:pPr>
              <w:pStyle w:val="TableNAm"/>
              <w:jc w:val="center"/>
            </w:pPr>
            <w:r>
              <w:rPr>
                <w:b/>
                <w:bCs/>
              </w:rPr>
              <w:t>Fee</w:t>
            </w:r>
            <w:r>
              <w:rPr>
                <w:b/>
                <w:bCs/>
              </w:rPr>
              <w:br/>
              <w:t>$</w:t>
            </w:r>
          </w:p>
        </w:tc>
      </w:tr>
      <w:tr>
        <w:tc>
          <w:tcPr>
            <w:tcW w:w="2126" w:type="dxa"/>
          </w:tcPr>
          <w:p>
            <w:pPr>
              <w:pStyle w:val="TableNAm"/>
            </w:pPr>
            <w:r>
              <w:t>Category 1 event</w:t>
            </w:r>
          </w:p>
        </w:tc>
        <w:tc>
          <w:tcPr>
            <w:tcW w:w="2127" w:type="dxa"/>
          </w:tcPr>
          <w:p>
            <w:pPr>
              <w:pStyle w:val="TableNAm"/>
              <w:jc w:val="center"/>
            </w:pPr>
            <w:r>
              <w:t>197.40</w:t>
            </w:r>
          </w:p>
        </w:tc>
      </w:tr>
      <w:tr>
        <w:tc>
          <w:tcPr>
            <w:tcW w:w="2126" w:type="dxa"/>
          </w:tcPr>
          <w:p>
            <w:pPr>
              <w:pStyle w:val="TableNAm"/>
            </w:pPr>
            <w:r>
              <w:t>Category 2 event</w:t>
            </w:r>
          </w:p>
        </w:tc>
        <w:tc>
          <w:tcPr>
            <w:tcW w:w="2127" w:type="dxa"/>
          </w:tcPr>
          <w:p>
            <w:pPr>
              <w:pStyle w:val="TableNAm"/>
              <w:jc w:val="center"/>
            </w:pPr>
            <w:r>
              <w:t>118.70</w:t>
            </w:r>
          </w:p>
        </w:tc>
      </w:tr>
      <w:tr>
        <w:tc>
          <w:tcPr>
            <w:tcW w:w="2126" w:type="dxa"/>
          </w:tcPr>
          <w:p>
            <w:pPr>
              <w:pStyle w:val="TableNAm"/>
            </w:pPr>
            <w:r>
              <w:t>Category 3 event</w:t>
            </w:r>
          </w:p>
        </w:tc>
        <w:tc>
          <w:tcPr>
            <w:tcW w:w="2127" w:type="dxa"/>
          </w:tcPr>
          <w:p>
            <w:pPr>
              <w:pStyle w:val="TableNAm"/>
              <w:jc w:val="center"/>
            </w:pPr>
            <w:r>
              <w:t>79.80</w:t>
            </w:r>
          </w:p>
        </w:tc>
      </w:tr>
      <w:tr>
        <w:tc>
          <w:tcPr>
            <w:tcW w:w="2126" w:type="dxa"/>
          </w:tcPr>
          <w:p>
            <w:pPr>
              <w:pStyle w:val="TableNAm"/>
            </w:pPr>
            <w:r>
              <w:t>Category 4 event</w:t>
            </w:r>
          </w:p>
        </w:tc>
        <w:tc>
          <w:tcPr>
            <w:tcW w:w="2127" w:type="dxa"/>
          </w:tcPr>
          <w:p>
            <w:pPr>
              <w:pStyle w:val="TableNAm"/>
              <w:jc w:val="center"/>
            </w:pPr>
            <w:r>
              <w:t>79.80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 23 Dec 2014 p. 4931; 2 Jun 2015 p. 1946.]</w:t>
      </w:r>
    </w:p>
    <w:p>
      <w:pPr>
        <w:pStyle w:val="Heading5"/>
        <w:rPr>
          <w:snapToGrid w:val="0"/>
        </w:rPr>
      </w:pPr>
      <w:bookmarkStart w:id="15" w:name="_Toc407194581"/>
      <w:bookmarkStart w:id="16" w:name="_Toc423508029"/>
      <w:r>
        <w:rPr>
          <w:rStyle w:val="CharSectno"/>
        </w:rPr>
        <w:t>7</w:t>
      </w:r>
      <w:r>
        <w:rPr>
          <w:snapToGrid w:val="0"/>
        </w:rPr>
        <w:t>.</w:t>
      </w:r>
      <w:r>
        <w:rPr>
          <w:snapToGrid w:val="0"/>
        </w:rPr>
        <w:tab/>
        <w:t>Time for making application</w:t>
      </w:r>
      <w:bookmarkEnd w:id="15"/>
      <w:bookmarkEnd w:id="1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17" w:name="_Toc407194582"/>
      <w:bookmarkStart w:id="18" w:name="_Toc423508030"/>
      <w:r>
        <w:rPr>
          <w:rStyle w:val="CharSectno"/>
        </w:rPr>
        <w:t>8</w:t>
      </w:r>
      <w:r>
        <w:rPr>
          <w:snapToGrid w:val="0"/>
        </w:rPr>
        <w:t>.</w:t>
      </w:r>
      <w:r>
        <w:rPr>
          <w:snapToGrid w:val="0"/>
        </w:rPr>
        <w:tab/>
        <w:t>Order</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in Gazette 10 Jun 2008 p. 2460; 23 Dec 2014 p. 4932.]</w:t>
      </w:r>
    </w:p>
    <w:p>
      <w:pPr>
        <w:pStyle w:val="Heading5"/>
        <w:rPr>
          <w:snapToGrid w:val="0"/>
        </w:rPr>
      </w:pPr>
      <w:bookmarkStart w:id="19" w:name="_Toc407194583"/>
      <w:bookmarkStart w:id="20" w:name="_Toc423508031"/>
      <w:r>
        <w:rPr>
          <w:rStyle w:val="CharSectno"/>
        </w:rPr>
        <w:t>9</w:t>
      </w:r>
      <w:r>
        <w:rPr>
          <w:snapToGrid w:val="0"/>
        </w:rPr>
        <w:t>.</w:t>
      </w:r>
      <w:r>
        <w:rPr>
          <w:snapToGrid w:val="0"/>
        </w:rPr>
        <w:tab/>
        <w:t>Erection of barriers, signs and other equipment</w:t>
      </w:r>
      <w:bookmarkEnd w:id="19"/>
      <w:bookmarkEnd w:id="20"/>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in Gazette 10 Jun 2008 p. 2461; 23 Dec 2014 p. 4932.]</w:t>
      </w:r>
    </w:p>
    <w:p>
      <w:pPr>
        <w:pStyle w:val="Heading5"/>
        <w:rPr>
          <w:snapToGrid w:val="0"/>
        </w:rPr>
      </w:pPr>
      <w:bookmarkStart w:id="21" w:name="_Toc407194584"/>
      <w:bookmarkStart w:id="22" w:name="_Toc423508032"/>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 w:name="_Toc407194585"/>
      <w:bookmarkStart w:id="24" w:name="_Toc417032787"/>
      <w:bookmarkStart w:id="25" w:name="_Toc417032805"/>
      <w:bookmarkStart w:id="26" w:name="_Toc417477724"/>
      <w:bookmarkStart w:id="27" w:name="_Toc417477763"/>
      <w:bookmarkStart w:id="28" w:name="_Toc421023274"/>
      <w:bookmarkStart w:id="29" w:name="_Toc423508033"/>
      <w:r>
        <w:rPr>
          <w:rStyle w:val="CharSchNo"/>
        </w:rPr>
        <w:t>Schedule 1</w:t>
      </w:r>
      <w:bookmarkEnd w:id="23"/>
      <w:bookmarkEnd w:id="24"/>
      <w:bookmarkEnd w:id="25"/>
      <w:bookmarkEnd w:id="26"/>
      <w:bookmarkEnd w:id="27"/>
      <w:bookmarkEnd w:id="28"/>
      <w:bookmarkEnd w:id="29"/>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in Gazette 22 Feb 1991 p. 909</w:t>
      </w:r>
      <w:r>
        <w:noBreakHyphen/>
        <w:t>11; amended in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in Gazette 23 Dec 2014 p. 4932 and 4933.]</w:t>
      </w:r>
    </w:p>
    <w:p>
      <w:pPr>
        <w:pStyle w:val="yEdnoteschedule"/>
      </w:pPr>
      <w:r>
        <w:t>[Schedule 2 deleted in Gazette 28 Nov 2006 p. 4913.]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1" w:name="_Toc407194586"/>
      <w:bookmarkStart w:id="32" w:name="_Toc417032788"/>
      <w:bookmarkStart w:id="33" w:name="_Toc417032806"/>
      <w:bookmarkStart w:id="34" w:name="_Toc417477725"/>
      <w:bookmarkStart w:id="35" w:name="_Toc417477764"/>
      <w:bookmarkStart w:id="36" w:name="_Toc421023275"/>
      <w:bookmarkStart w:id="37" w:name="_Toc423508034"/>
      <w:r>
        <w:t>Notes</w:t>
      </w:r>
      <w:bookmarkEnd w:id="31"/>
      <w:bookmarkEnd w:id="32"/>
      <w:bookmarkEnd w:id="33"/>
      <w:bookmarkEnd w:id="34"/>
      <w:bookmarkEnd w:id="35"/>
      <w:bookmarkEnd w:id="36"/>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 w:name="_Toc407194587"/>
      <w:bookmarkStart w:id="39" w:name="_Toc423508035"/>
      <w:r>
        <w:rPr>
          <w:snapToGrid w:val="0"/>
        </w:rP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Borders>
              <w:bottom w:val="single" w:sz="4" w:space="0" w:color="auto"/>
            </w:tcBorders>
          </w:tcPr>
          <w:p>
            <w:pPr>
              <w:pStyle w:val="nTable"/>
              <w:spacing w:before="80" w:after="60"/>
              <w:ind w:right="113"/>
              <w:rPr>
                <w:i/>
              </w:rPr>
            </w:pPr>
            <w:r>
              <w:rPr>
                <w:i/>
              </w:rPr>
              <w:t>Road Traffic (Events on Roads) Amendment Regulations 2015</w:t>
            </w:r>
          </w:p>
        </w:tc>
        <w:tc>
          <w:tcPr>
            <w:tcW w:w="1276" w:type="dxa"/>
            <w:tcBorders>
              <w:bottom w:val="single" w:sz="4" w:space="0" w:color="auto"/>
            </w:tcBorders>
          </w:tcPr>
          <w:p>
            <w:pPr>
              <w:pStyle w:val="nTable"/>
              <w:spacing w:before="80" w:after="60"/>
              <w:ind w:right="113"/>
            </w:pPr>
            <w:r>
              <w:t>2 Jun 2015 p. 1946</w:t>
            </w:r>
          </w:p>
        </w:tc>
        <w:tc>
          <w:tcPr>
            <w:tcW w:w="2693" w:type="dxa"/>
            <w:tcBorders>
              <w:bottom w:val="single" w:sz="4" w:space="0" w:color="auto"/>
            </w:tcBorders>
          </w:tcPr>
          <w:p>
            <w:pPr>
              <w:pStyle w:val="nTable"/>
              <w:spacing w:before="80" w:after="60"/>
              <w:ind w:right="113"/>
            </w:pPr>
            <w:r>
              <w:t>r. 1 and 2: 2 Jun 2015 (see r. 2(a));</w:t>
            </w:r>
            <w: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(Events on Roads) Amendment Regulations 2016</w:t>
            </w:r>
            <w:r>
              <w:t xml:space="preserve"> r. 3-5</w:t>
            </w:r>
            <w:r>
              <w:rPr>
                <w:i/>
              </w:rPr>
              <w:t> </w:t>
            </w:r>
            <w:r>
              <w:rPr>
                <w:vertAlign w:val="superscript"/>
              </w:rPr>
              <w:t>2</w:t>
            </w:r>
          </w:p>
        </w:tc>
        <w:tc>
          <w:tcPr>
            <w:tcW w:w="1276" w:type="dxa"/>
          </w:tcPr>
          <w:p>
            <w:pPr>
              <w:pStyle w:val="nTable"/>
              <w:spacing w:after="40"/>
            </w:pPr>
            <w:r>
              <w:t>27 May 2016 p. 1557</w:t>
            </w:r>
          </w:p>
        </w:tc>
        <w:tc>
          <w:tcPr>
            <w:tcW w:w="2693" w:type="dxa"/>
          </w:tcPr>
          <w:p>
            <w:pPr>
              <w:pStyle w:val="nTable"/>
              <w:spacing w:after="40"/>
            </w:pPr>
            <w:r>
              <w:t>1 Jul 2016 (see r. 2(b))</w:t>
            </w:r>
          </w:p>
        </w:tc>
      </w:tr>
    </w:tbl>
    <w:p>
      <w:pPr>
        <w:pStyle w:val="nSubsection"/>
        <w:spacing w:before="200"/>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Road Traffic (Events on Roads) Amendment Regulations 2016 </w:t>
      </w:r>
      <w:r>
        <w:t>r. 3-5</w:t>
      </w:r>
      <w:r>
        <w:rPr>
          <w:snapToGrid w:val="0"/>
        </w:rPr>
        <w:t xml:space="preserve"> had not come into operation.  They read as follows:</w:t>
      </w:r>
    </w:p>
    <w:p>
      <w:pPr>
        <w:pStyle w:val="BlankOpen"/>
      </w:pPr>
    </w:p>
    <w:p>
      <w:pPr>
        <w:pStyle w:val="nzHeading5"/>
        <w:rPr>
          <w:snapToGrid w:val="0"/>
        </w:rPr>
      </w:pPr>
      <w:bookmarkStart w:id="40" w:name="_Toc450211535"/>
      <w:bookmarkStart w:id="41" w:name="_Toc450212799"/>
      <w:r>
        <w:rPr>
          <w:rStyle w:val="CharSectno"/>
        </w:rPr>
        <w:t>3</w:t>
      </w:r>
      <w:r>
        <w:rPr>
          <w:snapToGrid w:val="0"/>
        </w:rPr>
        <w:t>.</w:t>
      </w:r>
      <w:r>
        <w:rPr>
          <w:snapToGrid w:val="0"/>
        </w:rPr>
        <w:tab/>
        <w:t>Regulations amended</w:t>
      </w:r>
      <w:bookmarkEnd w:id="40"/>
      <w:bookmarkEnd w:id="41"/>
    </w:p>
    <w:p>
      <w:pPr>
        <w:pStyle w:val="nzSubsection"/>
      </w:pPr>
      <w:r>
        <w:tab/>
      </w:r>
      <w:r>
        <w:tab/>
      </w:r>
      <w:r>
        <w:rPr>
          <w:spacing w:val="-2"/>
        </w:rPr>
        <w:t>These</w:t>
      </w:r>
      <w:r>
        <w:t xml:space="preserve"> regulations amend the </w:t>
      </w:r>
      <w:r>
        <w:rPr>
          <w:i/>
        </w:rPr>
        <w:t>Road Traffic (Events on Roads) Regulations 1991</w:t>
      </w:r>
      <w:r>
        <w:t>.</w:t>
      </w:r>
    </w:p>
    <w:p>
      <w:pPr>
        <w:pStyle w:val="nzHeading5"/>
      </w:pPr>
      <w:bookmarkStart w:id="42" w:name="_Toc450211536"/>
      <w:bookmarkStart w:id="43" w:name="_Toc450212800"/>
      <w:r>
        <w:rPr>
          <w:rStyle w:val="CharSectno"/>
        </w:rPr>
        <w:t>4</w:t>
      </w:r>
      <w:r>
        <w:t>.</w:t>
      </w:r>
      <w:r>
        <w:tab/>
        <w:t>Regulation 3 amended</w:t>
      </w:r>
      <w:bookmarkEnd w:id="42"/>
      <w:bookmarkEnd w:id="43"/>
    </w:p>
    <w:p>
      <w:pPr>
        <w:pStyle w:val="nzSubsection"/>
      </w:pPr>
      <w:r>
        <w:tab/>
      </w:r>
      <w:r>
        <w:tab/>
        <w:t>In regulation 3(1) delete “event a —” and insert:</w:t>
      </w:r>
    </w:p>
    <w:p>
      <w:pPr>
        <w:pStyle w:val="BlankOpen"/>
      </w:pPr>
    </w:p>
    <w:p>
      <w:pPr>
        <w:pStyle w:val="nzSubsection"/>
      </w:pPr>
      <w:r>
        <w:tab/>
      </w:r>
      <w:r>
        <w:tab/>
        <w:t>event as —</w:t>
      </w:r>
    </w:p>
    <w:p>
      <w:pPr>
        <w:pStyle w:val="BlankClose"/>
      </w:pPr>
    </w:p>
    <w:p>
      <w:pPr>
        <w:pStyle w:val="nzHeading5"/>
      </w:pPr>
      <w:bookmarkStart w:id="44" w:name="_Toc450211537"/>
      <w:bookmarkStart w:id="45" w:name="_Toc450212801"/>
      <w:r>
        <w:rPr>
          <w:rStyle w:val="CharSectno"/>
        </w:rPr>
        <w:t>5</w:t>
      </w:r>
      <w:r>
        <w:t>.</w:t>
      </w:r>
      <w:r>
        <w:tab/>
        <w:t>Regulation 6 amended</w:t>
      </w:r>
      <w:bookmarkEnd w:id="44"/>
      <w:bookmarkEnd w:id="45"/>
    </w:p>
    <w:p>
      <w:pPr>
        <w:pStyle w:val="nzSubsection"/>
        <w:keepNext/>
      </w:pPr>
      <w:r>
        <w:tab/>
      </w:r>
      <w:r>
        <w:tab/>
        <w:t>In regulation 6(2)(c)(i) delete the Table and insert:</w:t>
      </w:r>
    </w:p>
    <w:p>
      <w:pPr>
        <w:pStyle w:val="BlankOpen"/>
      </w:pPr>
    </w:p>
    <w:p>
      <w:pPr>
        <w:pStyle w:val="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TableNAm"/>
              <w:jc w:val="center"/>
              <w:rPr>
                <w:b/>
                <w:bCs/>
                <w:sz w:val="20"/>
              </w:rPr>
            </w:pPr>
            <w:r>
              <w:rPr>
                <w:b/>
                <w:bCs/>
                <w:sz w:val="20"/>
              </w:rPr>
              <w:t>Category event</w:t>
            </w:r>
          </w:p>
        </w:tc>
        <w:tc>
          <w:tcPr>
            <w:tcW w:w="2977" w:type="dxa"/>
          </w:tcPr>
          <w:p>
            <w:pPr>
              <w:pStyle w:val="TableNAm"/>
              <w:jc w:val="center"/>
              <w:rPr>
                <w:b/>
                <w:bCs/>
                <w:sz w:val="20"/>
              </w:rPr>
            </w:pPr>
            <w:r>
              <w:rPr>
                <w:b/>
                <w:bCs/>
                <w:sz w:val="20"/>
              </w:rPr>
              <w:t>Fee</w:t>
            </w:r>
          </w:p>
          <w:p>
            <w:pPr>
              <w:pStyle w:val="TableNAm"/>
              <w:spacing w:before="0"/>
              <w:jc w:val="center"/>
              <w:rPr>
                <w:b/>
                <w:bCs/>
                <w:sz w:val="20"/>
              </w:rPr>
            </w:pPr>
            <w:r>
              <w:rPr>
                <w:b/>
                <w:bCs/>
                <w:sz w:val="20"/>
              </w:rPr>
              <w:t>$</w:t>
            </w:r>
          </w:p>
        </w:tc>
      </w:tr>
      <w:tr>
        <w:tc>
          <w:tcPr>
            <w:tcW w:w="2835" w:type="dxa"/>
          </w:tcPr>
          <w:p>
            <w:pPr>
              <w:pStyle w:val="TableNAm"/>
              <w:rPr>
                <w:sz w:val="20"/>
              </w:rPr>
            </w:pPr>
            <w:r>
              <w:rPr>
                <w:sz w:val="20"/>
              </w:rPr>
              <w:t>Category 1 event</w:t>
            </w:r>
          </w:p>
        </w:tc>
        <w:tc>
          <w:tcPr>
            <w:tcW w:w="2977" w:type="dxa"/>
          </w:tcPr>
          <w:p>
            <w:pPr>
              <w:pStyle w:val="TableNAm"/>
              <w:jc w:val="center"/>
              <w:rPr>
                <w:sz w:val="20"/>
              </w:rPr>
            </w:pPr>
            <w:r>
              <w:rPr>
                <w:sz w:val="20"/>
              </w:rPr>
              <w:t>199.50</w:t>
            </w:r>
          </w:p>
        </w:tc>
      </w:tr>
      <w:tr>
        <w:tc>
          <w:tcPr>
            <w:tcW w:w="2835" w:type="dxa"/>
          </w:tcPr>
          <w:p>
            <w:pPr>
              <w:pStyle w:val="TableNAm"/>
              <w:rPr>
                <w:sz w:val="20"/>
              </w:rPr>
            </w:pPr>
            <w:r>
              <w:rPr>
                <w:sz w:val="20"/>
              </w:rPr>
              <w:t>Category 2 event</w:t>
            </w:r>
          </w:p>
        </w:tc>
        <w:tc>
          <w:tcPr>
            <w:tcW w:w="2977" w:type="dxa"/>
          </w:tcPr>
          <w:p>
            <w:pPr>
              <w:pStyle w:val="TableNAm"/>
              <w:jc w:val="center"/>
              <w:rPr>
                <w:sz w:val="20"/>
              </w:rPr>
            </w:pPr>
            <w:r>
              <w:rPr>
                <w:sz w:val="20"/>
              </w:rPr>
              <w:t>120.00</w:t>
            </w:r>
          </w:p>
        </w:tc>
      </w:tr>
      <w:tr>
        <w:tc>
          <w:tcPr>
            <w:tcW w:w="2835" w:type="dxa"/>
          </w:tcPr>
          <w:p>
            <w:pPr>
              <w:pStyle w:val="TableNAm"/>
              <w:rPr>
                <w:sz w:val="20"/>
              </w:rPr>
            </w:pPr>
            <w:r>
              <w:rPr>
                <w:sz w:val="20"/>
              </w:rPr>
              <w:t>Category 3 event</w:t>
            </w:r>
          </w:p>
        </w:tc>
        <w:tc>
          <w:tcPr>
            <w:tcW w:w="2977" w:type="dxa"/>
          </w:tcPr>
          <w:p>
            <w:pPr>
              <w:pStyle w:val="TableNAm"/>
              <w:jc w:val="center"/>
              <w:rPr>
                <w:sz w:val="20"/>
              </w:rPr>
            </w:pPr>
            <w:r>
              <w:rPr>
                <w:sz w:val="20"/>
              </w:rPr>
              <w:t>80.60</w:t>
            </w:r>
          </w:p>
        </w:tc>
      </w:tr>
      <w:tr>
        <w:tc>
          <w:tcPr>
            <w:tcW w:w="2835" w:type="dxa"/>
          </w:tcPr>
          <w:p>
            <w:pPr>
              <w:pStyle w:val="TableNAm"/>
              <w:rPr>
                <w:sz w:val="20"/>
              </w:rPr>
            </w:pPr>
            <w:r>
              <w:rPr>
                <w:sz w:val="20"/>
              </w:rPr>
              <w:t>Category 4 event</w:t>
            </w:r>
          </w:p>
        </w:tc>
        <w:tc>
          <w:tcPr>
            <w:tcW w:w="2977" w:type="dxa"/>
          </w:tcPr>
          <w:p>
            <w:pPr>
              <w:pStyle w:val="TableNAm"/>
              <w:jc w:val="center"/>
              <w:rPr>
                <w:sz w:val="20"/>
              </w:rPr>
            </w:pPr>
            <w:r>
              <w:rPr>
                <w:sz w:val="20"/>
              </w:rPr>
              <w:t>80.60</w:t>
            </w:r>
          </w:p>
        </w:tc>
      </w:tr>
    </w:tbl>
    <w:p>
      <w:pPr>
        <w:pStyle w:val="BlankClose"/>
      </w:pPr>
    </w:p>
    <w:p>
      <w:pPr>
        <w:pStyle w:val="BlankOpen"/>
        <w:keepNext w:val="0"/>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May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3080</Words>
  <Characters>22302</Characters>
  <Application>Microsoft Office Word</Application>
  <DocSecurity>0</DocSecurity>
  <Lines>557</Lines>
  <Paragraphs>384</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24998</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1991 - 02-h0-00</dc:title>
  <dc:subject/>
  <dc:creator/>
  <cp:keywords/>
  <dc:description/>
  <cp:lastModifiedBy>svcMRProcess</cp:lastModifiedBy>
  <cp:revision>4</cp:revision>
  <cp:lastPrinted>2007-02-06T00:52:00Z</cp:lastPrinted>
  <dcterms:created xsi:type="dcterms:W3CDTF">2016-05-27T01:26:00Z</dcterms:created>
  <dcterms:modified xsi:type="dcterms:W3CDTF">2016-05-27T01:26:00Z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27 May 2016</vt:lpwstr>
  </property>
  <property fmtid="{D5CDD505-2E9C-101B-9397-08002B2CF9AE}" pid="7" name="Suffix">
    <vt:lpwstr>02-h0-00</vt:lpwstr>
  </property>
  <property fmtid="{D5CDD505-2E9C-101B-9397-08002B2CF9AE}" pid="8" name="CommencementDate">
    <vt:lpwstr>20160527</vt:lpwstr>
  </property>
</Properties>
</file>