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_Toc156356769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_Toc156356770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_Toc156356771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Amounts prescribed in relation to definition of “account charge”</w:t>
      </w:r>
      <w:r>
        <w:tab/>
      </w:r>
      <w:r>
        <w:fldChar w:fldCharType="begin"/>
      </w:r>
      <w:r>
        <w:instrText xml:space="preserve"> PAGEREF _Toc156356772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Exclusion from definition of “credit sale contract”</w:t>
      </w:r>
      <w:r>
        <w:tab/>
      </w:r>
      <w:r>
        <w:fldChar w:fldCharType="begin"/>
      </w:r>
      <w:r>
        <w:instrText xml:space="preserve"> PAGEREF _Toc156356773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Goods prescribed as farm machinery</w:t>
      </w:r>
      <w:r>
        <w:tab/>
      </w:r>
      <w:r>
        <w:fldChar w:fldCharType="begin"/>
      </w:r>
      <w:r>
        <w:instrText xml:space="preserve"> PAGEREF _Toc156356774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Statutory rebate in relation to prescribed insurance charges</w:t>
      </w:r>
      <w:r>
        <w:tab/>
      </w:r>
      <w:r>
        <w:fldChar w:fldCharType="begin"/>
      </w:r>
      <w:r>
        <w:instrText xml:space="preserve"> PAGEREF _Toc156356775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Transfer of proceedings from Tribunal to court</w:t>
      </w:r>
      <w:r>
        <w:tab/>
      </w:r>
      <w:r>
        <w:fldChar w:fldCharType="begin"/>
      </w:r>
      <w:r>
        <w:instrText xml:space="preserve"> PAGEREF _Toc156356776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method for calculation of accrued credit charge</w:t>
      </w:r>
      <w:r>
        <w:tab/>
      </w:r>
      <w:r>
        <w:fldChar w:fldCharType="begin"/>
      </w:r>
      <w:r>
        <w:instrText xml:space="preserve"> PAGEREF _Toc156356777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Form of mortgage of goods</w:t>
      </w:r>
      <w:r>
        <w:tab/>
      </w:r>
      <w:r>
        <w:fldChar w:fldCharType="begin"/>
      </w:r>
      <w:r>
        <w:instrText xml:space="preserve"> PAGEREF _Toc156356778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for credit sale and loan contracts</w:t>
      </w:r>
      <w:r>
        <w:tab/>
      </w:r>
      <w:r>
        <w:fldChar w:fldCharType="begin"/>
      </w:r>
      <w:r>
        <w:instrText xml:space="preserve"> PAGEREF _Toc156356779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Statement for credit sale and loan contracts</w:t>
      </w:r>
      <w:r>
        <w:tab/>
      </w:r>
      <w:r>
        <w:fldChar w:fldCharType="begin"/>
      </w:r>
      <w:r>
        <w:instrText xml:space="preserve"> PAGEREF _Toc156356780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Notice for add</w:t>
      </w:r>
      <w:r>
        <w:rPr>
          <w:snapToGrid w:val="0"/>
          <w:szCs w:val="24"/>
        </w:rPr>
        <w:noBreakHyphen/>
        <w:t>on contracts</w:t>
      </w:r>
      <w:r>
        <w:tab/>
      </w:r>
      <w:r>
        <w:fldChar w:fldCharType="begin"/>
      </w:r>
      <w:r>
        <w:instrText xml:space="preserve"> PAGEREF _Toc156356781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Applicable method of determining annual percentage rate</w:t>
      </w:r>
      <w:r>
        <w:tab/>
      </w:r>
      <w:r>
        <w:fldChar w:fldCharType="begin"/>
      </w:r>
      <w:r>
        <w:instrText xml:space="preserve"> PAGEREF _Toc156356782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Unilateral variation of credit sale and loan contracts</w:t>
      </w:r>
      <w:r>
        <w:tab/>
      </w:r>
      <w:r>
        <w:fldChar w:fldCharType="begin"/>
      </w:r>
      <w:r>
        <w:instrText xml:space="preserve"> PAGEREF _Toc156356783 \h </w:instrText>
      </w:r>
      <w:r>
        <w:fldChar w:fldCharType="separate"/>
      </w:r>
      <w:r>
        <w:t>6</w:t>
      </w:r>
      <w:r>
        <w:fldChar w:fldCharType="end"/>
      </w:r>
    </w:p>
    <w:p>
      <w:pPr>
        <w:pStyle w:val="TOC8"/>
        <w:rPr>
          <w:sz w:val="24"/>
          <w:szCs w:val="24"/>
        </w:rPr>
      </w:pPr>
      <w:r>
        <w:rPr>
          <w:szCs w:val="24"/>
        </w:rPr>
        <w:t>14A</w:t>
      </w:r>
      <w:r>
        <w:rPr>
          <w:snapToGrid w:val="0"/>
          <w:szCs w:val="24"/>
        </w:rPr>
        <w:t>.</w:t>
      </w:r>
      <w:r>
        <w:rPr>
          <w:snapToGrid w:val="0"/>
          <w:szCs w:val="24"/>
        </w:rPr>
        <w:tab/>
        <w:t>Prescribed charges in relation to continuing credit contracts</w:t>
      </w:r>
      <w:r>
        <w:tab/>
      </w:r>
      <w:r>
        <w:fldChar w:fldCharType="begin"/>
      </w:r>
      <w:r>
        <w:instrText xml:space="preserve"> PAGEREF _Toc156356784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Statement for continuing credit contracts</w:t>
      </w:r>
      <w:r>
        <w:tab/>
      </w:r>
      <w:r>
        <w:fldChar w:fldCharType="begin"/>
      </w:r>
      <w:r>
        <w:instrText xml:space="preserve"> PAGEREF _Toc156356785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Information in default notice</w:t>
      </w:r>
      <w:r>
        <w:tab/>
      </w:r>
      <w:r>
        <w:fldChar w:fldCharType="begin"/>
      </w:r>
      <w:r>
        <w:instrText xml:space="preserve"> PAGEREF _Toc156356786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Notice after taking possession of mortgaged goods</w:t>
      </w:r>
      <w:r>
        <w:tab/>
      </w:r>
      <w:r>
        <w:fldChar w:fldCharType="begin"/>
      </w:r>
      <w:r>
        <w:instrText xml:space="preserve"> PAGEREF _Toc156356787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Notice in bills of exchange taken as security</w:t>
      </w:r>
      <w:r>
        <w:tab/>
      </w:r>
      <w:r>
        <w:fldChar w:fldCharType="begin"/>
      </w:r>
      <w:r>
        <w:instrText xml:space="preserve"> PAGEREF _Toc156356788 \h </w:instrText>
      </w:r>
      <w:r>
        <w:fldChar w:fldCharType="separate"/>
      </w:r>
      <w:r>
        <w:t>8</w:t>
      </w:r>
      <w:r>
        <w:fldChar w:fldCharType="end"/>
      </w:r>
    </w:p>
    <w:p>
      <w:pPr>
        <w:pStyle w:val="TOC8"/>
        <w:rPr>
          <w:sz w:val="24"/>
          <w:szCs w:val="24"/>
        </w:rPr>
      </w:pPr>
      <w:r>
        <w:rPr>
          <w:szCs w:val="24"/>
        </w:rPr>
        <w:t>18A</w:t>
      </w:r>
      <w:r>
        <w:rPr>
          <w:snapToGrid w:val="0"/>
          <w:szCs w:val="24"/>
        </w:rPr>
        <w:t>.</w:t>
      </w:r>
      <w:r>
        <w:rPr>
          <w:snapToGrid w:val="0"/>
          <w:szCs w:val="24"/>
        </w:rPr>
        <w:tab/>
        <w:t>Advertisements — prohibited statement</w:t>
      </w:r>
      <w:r>
        <w:tab/>
      </w:r>
      <w:r>
        <w:fldChar w:fldCharType="begin"/>
      </w:r>
      <w:r>
        <w:instrText xml:space="preserve"> PAGEREF _Toc156356789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Descriptive terms to be used in certain documents</w:t>
      </w:r>
      <w:r>
        <w:tab/>
      </w:r>
      <w:r>
        <w:fldChar w:fldCharType="begin"/>
      </w:r>
      <w:r>
        <w:instrText xml:space="preserve"> PAGEREF _Toc156356790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Particulars of insurance</w:t>
      </w:r>
      <w:r>
        <w:tab/>
      </w:r>
      <w:r>
        <w:fldChar w:fldCharType="begin"/>
      </w:r>
      <w:r>
        <w:instrText xml:space="preserve"> PAGEREF _Toc156356791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Notice of intended proceedings against guarantor</w:t>
      </w:r>
      <w:r>
        <w:tab/>
      </w:r>
      <w:r>
        <w:fldChar w:fldCharType="begin"/>
      </w:r>
      <w:r>
        <w:instrText xml:space="preserve"> PAGEREF _Toc156356792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Statement for guarantor under contract of guarantee</w:t>
      </w:r>
      <w:r>
        <w:tab/>
      </w:r>
      <w:r>
        <w:fldChar w:fldCharType="begin"/>
      </w:r>
      <w:r>
        <w:instrText xml:space="preserve"> PAGEREF _Toc156356793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Person authorised to certify assignment of will, etc.</w:t>
      </w:r>
      <w:r>
        <w:tab/>
      </w:r>
      <w:r>
        <w:fldChar w:fldCharType="begin"/>
      </w:r>
      <w:r>
        <w:instrText xml:space="preserve"> PAGEREF _Toc156356794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Prescribed requirements for print and type in documents</w:t>
      </w:r>
      <w:r>
        <w:tab/>
      </w:r>
      <w:r>
        <w:fldChar w:fldCharType="begin"/>
      </w:r>
      <w:r>
        <w:instrText xml:space="preserve"> PAGEREF _Toc156356795 \h </w:instrText>
      </w:r>
      <w:r>
        <w:fldChar w:fldCharType="separate"/>
      </w:r>
      <w:r>
        <w:t>10</w:t>
      </w:r>
      <w:r>
        <w:fldChar w:fldCharType="end"/>
      </w:r>
    </w:p>
    <w:p>
      <w:pPr>
        <w:pStyle w:val="TOC8"/>
        <w:rPr>
          <w:sz w:val="24"/>
          <w:szCs w:val="24"/>
        </w:rPr>
      </w:pPr>
      <w:r>
        <w:rPr>
          <w:szCs w:val="24"/>
        </w:rPr>
        <w:t>25</w:t>
      </w:r>
      <w:r>
        <w:rPr>
          <w:snapToGrid w:val="0"/>
          <w:szCs w:val="24"/>
        </w:rPr>
        <w:t>.</w:t>
      </w:r>
      <w:r>
        <w:rPr>
          <w:snapToGrid w:val="0"/>
          <w:szCs w:val="24"/>
        </w:rPr>
        <w:tab/>
        <w:t>Prescribed requirements for reproduction of print or type</w:t>
      </w:r>
      <w:r>
        <w:tab/>
      </w:r>
      <w:r>
        <w:fldChar w:fldCharType="begin"/>
      </w:r>
      <w:r>
        <w:instrText xml:space="preserve"> PAGEREF _Toc156356796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Lay</w:t>
      </w:r>
      <w:r>
        <w:rPr>
          <w:snapToGrid w:val="0"/>
          <w:szCs w:val="24"/>
        </w:rPr>
        <w:noBreakHyphen/>
        <w:t>out of certain documents</w:t>
      </w:r>
      <w:r>
        <w:tab/>
      </w:r>
      <w:r>
        <w:fldChar w:fldCharType="begin"/>
      </w:r>
      <w:r>
        <w:instrText xml:space="preserve"> PAGEREF _Toc156356797 \h </w:instrText>
      </w:r>
      <w:r>
        <w:fldChar w:fldCharType="separate"/>
      </w:r>
      <w:r>
        <w:t>12</w:t>
      </w:r>
      <w:r>
        <w:fldChar w:fldCharType="end"/>
      </w:r>
    </w:p>
    <w:p>
      <w:pPr>
        <w:pStyle w:val="TOC8"/>
        <w:rPr>
          <w:sz w:val="24"/>
          <w:szCs w:val="24"/>
        </w:rPr>
      </w:pPr>
      <w:r>
        <w:rPr>
          <w:szCs w:val="24"/>
        </w:rPr>
        <w:t>27</w:t>
      </w:r>
      <w:r>
        <w:rPr>
          <w:snapToGrid w:val="0"/>
          <w:szCs w:val="24"/>
        </w:rPr>
        <w:t>.</w:t>
      </w:r>
      <w:r>
        <w:rPr>
          <w:snapToGrid w:val="0"/>
          <w:szCs w:val="24"/>
        </w:rPr>
        <w:tab/>
        <w:t>Charges to be included in amount financed</w:t>
      </w:r>
      <w:r>
        <w:tab/>
      </w:r>
      <w:r>
        <w:fldChar w:fldCharType="begin"/>
      </w:r>
      <w:r>
        <w:instrText xml:space="preserve"> PAGEREF _Toc156356798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Prescribed risk</w:t>
      </w:r>
      <w:r>
        <w:tab/>
      </w:r>
      <w:r>
        <w:fldChar w:fldCharType="begin"/>
      </w:r>
      <w:r>
        <w:instrText xml:space="preserve"> PAGEREF _Toc156356799 \h </w:instrText>
      </w:r>
      <w:r>
        <w:fldChar w:fldCharType="separate"/>
      </w:r>
      <w:r>
        <w:t>14</w:t>
      </w:r>
      <w:r>
        <w:fldChar w:fldCharType="end"/>
      </w:r>
    </w:p>
    <w:p>
      <w:pPr>
        <w:pStyle w:val="TOC8"/>
        <w:rPr>
          <w:sz w:val="24"/>
          <w:szCs w:val="24"/>
        </w:rPr>
      </w:pPr>
      <w:r>
        <w:rPr>
          <w:szCs w:val="24"/>
        </w:rPr>
        <w:t>29.</w:t>
      </w:r>
      <w:r>
        <w:rPr>
          <w:szCs w:val="24"/>
        </w:rPr>
        <w:tab/>
        <w:t>Infringement notices</w:t>
      </w:r>
      <w:r>
        <w:tab/>
      </w:r>
      <w:r>
        <w:fldChar w:fldCharType="begin"/>
      </w:r>
      <w:r>
        <w:instrText xml:space="preserve"> PAGEREF _Toc156356800 \h </w:instrText>
      </w:r>
      <w:r>
        <w:fldChar w:fldCharType="separate"/>
      </w:r>
      <w:r>
        <w:t>14</w:t>
      </w:r>
      <w:r>
        <w:fldChar w:fldCharType="end"/>
      </w:r>
    </w:p>
    <w:p>
      <w:pPr>
        <w:pStyle w:val="TOC2"/>
        <w:tabs>
          <w:tab w:val="right" w:leader="dot" w:pos="7078"/>
        </w:tabs>
        <w:rPr>
          <w:b w:val="0"/>
          <w:sz w:val="24"/>
          <w:szCs w:val="24"/>
        </w:rPr>
      </w:pPr>
      <w:r>
        <w:rPr>
          <w:szCs w:val="28"/>
        </w:rPr>
        <w:t>Schedule 1</w:t>
      </w:r>
    </w:p>
    <w:p>
      <w:pPr>
        <w:pStyle w:val="TOC8"/>
        <w:rPr>
          <w:sz w:val="24"/>
          <w:szCs w:val="24"/>
        </w:rPr>
      </w:pPr>
      <w:r>
        <w:rPr>
          <w:szCs w:val="22"/>
        </w:rPr>
        <w:tab/>
        <w:t>1.</w:t>
      </w:r>
      <w:r>
        <w:tab/>
      </w:r>
      <w:r>
        <w:fldChar w:fldCharType="begin"/>
      </w:r>
      <w:r>
        <w:instrText xml:space="preserve"> PAGEREF _Toc156356802 \h </w:instrText>
      </w:r>
      <w:r>
        <w:fldChar w:fldCharType="separate"/>
      </w:r>
      <w:r>
        <w:t>15</w:t>
      </w:r>
      <w:r>
        <w:fldChar w:fldCharType="end"/>
      </w:r>
    </w:p>
    <w:p>
      <w:pPr>
        <w:pStyle w:val="TOC8"/>
        <w:rPr>
          <w:sz w:val="24"/>
          <w:szCs w:val="24"/>
        </w:rPr>
      </w:pPr>
      <w:r>
        <w:rPr>
          <w:szCs w:val="22"/>
        </w:rPr>
        <w:tab/>
        <w:t>2.</w:t>
      </w:r>
      <w:r>
        <w:tab/>
      </w:r>
      <w:r>
        <w:fldChar w:fldCharType="begin"/>
      </w:r>
      <w:r>
        <w:instrText xml:space="preserve"> PAGEREF _Toc156356803 \h </w:instrText>
      </w:r>
      <w:r>
        <w:fldChar w:fldCharType="separate"/>
      </w:r>
      <w:r>
        <w:t>15</w:t>
      </w:r>
      <w:r>
        <w:fldChar w:fldCharType="end"/>
      </w:r>
    </w:p>
    <w:p>
      <w:pPr>
        <w:pStyle w:val="TOC8"/>
        <w:rPr>
          <w:sz w:val="24"/>
          <w:szCs w:val="24"/>
        </w:rPr>
      </w:pPr>
      <w:r>
        <w:rPr>
          <w:szCs w:val="22"/>
        </w:rPr>
        <w:tab/>
        <w:t>3.</w:t>
      </w:r>
      <w:r>
        <w:tab/>
      </w:r>
      <w:r>
        <w:fldChar w:fldCharType="begin"/>
      </w:r>
      <w:r>
        <w:instrText xml:space="preserve"> PAGEREF _Toc156356804 \h </w:instrText>
      </w:r>
      <w:r>
        <w:fldChar w:fldCharType="separate"/>
      </w:r>
      <w:r>
        <w:t>15</w:t>
      </w:r>
      <w:r>
        <w:fldChar w:fldCharType="end"/>
      </w:r>
    </w:p>
    <w:p>
      <w:pPr>
        <w:pStyle w:val="TOC8"/>
        <w:rPr>
          <w:sz w:val="24"/>
          <w:szCs w:val="24"/>
        </w:rPr>
      </w:pPr>
      <w:r>
        <w:rPr>
          <w:szCs w:val="22"/>
        </w:rPr>
        <w:tab/>
        <w:t>4.</w:t>
      </w:r>
      <w:r>
        <w:tab/>
      </w:r>
      <w:r>
        <w:fldChar w:fldCharType="begin"/>
      </w:r>
      <w:r>
        <w:instrText xml:space="preserve"> PAGEREF _Toc156356805 \h </w:instrText>
      </w:r>
      <w:r>
        <w:fldChar w:fldCharType="separate"/>
      </w:r>
      <w:r>
        <w:t>16</w:t>
      </w:r>
      <w:r>
        <w:fldChar w:fldCharType="end"/>
      </w:r>
    </w:p>
    <w:p>
      <w:pPr>
        <w:pStyle w:val="TOC2"/>
        <w:tabs>
          <w:tab w:val="right" w:leader="dot" w:pos="7078"/>
        </w:tabs>
        <w:rPr>
          <w:b w:val="0"/>
          <w:sz w:val="24"/>
          <w:szCs w:val="24"/>
        </w:rPr>
      </w:pPr>
      <w:r>
        <w:rPr>
          <w:szCs w:val="28"/>
        </w:rPr>
        <w:t>Schedule 2</w:t>
      </w:r>
    </w:p>
    <w:p>
      <w:pPr>
        <w:pStyle w:val="TOC8"/>
        <w:rPr>
          <w:sz w:val="24"/>
          <w:szCs w:val="24"/>
        </w:rPr>
      </w:pPr>
      <w:r>
        <w:rPr>
          <w:szCs w:val="22"/>
        </w:rPr>
        <w:t>1.</w:t>
      </w:r>
      <w:r>
        <w:rPr>
          <w:szCs w:val="22"/>
        </w:rPr>
        <w:tab/>
        <w:t>Method No. 1</w:t>
      </w:r>
      <w:r>
        <w:tab/>
      </w:r>
      <w:r>
        <w:fldChar w:fldCharType="begin"/>
      </w:r>
      <w:r>
        <w:instrText xml:space="preserve"> PAGEREF _Toc156356807 \h </w:instrText>
      </w:r>
      <w:r>
        <w:fldChar w:fldCharType="separate"/>
      </w:r>
      <w:r>
        <w:t>49</w:t>
      </w:r>
      <w:r>
        <w:fldChar w:fldCharType="end"/>
      </w:r>
    </w:p>
    <w:p>
      <w:pPr>
        <w:pStyle w:val="TOC8"/>
        <w:rPr>
          <w:sz w:val="24"/>
          <w:szCs w:val="24"/>
        </w:rPr>
      </w:pPr>
      <w:r>
        <w:rPr>
          <w:szCs w:val="22"/>
        </w:rPr>
        <w:t>2.</w:t>
      </w:r>
      <w:r>
        <w:rPr>
          <w:szCs w:val="22"/>
        </w:rPr>
        <w:tab/>
        <w:t>Method No. 2</w:t>
      </w:r>
      <w:r>
        <w:tab/>
      </w:r>
      <w:r>
        <w:fldChar w:fldCharType="begin"/>
      </w:r>
      <w:r>
        <w:instrText xml:space="preserve"> PAGEREF _Toc156356808 \h </w:instrText>
      </w:r>
      <w:r>
        <w:fldChar w:fldCharType="separate"/>
      </w:r>
      <w:r>
        <w:t>50</w:t>
      </w:r>
      <w:r>
        <w:fldChar w:fldCharType="end"/>
      </w:r>
    </w:p>
    <w:p>
      <w:pPr>
        <w:pStyle w:val="TOC8"/>
        <w:rPr>
          <w:sz w:val="24"/>
          <w:szCs w:val="24"/>
        </w:rPr>
      </w:pPr>
      <w:r>
        <w:rPr>
          <w:szCs w:val="22"/>
        </w:rPr>
        <w:t>3.</w:t>
      </w:r>
      <w:r>
        <w:rPr>
          <w:szCs w:val="22"/>
        </w:rPr>
        <w:tab/>
        <w:t>Interpretation</w:t>
      </w:r>
      <w:r>
        <w:tab/>
      </w:r>
      <w:r>
        <w:fldChar w:fldCharType="begin"/>
      </w:r>
      <w:r>
        <w:instrText xml:space="preserve"> PAGEREF _Toc156356809 \h </w:instrText>
      </w:r>
      <w:r>
        <w:fldChar w:fldCharType="separate"/>
      </w:r>
      <w:r>
        <w:t>50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Schedule 5</w:t>
      </w:r>
    </w:p>
    <w:p>
      <w:pPr>
        <w:pStyle w:val="TOC2"/>
        <w:tabs>
          <w:tab w:val="right" w:leader="dot" w:pos="7078"/>
        </w:tabs>
        <w:rPr>
          <w:b w:val="0"/>
          <w:sz w:val="24"/>
          <w:szCs w:val="24"/>
        </w:rPr>
      </w:pPr>
      <w:r>
        <w:rPr>
          <w:szCs w:val="28"/>
        </w:rPr>
        <w:t>Schedule 6</w:t>
      </w:r>
    </w:p>
    <w:p>
      <w:pPr>
        <w:pStyle w:val="TOC2"/>
        <w:tabs>
          <w:tab w:val="right" w:leader="dot" w:pos="7078"/>
        </w:tabs>
        <w:rPr>
          <w:b w:val="0"/>
          <w:sz w:val="24"/>
          <w:szCs w:val="24"/>
        </w:rPr>
      </w:pPr>
      <w:r>
        <w:rPr>
          <w:szCs w:val="28"/>
        </w:rPr>
        <w:t>Schedule 7</w:t>
      </w:r>
    </w:p>
    <w:p>
      <w:pPr>
        <w:pStyle w:val="TOC2"/>
        <w:tabs>
          <w:tab w:val="right" w:leader="dot" w:pos="7078"/>
        </w:tabs>
        <w:rPr>
          <w:b w:val="0"/>
          <w:sz w:val="24"/>
          <w:szCs w:val="24"/>
        </w:rPr>
      </w:pPr>
      <w:r>
        <w:rPr>
          <w:szCs w:val="28"/>
        </w:rPr>
        <w:t>Schedule 8 — Prescribed offences and modified penalties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_Toc156356817 \h </w:instrText>
      </w:r>
      <w:r>
        <w:fldChar w:fldCharType="separate"/>
      </w:r>
      <w:r>
        <w:t>63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1" w:name="_Toc434905676"/>
      <w:bookmarkStart w:id="2" w:name="_Toc489089828"/>
      <w:bookmarkStart w:id="3" w:name="_Toc146622489"/>
      <w:bookmarkStart w:id="4" w:name="_Toc156356769"/>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5" w:name="_Toc434905677"/>
      <w:bookmarkStart w:id="6" w:name="_Toc489089829"/>
      <w:bookmarkStart w:id="7" w:name="_Toc146622490"/>
      <w:bookmarkStart w:id="8" w:name="_Toc15635677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31 March 1985.</w:t>
      </w:r>
    </w:p>
    <w:p>
      <w:pPr>
        <w:pStyle w:val="Heading5"/>
        <w:rPr>
          <w:snapToGrid w:val="0"/>
        </w:rPr>
      </w:pPr>
      <w:bookmarkStart w:id="9" w:name="_Toc434905678"/>
      <w:bookmarkStart w:id="10" w:name="_Toc489089830"/>
      <w:bookmarkStart w:id="11" w:name="_Toc146622491"/>
      <w:bookmarkStart w:id="12" w:name="_Toc15635677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Consumer and Employment Protection</w:t>
      </w:r>
      <w:r>
        <w:rPr>
          <w:b/>
        </w:rPr>
        <w:t>”</w:t>
      </w:r>
      <w:r>
        <w:t xml:space="preserve"> means the Department of Consumer and Employment Protection;</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the Act</w:t>
      </w:r>
      <w:r>
        <w:rPr>
          <w:b/>
        </w:rPr>
        <w:t>”</w:t>
      </w:r>
      <w:r>
        <w:t xml:space="preserve"> means the </w:t>
      </w:r>
      <w:r>
        <w:rPr>
          <w:i/>
        </w:rPr>
        <w:t>Credit Act 1984</w:t>
      </w:r>
      <w:r>
        <w:t>.</w:t>
      </w:r>
    </w:p>
    <w:p>
      <w:pPr>
        <w:pStyle w:val="Subsection"/>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in Gazette 30 Dec 2004 p. 6914; 12 Jan 2007 p. 45.]</w:t>
      </w:r>
    </w:p>
    <w:p>
      <w:pPr>
        <w:pStyle w:val="Heading5"/>
        <w:rPr>
          <w:snapToGrid w:val="0"/>
        </w:rPr>
      </w:pPr>
      <w:bookmarkStart w:id="13" w:name="_Toc434905679"/>
      <w:bookmarkStart w:id="14" w:name="_Toc489089831"/>
      <w:bookmarkStart w:id="15" w:name="_Toc146622492"/>
      <w:bookmarkStart w:id="16" w:name="_Toc156356772"/>
      <w:r>
        <w:rPr>
          <w:rStyle w:val="CharSectno"/>
        </w:rPr>
        <w:t>3A</w:t>
      </w:r>
      <w:r>
        <w:rPr>
          <w:snapToGrid w:val="0"/>
        </w:rPr>
        <w:t>.</w:t>
      </w:r>
      <w:r>
        <w:rPr>
          <w:snapToGrid w:val="0"/>
        </w:rPr>
        <w:tab/>
        <w:t>Amounts prescribed in relation to definition of “account charge”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amended in Gazette 10 January 1986 p.137; 25 November 1988 p.4761.] </w:t>
      </w:r>
    </w:p>
    <w:p>
      <w:pPr>
        <w:pStyle w:val="Heading5"/>
        <w:rPr>
          <w:snapToGrid w:val="0"/>
        </w:rPr>
      </w:pPr>
      <w:bookmarkStart w:id="17" w:name="_Toc434905680"/>
      <w:bookmarkStart w:id="18" w:name="_Toc489089832"/>
      <w:bookmarkStart w:id="19" w:name="_Toc146622493"/>
      <w:bookmarkStart w:id="20" w:name="_Toc156356773"/>
      <w:r>
        <w:rPr>
          <w:rStyle w:val="CharSectno"/>
        </w:rPr>
        <w:t>4</w:t>
      </w:r>
      <w:r>
        <w:rPr>
          <w:snapToGrid w:val="0"/>
        </w:rPr>
        <w:t>.</w:t>
      </w:r>
      <w:r>
        <w:rPr>
          <w:snapToGrid w:val="0"/>
        </w:rPr>
        <w:tab/>
        <w:t>Exclusion from definition of “credit sale contract”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amended in Gazette 10 January 1986 p.137.] </w:t>
      </w:r>
    </w:p>
    <w:p>
      <w:pPr>
        <w:pStyle w:val="Heading5"/>
        <w:rPr>
          <w:snapToGrid w:val="0"/>
        </w:rPr>
      </w:pPr>
      <w:bookmarkStart w:id="21" w:name="_Toc434905681"/>
      <w:bookmarkStart w:id="22" w:name="_Toc489089833"/>
      <w:bookmarkStart w:id="23" w:name="_Toc146622494"/>
      <w:bookmarkStart w:id="24" w:name="_Toc156356774"/>
      <w:r>
        <w:rPr>
          <w:rStyle w:val="CharSectno"/>
        </w:rPr>
        <w:t>5</w:t>
      </w:r>
      <w:r>
        <w:rPr>
          <w:snapToGrid w:val="0"/>
        </w:rPr>
        <w:t>.</w:t>
      </w:r>
      <w:r>
        <w:rPr>
          <w:snapToGrid w:val="0"/>
        </w:rPr>
        <w:tab/>
        <w:t>Goods prescribed as farm machinery</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 xml:space="preserve">[Regulation 5 amended in Gazette 10 January 1986 p.137.] </w:t>
      </w:r>
    </w:p>
    <w:p>
      <w:pPr>
        <w:pStyle w:val="Heading5"/>
        <w:rPr>
          <w:snapToGrid w:val="0"/>
        </w:rPr>
      </w:pPr>
      <w:bookmarkStart w:id="25" w:name="_Toc434905682"/>
      <w:bookmarkStart w:id="26" w:name="_Toc489089834"/>
      <w:bookmarkStart w:id="27" w:name="_Toc146622495"/>
      <w:bookmarkStart w:id="28" w:name="_Toc156356775"/>
      <w:r>
        <w:rPr>
          <w:rStyle w:val="CharSectno"/>
        </w:rPr>
        <w:t>6</w:t>
      </w:r>
      <w:r>
        <w:rPr>
          <w:snapToGrid w:val="0"/>
        </w:rPr>
        <w:t>.</w:t>
      </w:r>
      <w:r>
        <w:rPr>
          <w:snapToGrid w:val="0"/>
        </w:rPr>
        <w:tab/>
        <w:t>Statutory rebate in relation to prescribed insurance charges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jc w:val="center"/>
        <w:rPr>
          <w:snapToGrid w:val="0"/>
        </w:rPr>
      </w:pPr>
      <w:r>
        <w:rPr>
          <w:snapToGrid w:val="0"/>
          <w:position w:val="-30"/>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o:ole="">
            <v:imagedata r:id="rId20" o:title=""/>
          </v:shape>
          <o:OLEObject Type="Embed" ProgID="Equation.3" ShapeID="_x0000_i1025" DrawAspect="Content" ObjectID="_1643717635" r:id="rId21"/>
        </w:obje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amended in Gazette 10 Jan 1986 p. 137.] </w:t>
      </w:r>
    </w:p>
    <w:p>
      <w:pPr>
        <w:pStyle w:val="Heading5"/>
        <w:spacing w:before="120"/>
        <w:rPr>
          <w:snapToGrid w:val="0"/>
        </w:rPr>
      </w:pPr>
      <w:bookmarkStart w:id="29" w:name="_Toc434905683"/>
      <w:bookmarkStart w:id="30" w:name="_Toc489089835"/>
      <w:bookmarkStart w:id="31" w:name="_Toc146622496"/>
      <w:bookmarkStart w:id="32" w:name="_Toc156356776"/>
      <w:r>
        <w:rPr>
          <w:rStyle w:val="CharSectno"/>
        </w:rPr>
        <w:t>7</w:t>
      </w:r>
      <w:r>
        <w:rPr>
          <w:snapToGrid w:val="0"/>
        </w:rPr>
        <w:t>.</w:t>
      </w:r>
      <w:r>
        <w:rPr>
          <w:snapToGrid w:val="0"/>
        </w:rPr>
        <w:tab/>
        <w:t>Transfer of proceedings from Tribunal to court</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amended in Gazette 10 January 1986 p.137; 30 Dec 2004 p. 6914.] </w:t>
      </w:r>
    </w:p>
    <w:p>
      <w:pPr>
        <w:pStyle w:val="Heading5"/>
        <w:rPr>
          <w:snapToGrid w:val="0"/>
        </w:rPr>
      </w:pPr>
      <w:bookmarkStart w:id="33" w:name="_Toc434905684"/>
      <w:bookmarkStart w:id="34" w:name="_Toc489089836"/>
      <w:bookmarkStart w:id="35" w:name="_Toc146622497"/>
      <w:bookmarkStart w:id="36" w:name="_Toc156356777"/>
      <w:r>
        <w:rPr>
          <w:rStyle w:val="CharSectno"/>
        </w:rPr>
        <w:t>8</w:t>
      </w:r>
      <w:r>
        <w:rPr>
          <w:snapToGrid w:val="0"/>
        </w:rPr>
        <w:t>.</w:t>
      </w:r>
      <w:r>
        <w:rPr>
          <w:snapToGrid w:val="0"/>
        </w:rPr>
        <w:tab/>
        <w:t>Prescribed method for calculation of accrued credit charge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monthly percentage rate</w:t>
      </w:r>
      <w:r>
        <w:rPr>
          <w:b/>
          <w:snapToGrid w:val="0"/>
        </w:rPr>
        <w:t>”</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b/>
          <w:snapToGrid w:val="0"/>
        </w:rPr>
        <w:t>“</w:t>
      </w:r>
      <w:r>
        <w:rPr>
          <w:rStyle w:val="CharDefText"/>
        </w:rPr>
        <w:t>monthly balances</w:t>
      </w:r>
      <w:r>
        <w:rPr>
          <w:b/>
          <w:snapToGrid w:val="0"/>
        </w:rPr>
        <w:t>”</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amended in Gazette 10 January 1986 pp.137</w:t>
      </w:r>
      <w:r>
        <w:noBreakHyphen/>
        <w:t xml:space="preserve">8.] </w:t>
      </w:r>
    </w:p>
    <w:p>
      <w:pPr>
        <w:pStyle w:val="Heading5"/>
        <w:rPr>
          <w:snapToGrid w:val="0"/>
        </w:rPr>
      </w:pPr>
      <w:bookmarkStart w:id="37" w:name="_Toc434905685"/>
      <w:bookmarkStart w:id="38" w:name="_Toc489089837"/>
      <w:bookmarkStart w:id="39" w:name="_Toc146622498"/>
      <w:bookmarkStart w:id="40" w:name="_Toc156356778"/>
      <w:r>
        <w:rPr>
          <w:rStyle w:val="CharSectno"/>
        </w:rPr>
        <w:t>9</w:t>
      </w:r>
      <w:r>
        <w:rPr>
          <w:snapToGrid w:val="0"/>
        </w:rPr>
        <w:t>.</w:t>
      </w:r>
      <w:r>
        <w:rPr>
          <w:snapToGrid w:val="0"/>
        </w:rPr>
        <w:tab/>
        <w:t>Form of mortgage of goods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pPr>
      <w:r>
        <w:tab/>
        <w:t xml:space="preserve">[Regulation 9 amended in Gazette 10 January 1986 p.138.] </w:t>
      </w:r>
    </w:p>
    <w:p>
      <w:pPr>
        <w:pStyle w:val="Heading5"/>
        <w:rPr>
          <w:snapToGrid w:val="0"/>
        </w:rPr>
      </w:pPr>
      <w:bookmarkStart w:id="41" w:name="_Toc434905686"/>
      <w:bookmarkStart w:id="42" w:name="_Toc489089838"/>
      <w:bookmarkStart w:id="43" w:name="_Toc146622499"/>
      <w:bookmarkStart w:id="44" w:name="_Toc156356779"/>
      <w:r>
        <w:rPr>
          <w:rStyle w:val="CharSectno"/>
        </w:rPr>
        <w:t>10</w:t>
      </w:r>
      <w:r>
        <w:rPr>
          <w:snapToGrid w:val="0"/>
        </w:rPr>
        <w:t>.</w:t>
      </w:r>
      <w:r>
        <w:rPr>
          <w:snapToGrid w:val="0"/>
        </w:rPr>
        <w:tab/>
        <w:t>Notice for credit sale and loan contracts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section 32(1) of the Act, Form 2 is the prescribed notice.</w:t>
      </w:r>
    </w:p>
    <w:p>
      <w:pPr>
        <w:pStyle w:val="Subsection"/>
        <w:rPr>
          <w:snapToGrid w:val="0"/>
        </w:rPr>
      </w:pPr>
      <w:r>
        <w:rPr>
          <w:snapToGrid w:val="0"/>
        </w:rPr>
        <w:tab/>
        <w:t>(2)</w:t>
      </w:r>
      <w:r>
        <w:rPr>
          <w:snapToGrid w:val="0"/>
        </w:rPr>
        <w:tab/>
        <w:t>For the purposes of section 32(2) of the Act, Form 3 is the prescribed notice.</w:t>
      </w:r>
    </w:p>
    <w:p>
      <w:pPr>
        <w:pStyle w:val="Subsection"/>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amended in Gazette 10 January 1986 p.138.] </w:t>
      </w:r>
    </w:p>
    <w:p>
      <w:pPr>
        <w:pStyle w:val="Heading5"/>
        <w:rPr>
          <w:snapToGrid w:val="0"/>
        </w:rPr>
      </w:pPr>
      <w:bookmarkStart w:id="45" w:name="_Toc434905687"/>
      <w:bookmarkStart w:id="46" w:name="_Toc489089839"/>
      <w:bookmarkStart w:id="47" w:name="_Toc146622500"/>
      <w:bookmarkStart w:id="48" w:name="_Toc156356780"/>
      <w:r>
        <w:rPr>
          <w:rStyle w:val="CharSectno"/>
        </w:rPr>
        <w:t>11</w:t>
      </w:r>
      <w:r>
        <w:rPr>
          <w:snapToGrid w:val="0"/>
        </w:rPr>
        <w:t>.</w:t>
      </w:r>
      <w:r>
        <w:rPr>
          <w:snapToGrid w:val="0"/>
        </w:rPr>
        <w:tab/>
        <w:t>Statement for credit sale and loan contracts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34 of the Act, Form 4 is the prescribed statement.</w:t>
      </w:r>
    </w:p>
    <w:p>
      <w:pPr>
        <w:pStyle w:val="Footnotesection"/>
      </w:pPr>
      <w:r>
        <w:tab/>
        <w:t xml:space="preserve">[Regulation 11 amended in Gazette 10 January 1986 p.138.] </w:t>
      </w:r>
    </w:p>
    <w:p>
      <w:pPr>
        <w:pStyle w:val="Heading5"/>
        <w:rPr>
          <w:snapToGrid w:val="0"/>
        </w:rPr>
      </w:pPr>
      <w:bookmarkStart w:id="49" w:name="_Toc434905688"/>
      <w:bookmarkStart w:id="50" w:name="_Toc489089840"/>
      <w:bookmarkStart w:id="51" w:name="_Toc146622501"/>
      <w:bookmarkStart w:id="52" w:name="_Toc156356781"/>
      <w:r>
        <w:rPr>
          <w:rStyle w:val="CharSectno"/>
        </w:rPr>
        <w:t>12</w:t>
      </w:r>
      <w:r>
        <w:rPr>
          <w:snapToGrid w:val="0"/>
        </w:rPr>
        <w:t>.</w:t>
      </w:r>
      <w:r>
        <w:rPr>
          <w:snapToGrid w:val="0"/>
        </w:rPr>
        <w:tab/>
        <w:t>Notice for add</w:t>
      </w:r>
      <w:r>
        <w:rPr>
          <w:snapToGrid w:val="0"/>
        </w:rPr>
        <w:noBreakHyphen/>
        <w:t>on contracts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For the purposes of section 37(3)(c) of the Act, Form 5 is the prescribed notice.</w:t>
      </w:r>
    </w:p>
    <w:p>
      <w:pPr>
        <w:pStyle w:val="Footnotesection"/>
      </w:pPr>
      <w:r>
        <w:tab/>
        <w:t xml:space="preserve">[Regulation 12 amended in Gazette 10 January 1986 p.138.] </w:t>
      </w:r>
    </w:p>
    <w:p>
      <w:pPr>
        <w:pStyle w:val="Heading5"/>
        <w:rPr>
          <w:snapToGrid w:val="0"/>
        </w:rPr>
      </w:pPr>
      <w:bookmarkStart w:id="53" w:name="_Toc434905689"/>
      <w:bookmarkStart w:id="54" w:name="_Toc489089841"/>
      <w:bookmarkStart w:id="55" w:name="_Toc146622502"/>
      <w:bookmarkStart w:id="56" w:name="_Toc156356782"/>
      <w:r>
        <w:rPr>
          <w:rStyle w:val="CharSectno"/>
        </w:rPr>
        <w:t>13</w:t>
      </w:r>
      <w:r>
        <w:rPr>
          <w:snapToGrid w:val="0"/>
        </w:rPr>
        <w:t>.</w:t>
      </w:r>
      <w:r>
        <w:rPr>
          <w:snapToGrid w:val="0"/>
        </w:rPr>
        <w:tab/>
        <w:t>Applicable method of determining annual percentage rate</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amended in Gazette 10 January 1986 p.138.] </w:t>
      </w:r>
    </w:p>
    <w:p>
      <w:pPr>
        <w:pStyle w:val="Heading5"/>
        <w:rPr>
          <w:snapToGrid w:val="0"/>
        </w:rPr>
      </w:pPr>
      <w:bookmarkStart w:id="57" w:name="_Toc434905690"/>
      <w:bookmarkStart w:id="58" w:name="_Toc489089842"/>
      <w:bookmarkStart w:id="59" w:name="_Toc146622503"/>
      <w:bookmarkStart w:id="60" w:name="_Toc156356783"/>
      <w:r>
        <w:rPr>
          <w:rStyle w:val="CharSectno"/>
        </w:rPr>
        <w:t>14</w:t>
      </w:r>
      <w:r>
        <w:rPr>
          <w:snapToGrid w:val="0"/>
        </w:rPr>
        <w:t>.</w:t>
      </w:r>
      <w:r>
        <w:rPr>
          <w:snapToGrid w:val="0"/>
        </w:rPr>
        <w:tab/>
        <w:t>Unilateral variation of credit sale and loan contracts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For the purposes of section 41(1) of the Act, the prescribed period is 7 clear days.</w:t>
      </w:r>
    </w:p>
    <w:p>
      <w:pPr>
        <w:pStyle w:val="Heading5"/>
        <w:rPr>
          <w:snapToGrid w:val="0"/>
        </w:rPr>
      </w:pPr>
      <w:bookmarkStart w:id="61" w:name="_Toc434905691"/>
      <w:bookmarkStart w:id="62" w:name="_Toc489089843"/>
      <w:bookmarkStart w:id="63" w:name="_Toc146622504"/>
      <w:bookmarkStart w:id="64" w:name="_Toc156356784"/>
      <w:r>
        <w:rPr>
          <w:rStyle w:val="CharSectno"/>
        </w:rPr>
        <w:t>14A</w:t>
      </w:r>
      <w:r>
        <w:rPr>
          <w:snapToGrid w:val="0"/>
        </w:rPr>
        <w:t>.</w:t>
      </w:r>
      <w:r>
        <w:rPr>
          <w:snapToGrid w:val="0"/>
        </w:rPr>
        <w:tab/>
        <w:t>Prescribed charges in relation to continuing credit contracts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relevant date</w:t>
      </w:r>
      <w:r>
        <w:rPr>
          <w:b/>
          <w:snapToGrid w:val="0"/>
        </w:rPr>
        <w:t>”</w:t>
      </w:r>
      <w:r>
        <w:rPr>
          <w:snapToGrid w:val="0"/>
        </w:rPr>
        <w:t>, in relation to a regulated continuing credit contract, means the date on which the contract is entered into.</w:t>
      </w:r>
    </w:p>
    <w:p>
      <w:pPr>
        <w:pStyle w:val="Footnotesection"/>
      </w:pPr>
      <w:r>
        <w:tab/>
        <w:t>[Regulation 14A inserted in Gazette 10 October 1986 pp.3874</w:t>
      </w:r>
      <w:r>
        <w:noBreakHyphen/>
        <w:t xml:space="preserve">5; amended in Gazette 22 Dec 2006 p. 5803.] </w:t>
      </w:r>
    </w:p>
    <w:p>
      <w:pPr>
        <w:pStyle w:val="Heading5"/>
        <w:rPr>
          <w:snapToGrid w:val="0"/>
        </w:rPr>
      </w:pPr>
      <w:bookmarkStart w:id="65" w:name="_Toc434905692"/>
      <w:bookmarkStart w:id="66" w:name="_Toc489089844"/>
      <w:bookmarkStart w:id="67" w:name="_Toc146622505"/>
      <w:bookmarkStart w:id="68" w:name="_Toc156356785"/>
      <w:r>
        <w:rPr>
          <w:rStyle w:val="CharSectno"/>
        </w:rPr>
        <w:t>15</w:t>
      </w:r>
      <w:r>
        <w:rPr>
          <w:snapToGrid w:val="0"/>
        </w:rPr>
        <w:t>.</w:t>
      </w:r>
      <w:r>
        <w:rPr>
          <w:snapToGrid w:val="0"/>
        </w:rPr>
        <w:tab/>
        <w:t>Statement for continuing credit contracts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section 58 of the Act, Form 6 is the prescribed statement.</w:t>
      </w:r>
    </w:p>
    <w:p>
      <w:pPr>
        <w:pStyle w:val="Footnotesection"/>
      </w:pPr>
      <w:r>
        <w:tab/>
        <w:t xml:space="preserve">[Regulation 15 amended in Gazette 10 January 1986 p.138.] </w:t>
      </w:r>
    </w:p>
    <w:p>
      <w:pPr>
        <w:pStyle w:val="Heading5"/>
        <w:rPr>
          <w:snapToGrid w:val="0"/>
        </w:rPr>
      </w:pPr>
      <w:bookmarkStart w:id="69" w:name="_Toc434905693"/>
      <w:bookmarkStart w:id="70" w:name="_Toc489089845"/>
      <w:bookmarkStart w:id="71" w:name="_Toc146622506"/>
      <w:bookmarkStart w:id="72" w:name="_Toc156356786"/>
      <w:r>
        <w:rPr>
          <w:rStyle w:val="CharSectno"/>
        </w:rPr>
        <w:t>16</w:t>
      </w:r>
      <w:r>
        <w:rPr>
          <w:snapToGrid w:val="0"/>
        </w:rPr>
        <w:t>.</w:t>
      </w:r>
      <w:r>
        <w:rPr>
          <w:snapToGrid w:val="0"/>
        </w:rPr>
        <w:tab/>
        <w:t>Information in default notice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amended in Gazette 10 January 1986 p.138.] </w:t>
      </w:r>
    </w:p>
    <w:p>
      <w:pPr>
        <w:pStyle w:val="Heading5"/>
        <w:rPr>
          <w:snapToGrid w:val="0"/>
        </w:rPr>
      </w:pPr>
      <w:bookmarkStart w:id="73" w:name="_Toc434905694"/>
      <w:bookmarkStart w:id="74" w:name="_Toc489089846"/>
      <w:bookmarkStart w:id="75" w:name="_Toc146622507"/>
      <w:bookmarkStart w:id="76" w:name="_Toc156356787"/>
      <w:r>
        <w:rPr>
          <w:rStyle w:val="CharSectno"/>
        </w:rPr>
        <w:t>17</w:t>
      </w:r>
      <w:r>
        <w:rPr>
          <w:snapToGrid w:val="0"/>
        </w:rPr>
        <w:t>.</w:t>
      </w:r>
      <w:r>
        <w:rPr>
          <w:snapToGrid w:val="0"/>
        </w:rPr>
        <w:tab/>
        <w:t>Notice after taking possession of mortgaged goods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amended in Gazette 10 January 1986 p.138.] </w:t>
      </w:r>
    </w:p>
    <w:p>
      <w:pPr>
        <w:pStyle w:val="Heading5"/>
        <w:rPr>
          <w:snapToGrid w:val="0"/>
        </w:rPr>
      </w:pPr>
      <w:bookmarkStart w:id="77" w:name="_Toc434905695"/>
      <w:bookmarkStart w:id="78" w:name="_Toc489089847"/>
      <w:bookmarkStart w:id="79" w:name="_Toc146622508"/>
      <w:bookmarkStart w:id="80" w:name="_Toc156356788"/>
      <w:r>
        <w:rPr>
          <w:rStyle w:val="CharSectno"/>
        </w:rPr>
        <w:t>18</w:t>
      </w:r>
      <w:r>
        <w:rPr>
          <w:snapToGrid w:val="0"/>
        </w:rPr>
        <w:t>.</w:t>
      </w:r>
      <w:r>
        <w:rPr>
          <w:snapToGrid w:val="0"/>
        </w:rPr>
        <w:tab/>
        <w:t>Notice in bills of exchange taken as security</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amended in Gazette 10 January 1986 p.138.] </w:t>
      </w:r>
    </w:p>
    <w:p>
      <w:pPr>
        <w:pStyle w:val="Heading5"/>
        <w:rPr>
          <w:snapToGrid w:val="0"/>
        </w:rPr>
      </w:pPr>
      <w:bookmarkStart w:id="81" w:name="_Toc434905696"/>
      <w:bookmarkStart w:id="82" w:name="_Toc489089848"/>
      <w:bookmarkStart w:id="83" w:name="_Toc146622509"/>
      <w:bookmarkStart w:id="84" w:name="_Toc156356789"/>
      <w:r>
        <w:rPr>
          <w:rStyle w:val="CharSectno"/>
        </w:rPr>
        <w:t>18A</w:t>
      </w:r>
      <w:r>
        <w:rPr>
          <w:snapToGrid w:val="0"/>
        </w:rPr>
        <w:t>.</w:t>
      </w:r>
      <w:r>
        <w:rPr>
          <w:snapToGrid w:val="0"/>
        </w:rPr>
        <w:tab/>
        <w:t>Advertisements — prohibited statement</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in Gazette 10 October 1986 p.3875.] </w:t>
      </w:r>
    </w:p>
    <w:p>
      <w:pPr>
        <w:pStyle w:val="Heading5"/>
        <w:rPr>
          <w:snapToGrid w:val="0"/>
        </w:rPr>
      </w:pPr>
      <w:bookmarkStart w:id="85" w:name="_Toc434905697"/>
      <w:bookmarkStart w:id="86" w:name="_Toc489089849"/>
      <w:bookmarkStart w:id="87" w:name="_Toc146622510"/>
      <w:bookmarkStart w:id="88" w:name="_Toc156356790"/>
      <w:r>
        <w:rPr>
          <w:rStyle w:val="CharSectno"/>
        </w:rPr>
        <w:t>19</w:t>
      </w:r>
      <w:r>
        <w:rPr>
          <w:snapToGrid w:val="0"/>
        </w:rPr>
        <w:t>.</w:t>
      </w:r>
      <w:r>
        <w:rPr>
          <w:snapToGrid w:val="0"/>
        </w:rPr>
        <w:tab/>
        <w:t>Descriptive terms to be used in certain documents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keepNext/>
        <w:rPr>
          <w:snapToGrid w:val="0"/>
        </w:rPr>
      </w:pPr>
      <w:r>
        <w:rPr>
          <w:snapToGrid w:val="0"/>
        </w:rPr>
        <w:tab/>
        <w:t>(5)</w:t>
      </w:r>
      <w:r>
        <w:rPr>
          <w:snapToGrid w:val="0"/>
        </w:rPr>
        <w:tab/>
        <w:t>A credit provider who — </w:t>
      </w:r>
    </w:p>
    <w:p>
      <w:pPr>
        <w:pStyle w:val="Indenta"/>
        <w:spacing w:before="60"/>
        <w:rPr>
          <w:snapToGrid w:val="0"/>
        </w:rPr>
      </w:pPr>
      <w:r>
        <w:rPr>
          <w:snapToGrid w:val="0"/>
        </w:rPr>
        <w:tab/>
        <w:t>(a)</w:t>
      </w:r>
      <w:r>
        <w:rPr>
          <w:snapToGrid w:val="0"/>
        </w:rPr>
        <w:tab/>
        <w:t>enters into a regulated credit sale contract;</w:t>
      </w:r>
    </w:p>
    <w:p>
      <w:pPr>
        <w:pStyle w:val="Indenta"/>
        <w:spacing w:before="60"/>
        <w:rPr>
          <w:snapToGrid w:val="0"/>
        </w:rPr>
      </w:pPr>
      <w:r>
        <w:rPr>
          <w:snapToGrid w:val="0"/>
        </w:rPr>
        <w:tab/>
        <w:t>(b)</w:t>
      </w:r>
      <w:r>
        <w:rPr>
          <w:snapToGrid w:val="0"/>
        </w:rPr>
        <w:tab/>
        <w:t>enters into a regulated loan contract;</w:t>
      </w:r>
    </w:p>
    <w:p>
      <w:pPr>
        <w:pStyle w:val="Indenta"/>
        <w:spacing w:before="60"/>
        <w:rPr>
          <w:snapToGrid w:val="0"/>
        </w:rPr>
      </w:pPr>
      <w:r>
        <w:rPr>
          <w:snapToGrid w:val="0"/>
        </w:rPr>
        <w:tab/>
        <w:t>(c)</w:t>
      </w:r>
      <w:r>
        <w:rPr>
          <w:snapToGrid w:val="0"/>
        </w:rPr>
        <w:tab/>
        <w:t>gives a notice under section 59 of the Act to a debtor; or</w:t>
      </w:r>
    </w:p>
    <w:p>
      <w:pPr>
        <w:pStyle w:val="Indenta"/>
        <w:spacing w:before="60"/>
        <w:rPr>
          <w:snapToGrid w:val="0"/>
        </w:rPr>
      </w:pPr>
      <w:r>
        <w:rPr>
          <w:snapToGrid w:val="0"/>
        </w:rPr>
        <w:tab/>
        <w:t>(d)</w:t>
      </w:r>
      <w:r>
        <w:rPr>
          <w:snapToGrid w:val="0"/>
        </w:rPr>
        <w:tab/>
        <w:t>gives a statement of account referred to in section 61 of the Act to a debtor,</w:t>
      </w:r>
    </w:p>
    <w:p>
      <w:pPr>
        <w:pStyle w:val="Subsection"/>
        <w:spacing w:before="80"/>
        <w:rPr>
          <w:snapToGrid w:val="0"/>
        </w:rPr>
      </w:pPr>
      <w:r>
        <w:rPr>
          <w:snapToGrid w:val="0"/>
        </w:rPr>
        <w:tab/>
      </w:r>
      <w:r>
        <w:rPr>
          <w:snapToGrid w:val="0"/>
        </w:rPr>
        <w:tab/>
        <w:t>that does not comply with the requirements of — </w:t>
      </w:r>
    </w:p>
    <w:p>
      <w:pPr>
        <w:pStyle w:val="Indenta"/>
        <w:spacing w:before="60"/>
        <w:rPr>
          <w:snapToGrid w:val="0"/>
        </w:rPr>
      </w:pPr>
      <w:r>
        <w:rPr>
          <w:snapToGrid w:val="0"/>
        </w:rPr>
        <w:tab/>
        <w:t>(e)</w:t>
      </w:r>
      <w:r>
        <w:rPr>
          <w:snapToGrid w:val="0"/>
        </w:rPr>
        <w:tab/>
        <w:t xml:space="preserve">in the case of a regulated credit sale contract, subregulation (1); </w:t>
      </w:r>
    </w:p>
    <w:p>
      <w:pPr>
        <w:pStyle w:val="Indenta"/>
        <w:spacing w:before="60"/>
        <w:rPr>
          <w:snapToGrid w:val="0"/>
        </w:rPr>
      </w:pPr>
      <w:r>
        <w:rPr>
          <w:snapToGrid w:val="0"/>
        </w:rPr>
        <w:tab/>
        <w:t>(f)</w:t>
      </w:r>
      <w:r>
        <w:rPr>
          <w:snapToGrid w:val="0"/>
        </w:rPr>
        <w:tab/>
        <w:t>in the case of a regulated loan contract, subregulation (2);</w:t>
      </w:r>
    </w:p>
    <w:p>
      <w:pPr>
        <w:pStyle w:val="Indenta"/>
        <w:spacing w:before="60"/>
        <w:rPr>
          <w:snapToGrid w:val="0"/>
        </w:rPr>
      </w:pPr>
      <w:r>
        <w:rPr>
          <w:snapToGrid w:val="0"/>
        </w:rPr>
        <w:tab/>
        <w:t>(g)</w:t>
      </w:r>
      <w:r>
        <w:rPr>
          <w:snapToGrid w:val="0"/>
        </w:rPr>
        <w:tab/>
        <w:t>in the case of a notice under section 59 of the Act, subregulation (3); or</w:t>
      </w:r>
    </w:p>
    <w:p>
      <w:pPr>
        <w:pStyle w:val="Indenta"/>
        <w:spacing w:before="60"/>
        <w:rPr>
          <w:snapToGrid w:val="0"/>
        </w:rPr>
      </w:pPr>
      <w:r>
        <w:rPr>
          <w:snapToGrid w:val="0"/>
        </w:rPr>
        <w:tab/>
        <w:t>(h)</w:t>
      </w:r>
      <w:r>
        <w:rPr>
          <w:snapToGrid w:val="0"/>
        </w:rPr>
        <w:tab/>
        <w:t>in the case of a statement of account referred to in section 61 of the Act, subregulation (4),</w:t>
      </w:r>
    </w:p>
    <w:p>
      <w:pPr>
        <w:pStyle w:val="Subsection"/>
        <w:spacing w:before="8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amended in Gazette 10 January 1986 p.138.] </w:t>
      </w:r>
    </w:p>
    <w:p>
      <w:pPr>
        <w:pStyle w:val="Heading5"/>
        <w:spacing w:before="120"/>
        <w:rPr>
          <w:snapToGrid w:val="0"/>
        </w:rPr>
      </w:pPr>
      <w:bookmarkStart w:id="89" w:name="_Toc434905698"/>
      <w:bookmarkStart w:id="90" w:name="_Toc489089850"/>
      <w:bookmarkStart w:id="91" w:name="_Toc146622511"/>
      <w:bookmarkStart w:id="92" w:name="_Toc156356791"/>
      <w:r>
        <w:rPr>
          <w:rStyle w:val="CharSectno"/>
        </w:rPr>
        <w:t>20</w:t>
      </w:r>
      <w:r>
        <w:rPr>
          <w:snapToGrid w:val="0"/>
        </w:rPr>
        <w:t>.</w:t>
      </w:r>
      <w:r>
        <w:rPr>
          <w:snapToGrid w:val="0"/>
        </w:rPr>
        <w:tab/>
        <w:t>Particulars of insurance</w:t>
      </w:r>
      <w:bookmarkEnd w:id="89"/>
      <w:bookmarkEnd w:id="90"/>
      <w:bookmarkEnd w:id="91"/>
      <w:bookmarkEnd w:id="92"/>
      <w:r>
        <w:rPr>
          <w:snapToGrid w:val="0"/>
        </w:rPr>
        <w:t xml:space="preserve"> </w:t>
      </w:r>
    </w:p>
    <w:p>
      <w:pPr>
        <w:pStyle w:val="Subsection"/>
        <w:spacing w:before="8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rPr>
          <w:snapToGrid w:val="0"/>
        </w:rPr>
      </w:pPr>
      <w:r>
        <w:rPr>
          <w:snapToGrid w:val="0"/>
        </w:rPr>
        <w:tab/>
        <w:t>(g)</w:t>
      </w:r>
      <w:r>
        <w:rPr>
          <w:snapToGrid w:val="0"/>
        </w:rPr>
        <w:tab/>
        <w:t>the name and address of the insurer and the insured.</w:t>
      </w:r>
    </w:p>
    <w:p>
      <w:pPr>
        <w:pStyle w:val="Subsection"/>
        <w:rPr>
          <w:snapToGrid w:val="0"/>
        </w:rPr>
      </w:pPr>
      <w:r>
        <w:rPr>
          <w:snapToGrid w:val="0"/>
        </w:rPr>
        <w:tab/>
        <w:t>(2)</w:t>
      </w:r>
      <w:r>
        <w:rPr>
          <w:snapToGrid w:val="0"/>
        </w:rPr>
        <w:tab/>
        <w:t xml:space="preserve">In subregulation (1), </w:t>
      </w:r>
      <w:r>
        <w:rPr>
          <w:b/>
          <w:snapToGrid w:val="0"/>
        </w:rPr>
        <w:t>“</w:t>
      </w:r>
      <w:r>
        <w:rPr>
          <w:rStyle w:val="CharDefText"/>
        </w:rPr>
        <w:t>the relevant subject</w:t>
      </w:r>
      <w:r>
        <w:rPr>
          <w:rStyle w:val="CharDefText"/>
        </w:rPr>
        <w:noBreakHyphen/>
        <w:t>matter</w:t>
      </w:r>
      <w:r>
        <w:rPr>
          <w:b/>
          <w:snapToGrid w:val="0"/>
        </w:rPr>
        <w:t>”</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amended in Gazette 10 January 1986 p.138.] </w:t>
      </w:r>
    </w:p>
    <w:p>
      <w:pPr>
        <w:pStyle w:val="Heading5"/>
        <w:rPr>
          <w:snapToGrid w:val="0"/>
        </w:rPr>
      </w:pPr>
      <w:bookmarkStart w:id="93" w:name="_Toc434905699"/>
      <w:bookmarkStart w:id="94" w:name="_Toc489089851"/>
      <w:bookmarkStart w:id="95" w:name="_Toc146622512"/>
      <w:bookmarkStart w:id="96" w:name="_Toc156356792"/>
      <w:r>
        <w:rPr>
          <w:rStyle w:val="CharSectno"/>
        </w:rPr>
        <w:t>21</w:t>
      </w:r>
      <w:r>
        <w:rPr>
          <w:snapToGrid w:val="0"/>
        </w:rPr>
        <w:t>.</w:t>
      </w:r>
      <w:r>
        <w:rPr>
          <w:snapToGrid w:val="0"/>
        </w:rPr>
        <w:tab/>
        <w:t>Notice of intended proceedings against guarantor</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For the purposes of section 138(3)(c) of the Act, Form 10 is the prescribed notice.</w:t>
      </w:r>
    </w:p>
    <w:p>
      <w:pPr>
        <w:pStyle w:val="Footnotesection"/>
      </w:pPr>
      <w:r>
        <w:tab/>
        <w:t xml:space="preserve">[Regulation 21 amended in Gazette 10 January 1986 p.138.] </w:t>
      </w:r>
    </w:p>
    <w:p>
      <w:pPr>
        <w:pStyle w:val="Heading5"/>
        <w:spacing w:before="120"/>
        <w:rPr>
          <w:snapToGrid w:val="0"/>
        </w:rPr>
      </w:pPr>
      <w:bookmarkStart w:id="97" w:name="_Toc434905700"/>
      <w:bookmarkStart w:id="98" w:name="_Toc489089852"/>
      <w:bookmarkStart w:id="99" w:name="_Toc146622513"/>
      <w:bookmarkStart w:id="100" w:name="_Toc156356793"/>
      <w:r>
        <w:rPr>
          <w:rStyle w:val="CharSectno"/>
        </w:rPr>
        <w:t>22</w:t>
      </w:r>
      <w:r>
        <w:rPr>
          <w:snapToGrid w:val="0"/>
        </w:rPr>
        <w:t>.</w:t>
      </w:r>
      <w:r>
        <w:rPr>
          <w:snapToGrid w:val="0"/>
        </w:rPr>
        <w:tab/>
        <w:t>Statement for guarantor under contract of guarantee</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the purposes of section 142 of the Act, Form 11 is the prescribed statement.</w:t>
      </w:r>
    </w:p>
    <w:p>
      <w:pPr>
        <w:pStyle w:val="Footnotesection"/>
      </w:pPr>
      <w:r>
        <w:tab/>
        <w:t xml:space="preserve">[Regulation 22 amended in Gazette 10 January 1986 p.138.] </w:t>
      </w:r>
    </w:p>
    <w:p>
      <w:pPr>
        <w:pStyle w:val="Heading5"/>
        <w:spacing w:before="120"/>
        <w:rPr>
          <w:snapToGrid w:val="0"/>
        </w:rPr>
      </w:pPr>
      <w:bookmarkStart w:id="101" w:name="_Toc434905701"/>
      <w:bookmarkStart w:id="102" w:name="_Toc489089853"/>
      <w:bookmarkStart w:id="103" w:name="_Toc146622514"/>
      <w:bookmarkStart w:id="104" w:name="_Toc156356794"/>
      <w:r>
        <w:rPr>
          <w:rStyle w:val="CharSectno"/>
        </w:rPr>
        <w:t>23</w:t>
      </w:r>
      <w:r>
        <w:rPr>
          <w:snapToGrid w:val="0"/>
        </w:rPr>
        <w:t>.</w:t>
      </w:r>
      <w:r>
        <w:rPr>
          <w:snapToGrid w:val="0"/>
        </w:rPr>
        <w:tab/>
        <w:t>Person authorised to certify assignment of will, etc.</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magistrate;</w:t>
      </w:r>
    </w:p>
    <w:p>
      <w:pPr>
        <w:pStyle w:val="Indenta"/>
        <w:rPr>
          <w:snapToGrid w:val="0"/>
        </w:rPr>
      </w:pPr>
      <w:r>
        <w:rPr>
          <w:snapToGrid w:val="0"/>
        </w:rPr>
        <w:tab/>
        <w:t>(b)</w:t>
      </w:r>
      <w:r>
        <w:rPr>
          <w:snapToGrid w:val="0"/>
        </w:rPr>
        <w:tab/>
        <w:t xml:space="preserve">a </w:t>
      </w:r>
      <w:r>
        <w:t>registrar of the Magistrates</w:t>
      </w:r>
      <w:r>
        <w:rPr>
          <w:snapToGrid w:val="0"/>
        </w:rPr>
        <w:t xml:space="preserve">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amended in Gazette 10 January 1986 p.138; 12 Jan 2007 p. 45.] </w:t>
      </w:r>
    </w:p>
    <w:p>
      <w:pPr>
        <w:pStyle w:val="Heading5"/>
        <w:spacing w:before="120"/>
        <w:rPr>
          <w:snapToGrid w:val="0"/>
        </w:rPr>
      </w:pPr>
      <w:bookmarkStart w:id="105" w:name="_Toc434905702"/>
      <w:bookmarkStart w:id="106" w:name="_Toc489089854"/>
      <w:bookmarkStart w:id="107" w:name="_Toc146622515"/>
      <w:bookmarkStart w:id="108" w:name="_Toc156356795"/>
      <w:r>
        <w:rPr>
          <w:rStyle w:val="CharSectno"/>
        </w:rPr>
        <w:t>24</w:t>
      </w:r>
      <w:r>
        <w:rPr>
          <w:snapToGrid w:val="0"/>
        </w:rPr>
        <w:t>.</w:t>
      </w:r>
      <w:r>
        <w:rPr>
          <w:snapToGrid w:val="0"/>
        </w:rPr>
        <w:tab/>
        <w:t>Prescribed requirements for print and type in documents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character</w:t>
      </w:r>
      <w:r>
        <w:rPr>
          <w:b/>
        </w:rPr>
        <w:t>”</w:t>
      </w:r>
      <w:r>
        <w:t xml:space="preserve"> includes a letter, figure, symbol, punctuation mark and space between adjacent characters;</w:t>
      </w:r>
    </w:p>
    <w:p>
      <w:pPr>
        <w:pStyle w:val="Defstart"/>
      </w:pPr>
      <w:r>
        <w:rPr>
          <w:b/>
        </w:rPr>
        <w:tab/>
        <w:t>“</w:t>
      </w:r>
      <w:r>
        <w:rPr>
          <w:rStyle w:val="CharDefText"/>
        </w:rPr>
        <w:t>12</w:t>
      </w:r>
      <w:r>
        <w:rPr>
          <w:rStyle w:val="CharDefText"/>
        </w:rPr>
        <w:noBreakHyphen/>
        <w:t>pitch</w:t>
      </w:r>
      <w:r>
        <w:rPr>
          <w:b/>
        </w:rPr>
        <w:t>”</w:t>
      </w:r>
      <w:r>
        <w:t xml:space="preserve"> means of dimensions such that any selected passage of print or type 25 mm in length includes no more than 12 characters and </w:t>
      </w:r>
      <w:r>
        <w:rPr>
          <w:b/>
        </w:rPr>
        <w:t>“</w:t>
      </w:r>
      <w:r>
        <w:rPr>
          <w:rStyle w:val="CharDefText"/>
        </w:rPr>
        <w:t>13</w:t>
      </w:r>
      <w:r>
        <w:rPr>
          <w:rStyle w:val="CharDefText"/>
        </w:rPr>
        <w:noBreakHyphen/>
        <w:t>pitch</w:t>
      </w:r>
      <w:r>
        <w:rPr>
          <w:b/>
        </w:rPr>
        <w:t>”</w:t>
      </w:r>
      <w:r>
        <w:t xml:space="preserve"> has a corresponding meaning.</w:t>
      </w:r>
    </w:p>
    <w:p>
      <w:pPr>
        <w:pStyle w:val="Footnotesection"/>
      </w:pPr>
      <w:r>
        <w:tab/>
        <w:t xml:space="preserve">[Regulation 24 amended in Gazette 10 January 1986 p.138; 8 October 1993 p.5437.] </w:t>
      </w:r>
    </w:p>
    <w:p>
      <w:pPr>
        <w:pStyle w:val="Heading5"/>
        <w:rPr>
          <w:snapToGrid w:val="0"/>
        </w:rPr>
      </w:pPr>
      <w:bookmarkStart w:id="109" w:name="_Toc434905703"/>
      <w:bookmarkStart w:id="110" w:name="_Toc489089855"/>
      <w:bookmarkStart w:id="111" w:name="_Toc146622516"/>
      <w:bookmarkStart w:id="112" w:name="_Toc156356796"/>
      <w:r>
        <w:rPr>
          <w:rStyle w:val="CharSectno"/>
        </w:rPr>
        <w:t>25</w:t>
      </w:r>
      <w:r>
        <w:rPr>
          <w:snapToGrid w:val="0"/>
        </w:rPr>
        <w:t>.</w:t>
      </w:r>
      <w:r>
        <w:rPr>
          <w:snapToGrid w:val="0"/>
        </w:rPr>
        <w:tab/>
        <w:t>Prescribed requirements for reproduction of print or type</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amended in Gazette 10 January 1986 p.138.] </w:t>
      </w:r>
    </w:p>
    <w:p>
      <w:pPr>
        <w:pStyle w:val="Heading5"/>
        <w:rPr>
          <w:snapToGrid w:val="0"/>
        </w:rPr>
      </w:pPr>
      <w:bookmarkStart w:id="113" w:name="_Toc434905704"/>
      <w:bookmarkStart w:id="114" w:name="_Toc489089856"/>
      <w:bookmarkStart w:id="115" w:name="_Toc146622517"/>
      <w:bookmarkStart w:id="116" w:name="_Toc156356797"/>
      <w:r>
        <w:rPr>
          <w:rStyle w:val="CharSectno"/>
        </w:rPr>
        <w:t>26</w:t>
      </w:r>
      <w:r>
        <w:rPr>
          <w:snapToGrid w:val="0"/>
        </w:rPr>
        <w:t>.</w:t>
      </w:r>
      <w:r>
        <w:rPr>
          <w:snapToGrid w:val="0"/>
        </w:rPr>
        <w:tab/>
        <w:t>Lay</w:t>
      </w:r>
      <w:r>
        <w:rPr>
          <w:snapToGrid w:val="0"/>
        </w:rPr>
        <w:noBreakHyphen/>
        <w:t>out of certain documents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amended in Gazette 10 January 1986 p.138.] </w:t>
      </w:r>
    </w:p>
    <w:p>
      <w:pPr>
        <w:pStyle w:val="Heading5"/>
        <w:rPr>
          <w:snapToGrid w:val="0"/>
        </w:rPr>
      </w:pPr>
      <w:bookmarkStart w:id="117" w:name="_Toc434905705"/>
      <w:bookmarkStart w:id="118" w:name="_Toc489089857"/>
      <w:bookmarkStart w:id="119" w:name="_Toc146622518"/>
      <w:bookmarkStart w:id="120" w:name="_Toc156356798"/>
      <w:r>
        <w:rPr>
          <w:rStyle w:val="CharSectno"/>
        </w:rPr>
        <w:t>27</w:t>
      </w:r>
      <w:r>
        <w:rPr>
          <w:snapToGrid w:val="0"/>
        </w:rPr>
        <w:t>.</w:t>
      </w:r>
      <w:r>
        <w:rPr>
          <w:snapToGrid w:val="0"/>
        </w:rPr>
        <w:tab/>
        <w:t>Charges to be included in amount financed</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spacing w:before="120"/>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spacing w:before="120"/>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spacing w:before="120"/>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spacing w:before="120"/>
        <w:rPr>
          <w:snapToGrid w:val="0"/>
        </w:rPr>
      </w:pPr>
      <w:r>
        <w:rPr>
          <w:snapToGrid w:val="0"/>
        </w:rPr>
        <w:tab/>
        <w:t>(h)</w:t>
      </w:r>
      <w:r>
        <w:rPr>
          <w:snapToGrid w:val="0"/>
        </w:rPr>
        <w:tab/>
        <w:t xml:space="preserve">fees payable to the Commissioner for a certificate of entries, or a statement that there are no entries, under the </w:t>
      </w:r>
      <w:r>
        <w:rPr>
          <w:i/>
          <w:snapToGrid w:val="0"/>
        </w:rPr>
        <w:t>Chattel Securities Act 1987</w:t>
      </w:r>
      <w:r>
        <w:rPr>
          <w:snapToGrid w:val="0"/>
        </w:rPr>
        <w:t>;</w:t>
      </w:r>
    </w:p>
    <w:p>
      <w:pPr>
        <w:pStyle w:val="Indenta"/>
        <w:spacing w:before="120"/>
        <w:rPr>
          <w:snapToGrid w:val="0"/>
        </w:rPr>
      </w:pPr>
      <w:r>
        <w:rPr>
          <w:snapToGrid w:val="0"/>
        </w:rPr>
        <w:tab/>
        <w:t>(i)</w:t>
      </w:r>
      <w:r>
        <w:rPr>
          <w:snapToGrid w:val="0"/>
        </w:rPr>
        <w:tab/>
        <w:t xml:space="preserve">fees payable to the Commissioner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b/>
          <w:snapToGrid w:val="0"/>
        </w:rPr>
        <w:t>“</w:t>
      </w:r>
      <w:r>
        <w:rPr>
          <w:rStyle w:val="CharDefText"/>
        </w:rPr>
        <w:t>relevant date</w:t>
      </w:r>
      <w:r>
        <w:rPr>
          <w:b/>
          <w:snapToGrid w:val="0"/>
        </w:rPr>
        <w:t>”</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 xml:space="preserve">[Regulation 27 inserted in Gazette 10 October 1986 p.3875; amended in Gazette 5 August 1988 p.2630; 22 Dec 2006 p. 5803; 12 Jan 2007 p. 45.] </w:t>
      </w:r>
    </w:p>
    <w:p>
      <w:pPr>
        <w:pStyle w:val="Heading5"/>
        <w:rPr>
          <w:snapToGrid w:val="0"/>
        </w:rPr>
      </w:pPr>
      <w:bookmarkStart w:id="121" w:name="_Toc434905706"/>
      <w:bookmarkStart w:id="122" w:name="_Toc489089858"/>
      <w:bookmarkStart w:id="123" w:name="_Toc146622519"/>
      <w:bookmarkStart w:id="124" w:name="_Toc156356799"/>
      <w:r>
        <w:rPr>
          <w:rStyle w:val="CharSectno"/>
        </w:rPr>
        <w:t>28</w:t>
      </w:r>
      <w:r>
        <w:rPr>
          <w:snapToGrid w:val="0"/>
        </w:rPr>
        <w:t>.</w:t>
      </w:r>
      <w:r>
        <w:rPr>
          <w:snapToGrid w:val="0"/>
        </w:rPr>
        <w:tab/>
        <w:t>Prescribed risk</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in Gazette 29 March 1985 p.1143; amended in Gazette 10 January 1986 p.138.] </w:t>
      </w:r>
    </w:p>
    <w:p>
      <w:pPr>
        <w:pStyle w:val="Heading5"/>
      </w:pPr>
      <w:bookmarkStart w:id="125" w:name="_Toc146622520"/>
      <w:bookmarkStart w:id="126" w:name="_Toc156356800"/>
      <w:r>
        <w:rPr>
          <w:rStyle w:val="CharSectno"/>
        </w:rPr>
        <w:t>29</w:t>
      </w:r>
      <w:r>
        <w:t>.</w:t>
      </w:r>
      <w:r>
        <w:tab/>
        <w:t>Infringement notices</w:t>
      </w:r>
      <w:bookmarkEnd w:id="125"/>
      <w:bookmarkEnd w:id="126"/>
    </w:p>
    <w:p>
      <w:pPr>
        <w:pStyle w:val="Subsection"/>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rPr>
          <w:i/>
          <w:iCs/>
        </w:rPr>
        <w:t xml:space="preserve"> —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 in Gazette 22 Sep 2006 p. 4098.]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7" w:name="_Toc146622521"/>
      <w:bookmarkStart w:id="128" w:name="_Toc146622620"/>
      <w:bookmarkStart w:id="129" w:name="_Toc146685595"/>
      <w:bookmarkStart w:id="130" w:name="_Toc155081271"/>
      <w:bookmarkStart w:id="131" w:name="_Toc155081525"/>
      <w:bookmarkStart w:id="132" w:name="_Toc156288261"/>
      <w:bookmarkStart w:id="133" w:name="_Toc156356801"/>
      <w:r>
        <w:rPr>
          <w:rStyle w:val="CharSchNo"/>
        </w:rPr>
        <w:t>Schedule 1</w:t>
      </w:r>
      <w:bookmarkEnd w:id="127"/>
      <w:bookmarkEnd w:id="128"/>
      <w:bookmarkEnd w:id="129"/>
      <w:bookmarkEnd w:id="130"/>
      <w:bookmarkEnd w:id="131"/>
      <w:bookmarkEnd w:id="132"/>
      <w:bookmarkEnd w:id="133"/>
      <w:r>
        <w:rPr>
          <w:rStyle w:val="CharSchText"/>
        </w:rPr>
        <w:t xml:space="preserve"> </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Heading5"/>
        <w:outlineLvl w:val="9"/>
      </w:pPr>
      <w:bookmarkStart w:id="134" w:name="_Toc146622522"/>
      <w:bookmarkStart w:id="135" w:name="_Toc156356802"/>
      <w:r>
        <w:t>1.</w:t>
      </w:r>
      <w:bookmarkEnd w:id="134"/>
      <w:bookmarkEnd w:id="135"/>
    </w:p>
    <w:p>
      <w:pPr>
        <w:pStyle w:val="yMiscellaneousBody"/>
        <w:tabs>
          <w:tab w:val="left" w:pos="567"/>
        </w:tabs>
        <w:ind w:left="567" w:hanging="567"/>
      </w:pP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Heading5"/>
        <w:outlineLvl w:val="9"/>
      </w:pPr>
      <w:bookmarkStart w:id="136" w:name="_Toc146622523"/>
      <w:bookmarkStart w:id="137" w:name="_Toc156356803"/>
      <w:r>
        <w:t>2.</w:t>
      </w:r>
      <w:bookmarkEnd w:id="136"/>
      <w:bookmarkEnd w:id="137"/>
    </w:p>
    <w:p>
      <w:pPr>
        <w:pStyle w:val="yMiscellaneousBody"/>
        <w:tabs>
          <w:tab w:val="left" w:pos="567"/>
        </w:tabs>
        <w:ind w:left="567" w:hanging="567"/>
      </w:pPr>
      <w:r>
        <w:tab/>
        <w:t>The debtor gives and the supplier takes a mortgage of the subject goods.</w:t>
      </w:r>
    </w:p>
    <w:p>
      <w:pPr>
        <w:pStyle w:val="yHeading5"/>
        <w:outlineLvl w:val="9"/>
      </w:pPr>
      <w:bookmarkStart w:id="138" w:name="_Toc146622524"/>
      <w:bookmarkStart w:id="139" w:name="_Toc156356804"/>
      <w:r>
        <w:t>3.</w:t>
      </w:r>
      <w:bookmarkEnd w:id="138"/>
      <w:bookmarkEnd w:id="139"/>
    </w:p>
    <w:p>
      <w:pPr>
        <w:pStyle w:val="yMiscellaneousBody"/>
        <w:tabs>
          <w:tab w:val="left" w:pos="567"/>
        </w:tabs>
        <w:ind w:left="567" w:hanging="567"/>
      </w:pP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Heading5"/>
        <w:outlineLvl w:val="9"/>
      </w:pPr>
      <w:bookmarkStart w:id="140" w:name="_Toc146622525"/>
      <w:bookmarkStart w:id="141" w:name="_Toc156356805"/>
      <w:r>
        <w:t>4.</w:t>
      </w:r>
      <w:bookmarkEnd w:id="140"/>
      <w:bookmarkEnd w:id="141"/>
    </w:p>
    <w:p>
      <w:pPr>
        <w:pStyle w:val="yMiscellaneousBody"/>
        <w:tabs>
          <w:tab w:val="left" w:pos="567"/>
        </w:tabs>
        <w:ind w:left="567" w:hanging="567"/>
      </w:pPr>
      <w:r>
        <w:tab/>
        <w:t>Nothing in clause 3 affects the operation of any statute or of any principle of law or equity applicable to the rights and duties of the debtor and supplier in relation to each other.</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2 amended in Gazette 12 Jan 2007 p. 46.]</w:t>
      </w:r>
    </w:p>
    <w:p>
      <w:pPr>
        <w:pStyle w:val="CentredBaseLine"/>
        <w:jc w:val="center"/>
      </w:pPr>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3 amended in Gazette 12 Jan 2007 p. 46.]</w:t>
      </w:r>
    </w:p>
    <w:p>
      <w:pPr>
        <w:pStyle w:val="CentredBaseLine"/>
        <w:jc w:val="center"/>
      </w:pPr>
      <w:r>
        <w:rPr>
          <w:noProof/>
          <w:lang w:eastAsia="en-AU"/>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and Employment Protection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and Employment Protection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and Employment Protection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and Employment Protection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tabs>
          <w:tab w:val="left" w:pos="567"/>
        </w:tabs>
        <w:ind w:left="567" w:hanging="567"/>
        <w:jc w:val="center"/>
      </w:pPr>
      <w:r>
        <w:t>PLEASE KEEP THIS NOTICE YOU MAY WANT SOME INFORMATION FROM IT AT A LATER DATE.</w:t>
      </w:r>
    </w:p>
    <w:p>
      <w:pPr>
        <w:pStyle w:val="yFootnotesection"/>
      </w:pPr>
      <w:r>
        <w:tab/>
        <w:t>[Form 4 amended in Gazette 12 Jan 2007 p. 46.]</w:t>
      </w:r>
    </w:p>
    <w:p>
      <w:pPr>
        <w:pStyle w:val="CentredBaseLine"/>
        <w:jc w:val="center"/>
      </w:pPr>
      <w:r>
        <w:rPr>
          <w:noProof/>
          <w:lang w:eastAsia="en-AU"/>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AND EMPLOYMENT PROTECTION OR GET LEGAL ADVICE.</w:t>
      </w:r>
    </w:p>
    <w:p>
      <w:pPr>
        <w:pStyle w:val="yFootnotesection"/>
      </w:pPr>
      <w:r>
        <w:tab/>
        <w:t>[Form 5 amended in Gazette 12 Jan 2007 p. 46.]</w:t>
      </w:r>
    </w:p>
    <w:p>
      <w:pPr>
        <w:pStyle w:val="CentredBaseLine"/>
        <w:jc w:val="center"/>
      </w:pPr>
      <w:r>
        <w:rPr>
          <w:noProof/>
          <w:lang w:eastAsia="en-AU"/>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and Employment Protection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6 amended in Gazette 12 Jan 2007 p. 46.]</w:t>
      </w:r>
    </w:p>
    <w:p>
      <w:pPr>
        <w:pStyle w:val="CentredBaseLine"/>
        <w:jc w:val="center"/>
      </w:pPr>
      <w:r>
        <w:rPr>
          <w:noProof/>
          <w:lang w:eastAsia="en-AU"/>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 xml:space="preserve">If you cannot come to a suitable arrangement with your credit provider or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and Employment Protection or get legal advice immediately.</w:t>
      </w:r>
    </w:p>
    <w:p>
      <w:pPr>
        <w:pStyle w:val="yFootnotesection"/>
      </w:pPr>
      <w:r>
        <w:tab/>
        <w:t>[Form 7 amended in Gazette 12 Jan 2007 p. 46.]</w:t>
      </w:r>
    </w:p>
    <w:p>
      <w:pPr>
        <w:pStyle w:val="CentredBaseLine"/>
        <w:jc w:val="center"/>
      </w:pPr>
      <w:r>
        <w:rPr>
          <w:noProof/>
          <w:lang w:eastAsia="en-AU"/>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w:t>
      </w:r>
    </w:p>
    <w:p>
      <w:pPr>
        <w:pStyle w:val="yMiscellaneousBody"/>
        <w:spacing w:before="0"/>
      </w:pPr>
      <w:r>
        <w:t>Date the goods were taken:.....................................................................................</w:t>
      </w:r>
    </w:p>
    <w:p>
      <w:pPr>
        <w:pStyle w:val="yMiscellaneousBody"/>
        <w:spacing w:before="0"/>
      </w:pPr>
      <w:r>
        <w:t>The goods were taken because:...............................................................................</w:t>
      </w:r>
    </w:p>
    <w:p>
      <w:pPr>
        <w:pStyle w:val="yMiscellaneousBody"/>
        <w:spacing w:before="0"/>
      </w:pPr>
      <w:r>
        <w:t>.................................................................................................................................</w:t>
      </w:r>
    </w:p>
    <w:p>
      <w:pPr>
        <w:pStyle w:val="yMiscellaneousBody"/>
        <w:spacing w:before="0"/>
      </w:pPr>
      <w:r>
        <w:t>As at the date of this Notice, the cost of enforcing the mortgage (such as the cost of taking the goods) is $ ...................................</w:t>
      </w:r>
    </w:p>
    <w:p>
      <w:pPr>
        <w:pStyle w:val="yMiscellaneousBody"/>
        <w:spacing w:before="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Heading"/>
        <w:pageBreakBefore/>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 xml:space="preserve">If you cannot come to a suitable arrangement with your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AND EMPLOYMENT PROTECTION OR GET LEGAL ADVICE.</w:t>
      </w:r>
    </w:p>
    <w:p>
      <w:pPr>
        <w:pStyle w:val="yMiscellaneousBody"/>
        <w:jc w:val="right"/>
      </w:pPr>
      <w:r>
        <w:t>........................................................</w:t>
      </w:r>
    </w:p>
    <w:p>
      <w:pPr>
        <w:pStyle w:val="yMiscellaneousBody"/>
        <w:spacing w:before="0"/>
        <w:jc w:val="right"/>
      </w:pPr>
      <w:r>
        <w:t>(Signature of mortgagee or agent)</w:t>
      </w:r>
    </w:p>
    <w:p>
      <w:pPr>
        <w:pStyle w:val="yFootnotesection"/>
      </w:pPr>
      <w:r>
        <w:tab/>
        <w:t>[Form 8 amended in Gazette 12 Jan 2007 p. 46.]</w:t>
      </w:r>
    </w:p>
    <w:p>
      <w:pPr>
        <w:pStyle w:val="CentredBaseLine"/>
        <w:jc w:val="center"/>
      </w:pPr>
      <w:r>
        <w:rPr>
          <w:noProof/>
          <w:lang w:eastAsia="en-AU"/>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MiscellaneousBody"/>
        <w:jc w:val="center"/>
      </w:pPr>
      <w:r>
        <w:rPr>
          <w:noProof/>
          <w:lang w:eastAsia="en-AU"/>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10</w:t>
      </w:r>
    </w:p>
    <w:p>
      <w:pPr>
        <w:pStyle w:val="yShoulderClause"/>
      </w:pPr>
      <w:r>
        <w:t>[Reg. 21]</w:t>
      </w:r>
    </w:p>
    <w:p>
      <w:pPr>
        <w:pStyle w:val="yMiscellaneousHeading"/>
        <w:rPr>
          <w:b/>
        </w:rPr>
      </w:pPr>
      <w:r>
        <w:rPr>
          <w:b/>
        </w:rPr>
        <w:t>GUARANTORS </w:t>
      </w:r>
      <w:r>
        <w:rPr>
          <w:b/>
          <w:snapToGrid w:val="0"/>
        </w:rPr>
        <w:t>—</w:t>
      </w:r>
      <w:r>
        <w:rPr>
          <w:b/>
        </w:rPr>
        <w:t> NOTICE OF INTENDED LEGAL ACTION</w:t>
      </w:r>
    </w:p>
    <w:p>
      <w:pPr>
        <w:pStyle w:val="yMiscellaneousHeading"/>
      </w:pPr>
      <w:r>
        <w:t>CREDIT ACT (Section 138)</w:t>
      </w:r>
    </w:p>
    <w:p>
      <w:pPr>
        <w:pStyle w:val="yMiscellaneousBody"/>
        <w:jc w:val="right"/>
      </w:pPr>
      <w:r>
        <w:t>..............................................., 20.........</w:t>
      </w:r>
    </w:p>
    <w:p>
      <w:pPr>
        <w:pStyle w:val="yMiscellaneousBody"/>
        <w:tabs>
          <w:tab w:val="left" w:pos="4820"/>
        </w:tabs>
        <w:spacing w:before="0"/>
      </w:pPr>
      <w:r>
        <w:tab/>
        <w:t>Date</w:t>
      </w:r>
    </w:p>
    <w:p>
      <w:pPr>
        <w:pStyle w:val="yMiscellaneousBody"/>
        <w:tabs>
          <w:tab w:val="left" w:pos="1134"/>
        </w:tabs>
        <w:spacing w:before="0"/>
      </w:pPr>
      <w:r>
        <w:t>TO:</w:t>
      </w:r>
      <w:r>
        <w:tab/>
        <w:t>............................................................................................................</w:t>
      </w:r>
    </w:p>
    <w:p>
      <w:pPr>
        <w:pStyle w:val="yMiscellaneousBody"/>
        <w:spacing w:before="0"/>
        <w:jc w:val="center"/>
      </w:pPr>
      <w:r>
        <w:t>(name of guarantor)</w:t>
      </w:r>
    </w:p>
    <w:p>
      <w:pPr>
        <w:pStyle w:val="yMiscellaneousBody"/>
        <w:tabs>
          <w:tab w:val="left" w:pos="1134"/>
        </w:tabs>
        <w:spacing w:before="0"/>
      </w:pPr>
      <w:r>
        <w:tab/>
        <w:t>............................................................................................................</w:t>
      </w:r>
    </w:p>
    <w:p>
      <w:pPr>
        <w:pStyle w:val="yMiscellaneousBody"/>
        <w:spacing w:before="0"/>
        <w:jc w:val="center"/>
      </w:pPr>
      <w:r>
        <w:t>(address of guarantor)</w:t>
      </w:r>
    </w:p>
    <w:p>
      <w:pPr>
        <w:pStyle w:val="yMiscellaneousBody"/>
        <w:tabs>
          <w:tab w:val="left" w:pos="1134"/>
        </w:tabs>
        <w:spacing w:before="0"/>
      </w:pPr>
      <w:r>
        <w:tab/>
        <w:t>............................................................................................................</w:t>
      </w:r>
    </w:p>
    <w:p>
      <w:pPr>
        <w:pStyle w:val="yMiscellaneousBody"/>
        <w:tabs>
          <w:tab w:val="left" w:pos="1134"/>
        </w:tabs>
        <w:spacing w:before="0"/>
      </w:pPr>
      <w:r>
        <w:tab/>
        <w:t>............................................................................................................</w:t>
      </w:r>
    </w:p>
    <w:p>
      <w:pPr>
        <w:pStyle w:val="yMiscellaneousBody"/>
        <w:tabs>
          <w:tab w:val="left" w:pos="1134"/>
        </w:tabs>
        <w:spacing w:before="240"/>
      </w:pPr>
      <w:r>
        <w:t>FROM:</w:t>
      </w:r>
      <w:r>
        <w:tab/>
        <w:t>............................................................................................................</w:t>
      </w:r>
    </w:p>
    <w:p>
      <w:pPr>
        <w:pStyle w:val="yMiscellaneousBody"/>
        <w:spacing w:before="0"/>
        <w:jc w:val="center"/>
      </w:pPr>
      <w:r>
        <w:t>(name of credit provider)</w:t>
      </w:r>
    </w:p>
    <w:p>
      <w:pPr>
        <w:pStyle w:val="yMiscellaneousBody"/>
        <w:tabs>
          <w:tab w:val="left" w:pos="1134"/>
        </w:tabs>
        <w:spacing w:before="0"/>
      </w:pPr>
      <w:r>
        <w:tab/>
        <w:t>............................................................................................................</w:t>
      </w:r>
    </w:p>
    <w:p>
      <w:pPr>
        <w:pStyle w:val="yMiscellaneousBody"/>
        <w:spacing w:before="0"/>
        <w:jc w:val="center"/>
      </w:pPr>
      <w:r>
        <w:t>(address of credit provider)</w:t>
      </w:r>
    </w:p>
    <w:p>
      <w:pPr>
        <w:pStyle w:val="yMiscellaneousBody"/>
        <w:tabs>
          <w:tab w:val="left" w:pos="1134"/>
        </w:tabs>
        <w:spacing w:before="80"/>
      </w:pPr>
      <w:r>
        <w:tab/>
        <w:t>............................................................................................................</w:t>
      </w:r>
    </w:p>
    <w:p>
      <w:pPr>
        <w:pStyle w:val="yMiscellaneousBody"/>
        <w:tabs>
          <w:tab w:val="left" w:pos="1134"/>
        </w:tabs>
        <w:spacing w:before="0"/>
      </w:pPr>
      <w:r>
        <w:tab/>
        <w:t>............................................................................................................</w:t>
      </w:r>
    </w:p>
    <w:p>
      <w:pPr>
        <w:pStyle w:val="yMiscellaneousBody"/>
      </w:pPr>
      <w:r>
        <w:t>After 14 days from the time you receive this Notice</w:t>
      </w:r>
    </w:p>
    <w:p>
      <w:pPr>
        <w:pStyle w:val="yMiscellaneousBody"/>
        <w:spacing w:before="0"/>
      </w:pPr>
      <w:r>
        <w:t>.................................................................................................................................</w:t>
      </w:r>
    </w:p>
    <w:p>
      <w:pPr>
        <w:pStyle w:val="yMiscellaneousBody"/>
        <w:spacing w:before="0"/>
        <w:jc w:val="center"/>
      </w:pPr>
      <w:r>
        <w:t>(name of credit provider)</w:t>
      </w:r>
    </w:p>
    <w:p>
      <w:pPr>
        <w:pStyle w:val="yMiscellaneousBody"/>
      </w:pPr>
      <w:r>
        <w:t>intends to take legal action against you under your contract of guarantee. The credit provider’s reasons are given at the end of this Notice.</w:t>
      </w:r>
    </w:p>
    <w:p>
      <w:pPr>
        <w:pStyle w:val="yMiscellaneousBody"/>
        <w:keepNext/>
      </w:pPr>
      <w:r>
        <w:t>You will also find at the end of this Notice:</w:t>
      </w:r>
    </w:p>
    <w:p>
      <w:pPr>
        <w:pStyle w:val="yMiscellaneousBody"/>
        <w:tabs>
          <w:tab w:val="left" w:pos="567"/>
        </w:tabs>
        <w:ind w:left="567" w:hanging="425"/>
      </w:pPr>
      <w:r>
        <w:t>*</w:t>
      </w:r>
      <w:r>
        <w:tab/>
        <w:t>the amount the credit provider says you owe at the date of this Notice;</w:t>
      </w:r>
    </w:p>
    <w:p>
      <w:pPr>
        <w:pStyle w:val="yMiscellaneousBody"/>
        <w:tabs>
          <w:tab w:val="left" w:pos="567"/>
        </w:tabs>
        <w:ind w:left="567" w:hanging="425"/>
      </w:pPr>
      <w:r>
        <w:t>*</w:t>
      </w:r>
      <w:r>
        <w:tab/>
        <w:t>details to identify your contract of guarantee;</w:t>
      </w:r>
    </w:p>
    <w:p>
      <w:pPr>
        <w:pStyle w:val="yMiscellaneousBody"/>
        <w:tabs>
          <w:tab w:val="left" w:pos="567"/>
        </w:tabs>
        <w:ind w:left="567" w:hanging="425"/>
      </w:pPr>
      <w:r>
        <w:t>*</w:t>
      </w:r>
      <w:r>
        <w:tab/>
        <w:t>details to identify the debtor’s credit contract.</w:t>
      </w:r>
    </w:p>
    <w:p>
      <w:pPr>
        <w:pStyle w:val="yMiscellaneousBody"/>
      </w:pPr>
      <w:r>
        <w:t>You should discuss this matter with the credit provider as soon as possible. You may be able to work out some alternative arrangement about the amount you owe.</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credit provider)</w:t>
      </w:r>
    </w:p>
    <w:p>
      <w:pPr>
        <w:pStyle w:val="yMiscellaneousBody"/>
        <w:spacing w:before="0"/>
      </w:pPr>
      <w:r>
        <w:t>.................................................................................................................................</w:t>
      </w:r>
    </w:p>
    <w:p>
      <w:pPr>
        <w:pStyle w:val="yMiscellaneousBody"/>
        <w:spacing w:before="0"/>
        <w:jc w:val="center"/>
      </w:pPr>
      <w:r>
        <w:t>(address of credit provider)</w:t>
      </w:r>
    </w:p>
    <w:p>
      <w:pPr>
        <w:pStyle w:val="yMiscellaneousBody"/>
        <w:spacing w:before="0"/>
      </w:pPr>
      <w:r>
        <w:t>.................................................................................................................................</w:t>
      </w:r>
    </w:p>
    <w:p>
      <w:pPr>
        <w:pStyle w:val="yMiscellaneousBody"/>
        <w:spacing w:before="0"/>
      </w:pPr>
      <w:r>
        <w:t>Telephone No./s:.....................................................................................................</w:t>
      </w:r>
    </w:p>
    <w:p>
      <w:pPr>
        <w:pStyle w:val="yMiscellaneousBody"/>
      </w:pPr>
      <w:r>
        <w:t xml:space="preserve">If you cannot come to a suitable arrangement with the credit provider, contact Consumer and Employment Protection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and Employment Protection or get legal advice immediately.</w:t>
      </w:r>
    </w:p>
    <w:p>
      <w:pPr>
        <w:pStyle w:val="yMiscellaneousHeading"/>
        <w:pageBreakBefore/>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pageBreakBefore/>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AND EMPLOYMENT PROTECTION OR GET LEGAL ADVICE.</w:t>
      </w:r>
    </w:p>
    <w:p>
      <w:pPr>
        <w:pStyle w:val="yMiscellaneousBody"/>
        <w:spacing w:before="0"/>
        <w:jc w:val="right"/>
      </w:pPr>
      <w:r>
        <w:t>..............................................................</w:t>
      </w:r>
    </w:p>
    <w:p>
      <w:pPr>
        <w:pStyle w:val="yMiscellaneousBody"/>
        <w:spacing w:before="0"/>
        <w:jc w:val="right"/>
      </w:pPr>
      <w:r>
        <w:t>(Signature of credit provider of agent)</w:t>
      </w:r>
    </w:p>
    <w:p>
      <w:pPr>
        <w:pStyle w:val="yFootnotesection"/>
      </w:pPr>
      <w:r>
        <w:tab/>
        <w:t>[Form 10 amended in Gazette 12 Jan 2007 p. 46.]</w:t>
      </w:r>
    </w:p>
    <w:p>
      <w:pPr>
        <w:pStyle w:val="yMiscellaneousBody"/>
        <w:jc w:val="center"/>
      </w:pPr>
      <w:r>
        <w:rPr>
          <w:noProof/>
          <w:lang w:eastAsia="en-AU"/>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and Employment Protection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 xml:space="preserve">Talk to the credit provider and see if some arrangement can be made about paying. If you cannot come to a suitable arrangement, contact Consumer and Employment Protection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11 amended in Gazette 12 Jan 2007 p. 46.]</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12 inserted in Gazette 22 Sep 2006 p. 4099.]</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13 inserted in Gazette 22 Sep 2006 p. 4100.]</w:t>
      </w:r>
    </w:p>
    <w:p>
      <w:pPr>
        <w:pStyle w:val="yFootnotesection"/>
      </w:pPr>
      <w:r>
        <w:tab/>
        <w:t>[Schedule 1 inserted in Gazette 10 January 1986 pp.138</w:t>
      </w:r>
      <w:r>
        <w:noBreakHyphen/>
        <w:t>50; amended in Gazette 22 Sep 2006 p. 4099-100; 12 Jan 2007 p. 46.]</w:t>
      </w:r>
    </w:p>
    <w:p>
      <w:pPr>
        <w:pStyle w:val="yScheduleHeading"/>
      </w:pPr>
      <w:bookmarkStart w:id="142" w:name="_Toc146622526"/>
      <w:bookmarkStart w:id="143" w:name="_Toc146622625"/>
      <w:bookmarkStart w:id="144" w:name="_Toc146685600"/>
      <w:bookmarkStart w:id="145" w:name="_Toc155081276"/>
      <w:bookmarkStart w:id="146" w:name="_Toc155081530"/>
      <w:bookmarkStart w:id="147" w:name="_Toc156288266"/>
      <w:bookmarkStart w:id="148" w:name="_Toc156356806"/>
      <w:r>
        <w:rPr>
          <w:rStyle w:val="CharSchNo"/>
        </w:rPr>
        <w:t>Schedule 2</w:t>
      </w:r>
      <w:bookmarkEnd w:id="142"/>
      <w:bookmarkEnd w:id="143"/>
      <w:bookmarkEnd w:id="144"/>
      <w:bookmarkEnd w:id="145"/>
      <w:bookmarkEnd w:id="146"/>
      <w:bookmarkEnd w:id="147"/>
      <w:bookmarkEnd w:id="148"/>
    </w:p>
    <w:p>
      <w:pPr>
        <w:pStyle w:val="yShoulderClause"/>
      </w:pPr>
      <w:r>
        <w:t>[Reg. 13]</w:t>
      </w:r>
    </w:p>
    <w:p>
      <w:pPr>
        <w:pStyle w:val="yMiscellaneousHeading"/>
        <w:rPr>
          <w:b/>
        </w:rPr>
      </w:pPr>
      <w:r>
        <w:rPr>
          <w:b/>
        </w:rPr>
        <w:t>Annual percentage rate </w:t>
      </w:r>
      <w:r>
        <w:rPr>
          <w:b/>
          <w:snapToGrid w:val="0"/>
        </w:rPr>
        <w:t>—</w:t>
      </w:r>
      <w:r>
        <w:rPr>
          <w:b/>
        </w:rPr>
        <w:t> Applicable methods</w:t>
      </w:r>
    </w:p>
    <w:p>
      <w:pPr>
        <w:pStyle w:val="yHeading5"/>
        <w:outlineLvl w:val="9"/>
      </w:pPr>
      <w:bookmarkStart w:id="149" w:name="_Toc489089859"/>
      <w:bookmarkStart w:id="150" w:name="_Toc146622527"/>
      <w:bookmarkStart w:id="151" w:name="_Toc156356807"/>
      <w:r>
        <w:t>1.</w:t>
      </w:r>
      <w:r>
        <w:tab/>
        <w:t>Method No. 1</w:t>
      </w:r>
      <w:bookmarkEnd w:id="149"/>
      <w:bookmarkEnd w:id="150"/>
      <w:bookmarkEnd w:id="151"/>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object w:dxaOrig="1660" w:dyaOrig="680">
          <v:shape id="_x0000_i1026" type="#_x0000_t75" style="width:83.25pt;height:33.75pt" o:ole="">
            <v:imagedata r:id="rId29" o:title=""/>
          </v:shape>
          <o:OLEObject Type="Embed" ProgID="Equation.3" ShapeID="_x0000_i1026" DrawAspect="Content" ObjectID="_1643717636" r:id="rId30"/>
        </w:obje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rPr>
          <w:rStyle w:val="EquationCaption"/>
        </w:rPr>
      </w:pPr>
      <w:r>
        <w:rPr>
          <w:rStyle w:val="EquationCaption"/>
        </w:rPr>
        <w:object w:dxaOrig="300" w:dyaOrig="620">
          <v:shape id="_x0000_i1027" type="#_x0000_t75" style="width:15pt;height:30.75pt" o:ole="">
            <v:imagedata r:id="rId31" o:title=""/>
          </v:shape>
          <o:OLEObject Type="Embed" ProgID="Equation.3" ShapeID="_x0000_i1027" DrawAspect="Content" ObjectID="_1643717637" r:id="rId32"/>
        </w:obje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outlineLvl w:val="9"/>
      </w:pPr>
      <w:bookmarkStart w:id="152" w:name="_Toc489089860"/>
      <w:bookmarkStart w:id="153" w:name="_Toc146622528"/>
      <w:bookmarkStart w:id="154" w:name="_Toc156356808"/>
      <w:r>
        <w:t>2.</w:t>
      </w:r>
      <w:r>
        <w:tab/>
        <w:t>Method No. 2</w:t>
      </w:r>
      <w:bookmarkEnd w:id="152"/>
      <w:bookmarkEnd w:id="153"/>
      <w:bookmarkEnd w:id="154"/>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outlineLvl w:val="9"/>
      </w:pPr>
      <w:bookmarkStart w:id="155" w:name="_Toc489089861"/>
      <w:bookmarkStart w:id="156" w:name="_Toc146622529"/>
      <w:bookmarkStart w:id="157" w:name="_Toc156356809"/>
      <w:r>
        <w:t>3.</w:t>
      </w:r>
      <w:r>
        <w:tab/>
        <w:t>Interpretation</w:t>
      </w:r>
      <w:bookmarkEnd w:id="155"/>
      <w:bookmarkEnd w:id="156"/>
      <w:bookmarkEnd w:id="157"/>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January 1986 p.150.]</w:t>
      </w:r>
    </w:p>
    <w:p>
      <w:pPr>
        <w:pStyle w:val="yScheduleHeading"/>
      </w:pPr>
      <w:bookmarkStart w:id="158" w:name="_Toc146622530"/>
      <w:bookmarkStart w:id="159" w:name="_Toc146622629"/>
      <w:bookmarkStart w:id="160" w:name="_Toc146685604"/>
      <w:bookmarkStart w:id="161" w:name="_Toc155081280"/>
      <w:bookmarkStart w:id="162" w:name="_Toc155081534"/>
      <w:bookmarkStart w:id="163" w:name="_Toc156288270"/>
      <w:bookmarkStart w:id="164" w:name="_Toc156356810"/>
      <w:r>
        <w:rPr>
          <w:rStyle w:val="CharSchNo"/>
        </w:rPr>
        <w:t>Schedule 3</w:t>
      </w:r>
      <w:bookmarkEnd w:id="158"/>
      <w:bookmarkEnd w:id="159"/>
      <w:bookmarkEnd w:id="160"/>
      <w:bookmarkEnd w:id="161"/>
      <w:bookmarkEnd w:id="162"/>
      <w:bookmarkEnd w:id="163"/>
      <w:bookmarkEnd w:id="164"/>
    </w:p>
    <w:p>
      <w:pPr>
        <w:pStyle w:val="yShoulderClause"/>
      </w:pPr>
      <w:r>
        <w:t>[Reg. 19(1)]</w:t>
      </w:r>
    </w:p>
    <w:p>
      <w:pPr>
        <w:pStyle w:val="yMiscellaneousHeading"/>
        <w:spacing w:after="120"/>
        <w:rPr>
          <w:b/>
        </w:rPr>
      </w:pPr>
      <w:r>
        <w:rPr>
          <w:b/>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 or the Department of Consumer and Employment Protection</w:t>
            </w:r>
          </w:p>
        </w:tc>
        <w:tc>
          <w:tcPr>
            <w:tcW w:w="2126" w:type="dxa"/>
            <w:tcBorders>
              <w:left w:val="single" w:sz="4" w:space="0" w:color="auto"/>
              <w:bottom w:val="single" w:sz="4" w:space="0" w:color="auto"/>
            </w:tcBorders>
          </w:tcPr>
          <w:p>
            <w:pPr>
              <w:pStyle w:val="yTable"/>
              <w:keepNext/>
              <w:keepLines/>
              <w:rPr>
                <w:vertAlign w:val="superscript"/>
              </w:rPr>
            </w:pPr>
            <w:r>
              <w:t>Consumer and Employment Protection</w:t>
            </w:r>
          </w:p>
        </w:tc>
      </w:tr>
    </w:tbl>
    <w:p>
      <w:pPr>
        <w:pStyle w:val="yFootnotesection"/>
      </w:pPr>
      <w:r>
        <w:tab/>
        <w:t>[Schedule 3 amended in Gazette 10 January 1986 p.150; 12 Jan 2007 p. 46.]</w:t>
      </w:r>
    </w:p>
    <w:p>
      <w:pPr>
        <w:pStyle w:val="yScheduleHeading"/>
      </w:pPr>
      <w:bookmarkStart w:id="165" w:name="_Toc146622531"/>
      <w:bookmarkStart w:id="166" w:name="_Toc146622630"/>
      <w:bookmarkStart w:id="167" w:name="_Toc146685605"/>
      <w:bookmarkStart w:id="168" w:name="_Toc155081281"/>
      <w:bookmarkStart w:id="169" w:name="_Toc155081535"/>
      <w:bookmarkStart w:id="170" w:name="_Toc156288271"/>
      <w:bookmarkStart w:id="171" w:name="_Toc156356811"/>
      <w:r>
        <w:rPr>
          <w:rStyle w:val="CharSchNo"/>
        </w:rPr>
        <w:t>Schedule 4</w:t>
      </w:r>
      <w:bookmarkEnd w:id="165"/>
      <w:bookmarkEnd w:id="166"/>
      <w:bookmarkEnd w:id="167"/>
      <w:bookmarkEnd w:id="168"/>
      <w:bookmarkEnd w:id="169"/>
      <w:bookmarkEnd w:id="170"/>
      <w:bookmarkEnd w:id="171"/>
    </w:p>
    <w:p>
      <w:pPr>
        <w:pStyle w:val="yShoulderClause"/>
      </w:pPr>
      <w:r>
        <w:t>[Reg. 19(2)]</w:t>
      </w:r>
    </w:p>
    <w:p>
      <w:pPr>
        <w:pStyle w:val="yMiscellaneousHeading"/>
        <w:spacing w:after="120"/>
        <w:rPr>
          <w:b/>
        </w:rPr>
      </w:pPr>
      <w:r>
        <w:rPr>
          <w:b/>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highlight w:val="lightGray"/>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4 amended in Gazette 10 January 1986 p.150; 12 Jan 2007 p. 46.]</w:t>
      </w:r>
    </w:p>
    <w:p>
      <w:pPr>
        <w:pStyle w:val="yScheduleHeading"/>
      </w:pPr>
      <w:bookmarkStart w:id="172" w:name="_Toc146622532"/>
      <w:bookmarkStart w:id="173" w:name="_Toc146622631"/>
      <w:bookmarkStart w:id="174" w:name="_Toc146685606"/>
      <w:bookmarkStart w:id="175" w:name="_Toc155081282"/>
      <w:bookmarkStart w:id="176" w:name="_Toc155081536"/>
      <w:bookmarkStart w:id="177" w:name="_Toc156288272"/>
      <w:bookmarkStart w:id="178" w:name="_Toc156356812"/>
      <w:r>
        <w:rPr>
          <w:rStyle w:val="CharSchNo"/>
        </w:rPr>
        <w:t>Schedule 5</w:t>
      </w:r>
      <w:bookmarkEnd w:id="172"/>
      <w:bookmarkEnd w:id="173"/>
      <w:bookmarkEnd w:id="174"/>
      <w:bookmarkEnd w:id="175"/>
      <w:bookmarkEnd w:id="176"/>
      <w:bookmarkEnd w:id="177"/>
      <w:bookmarkEnd w:id="178"/>
    </w:p>
    <w:p>
      <w:pPr>
        <w:pStyle w:val="yShoulderClause"/>
      </w:pPr>
      <w:r>
        <w:t>[Reg. 19(3)]</w:t>
      </w:r>
    </w:p>
    <w:p>
      <w:pPr>
        <w:pStyle w:val="yMiscellaneousHeading"/>
        <w:spacing w:after="120"/>
        <w:rPr>
          <w:b/>
        </w:rPr>
      </w:pPr>
      <w:r>
        <w:rPr>
          <w:b/>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5 amended in Gazette 10 January 1986 p.150; 12 Jan 2007 p. 46.]</w:t>
      </w:r>
    </w:p>
    <w:p>
      <w:pPr>
        <w:pStyle w:val="yScheduleHeading"/>
      </w:pPr>
      <w:bookmarkStart w:id="179" w:name="_Toc146622533"/>
      <w:bookmarkStart w:id="180" w:name="_Toc146622632"/>
      <w:bookmarkStart w:id="181" w:name="_Toc146685607"/>
      <w:bookmarkStart w:id="182" w:name="_Toc155081283"/>
      <w:bookmarkStart w:id="183" w:name="_Toc155081537"/>
      <w:bookmarkStart w:id="184" w:name="_Toc156288273"/>
      <w:bookmarkStart w:id="185" w:name="_Toc156356813"/>
      <w:r>
        <w:rPr>
          <w:rStyle w:val="CharSchNo"/>
        </w:rPr>
        <w:t>Schedule 6</w:t>
      </w:r>
      <w:bookmarkEnd w:id="179"/>
      <w:bookmarkEnd w:id="180"/>
      <w:bookmarkEnd w:id="181"/>
      <w:bookmarkEnd w:id="182"/>
      <w:bookmarkEnd w:id="183"/>
      <w:bookmarkEnd w:id="184"/>
      <w:bookmarkEnd w:id="185"/>
    </w:p>
    <w:p>
      <w:pPr>
        <w:pStyle w:val="yShoulderClause"/>
      </w:pPr>
      <w:r>
        <w:t>[Reg. 19(4)]</w:t>
      </w:r>
    </w:p>
    <w:p>
      <w:pPr>
        <w:pStyle w:val="MiscellaneousHeading"/>
        <w:spacing w:after="60"/>
        <w:rPr>
          <w:b/>
          <w:sz w:val="22"/>
        </w:rPr>
      </w:pPr>
      <w:r>
        <w:rPr>
          <w:b/>
          <w:sz w:val="22"/>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6 amended in Gazette 10 January 1986 p.150; 12 Jan 2007 p. 46.]</w:t>
      </w:r>
    </w:p>
    <w:p>
      <w:pPr>
        <w:pStyle w:val="yScheduleHeading"/>
      </w:pPr>
      <w:bookmarkStart w:id="186" w:name="_Toc146622534"/>
      <w:bookmarkStart w:id="187" w:name="_Toc146622633"/>
      <w:bookmarkStart w:id="188" w:name="_Toc146685608"/>
      <w:bookmarkStart w:id="189" w:name="_Toc155081284"/>
      <w:bookmarkStart w:id="190" w:name="_Toc155081538"/>
      <w:bookmarkStart w:id="191" w:name="_Toc156288274"/>
      <w:bookmarkStart w:id="192" w:name="_Toc156356814"/>
      <w:r>
        <w:rPr>
          <w:rStyle w:val="CharSchNo"/>
        </w:rPr>
        <w:t>Schedule 7</w:t>
      </w:r>
      <w:bookmarkEnd w:id="186"/>
      <w:bookmarkEnd w:id="187"/>
      <w:bookmarkEnd w:id="188"/>
      <w:bookmarkEnd w:id="189"/>
      <w:bookmarkEnd w:id="190"/>
      <w:bookmarkEnd w:id="191"/>
      <w:bookmarkEnd w:id="192"/>
    </w:p>
    <w:p>
      <w:pPr>
        <w:pStyle w:val="yShoulderClause"/>
      </w:pPr>
      <w:r>
        <w:tab/>
        <w:t>[Reg. 24(1)(b)]</w:t>
      </w:r>
    </w:p>
    <w:p>
      <w:pPr>
        <w:pStyle w:val="yMiscellaneousHeading"/>
        <w:spacing w:after="120"/>
        <w:rPr>
          <w:b/>
        </w:rPr>
      </w:pPr>
      <w:r>
        <w:rPr>
          <w:b/>
        </w:rPr>
        <w:t xml:space="preserve">Print or type for use in documents under </w:t>
      </w:r>
      <w:r>
        <w:rPr>
          <w:b/>
          <w:i/>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January 1986 p.150; 10 October 1986 p.3875; 8 October 1993 p.5437; 24 March 1995 p.1092.]</w:t>
      </w:r>
    </w:p>
    <w:p>
      <w:pPr>
        <w:pStyle w:val="yScheduleHeading"/>
      </w:pPr>
      <w:bookmarkStart w:id="193" w:name="_Toc146622535"/>
      <w:bookmarkStart w:id="194" w:name="_Toc146622634"/>
      <w:bookmarkStart w:id="195" w:name="_Toc146685609"/>
      <w:bookmarkStart w:id="196" w:name="_Toc155081285"/>
      <w:bookmarkStart w:id="197" w:name="_Toc155081539"/>
      <w:bookmarkStart w:id="198" w:name="_Toc156288275"/>
      <w:bookmarkStart w:id="199" w:name="_Toc156356815"/>
      <w:r>
        <w:rPr>
          <w:rStyle w:val="CharSchNo"/>
        </w:rPr>
        <w:t>Schedule 8</w:t>
      </w:r>
      <w:r>
        <w:t> — </w:t>
      </w:r>
      <w:r>
        <w:rPr>
          <w:rStyle w:val="CharSchText"/>
        </w:rPr>
        <w:t>Prescribed offences and modified penalties</w:t>
      </w:r>
      <w:bookmarkEnd w:id="193"/>
      <w:bookmarkEnd w:id="194"/>
      <w:bookmarkEnd w:id="195"/>
      <w:bookmarkEnd w:id="196"/>
      <w:bookmarkEnd w:id="197"/>
      <w:bookmarkEnd w:id="198"/>
      <w:bookmarkEnd w:id="199"/>
    </w:p>
    <w:p>
      <w:pPr>
        <w:pStyle w:val="yShoulderClause"/>
      </w:pPr>
      <w:r>
        <w:t>[r. 29]</w:t>
      </w:r>
    </w:p>
    <w:p>
      <w:pPr>
        <w:pStyle w:val="yFootnoteheading"/>
      </w:pPr>
      <w:r>
        <w:tab/>
        <w:t>[Heading inserted in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32(1)</w:t>
            </w:r>
          </w:p>
        </w:tc>
        <w:tc>
          <w:tcPr>
            <w:tcW w:w="4487" w:type="dxa"/>
          </w:tcPr>
          <w:p>
            <w:pPr>
              <w:pStyle w:val="yTable"/>
            </w:pPr>
            <w:r>
              <w:t>Providing offer for signature without prescribed notice ...................................................</w:t>
            </w:r>
          </w:p>
        </w:tc>
        <w:tc>
          <w:tcPr>
            <w:tcW w:w="992" w:type="dxa"/>
          </w:tcPr>
          <w:p>
            <w:pPr>
              <w:pStyle w:val="yTable"/>
            </w:pPr>
            <w:r>
              <w:br/>
              <w:t>$400</w:t>
            </w:r>
          </w:p>
        </w:tc>
      </w:tr>
      <w:tr>
        <w:trPr>
          <w:cantSplit/>
          <w:trHeight w:val="21"/>
        </w:trPr>
        <w:tc>
          <w:tcPr>
            <w:tcW w:w="1276" w:type="dxa"/>
          </w:tcPr>
          <w:p>
            <w:pPr>
              <w:pStyle w:val="yTable"/>
            </w:pPr>
            <w:r>
              <w:t>s. 32(2)</w:t>
            </w:r>
          </w:p>
        </w:tc>
        <w:tc>
          <w:tcPr>
            <w:tcW w:w="4487" w:type="dxa"/>
          </w:tcPr>
          <w:p>
            <w:pPr>
              <w:pStyle w:val="yTable"/>
            </w:pPr>
            <w:r>
              <w:t>Giving offer to provide credit without prescribed notice ...................................................</w:t>
            </w:r>
          </w:p>
        </w:tc>
        <w:tc>
          <w:tcPr>
            <w:tcW w:w="992" w:type="dxa"/>
          </w:tcPr>
          <w:p>
            <w:pPr>
              <w:pStyle w:val="yTable"/>
            </w:pPr>
            <w:r>
              <w:br/>
              <w:t>$400</w:t>
            </w:r>
          </w:p>
        </w:tc>
      </w:tr>
      <w:tr>
        <w:trPr>
          <w:cantSplit/>
          <w:trHeight w:val="21"/>
        </w:trPr>
        <w:tc>
          <w:tcPr>
            <w:tcW w:w="1276" w:type="dxa"/>
          </w:tcPr>
          <w:p>
            <w:pPr>
              <w:pStyle w:val="yTable"/>
            </w:pPr>
            <w:r>
              <w:t>s. 32(3)</w:t>
            </w:r>
          </w:p>
        </w:tc>
        <w:tc>
          <w:tcPr>
            <w:tcW w:w="4487" w:type="dxa"/>
          </w:tcPr>
          <w:p>
            <w:pPr>
              <w:pStyle w:val="yTable"/>
            </w:pPr>
            <w:r>
              <w:t>Failing to provide certified copy of offer to credit provider ......................................................</w:t>
            </w:r>
          </w:p>
        </w:tc>
        <w:tc>
          <w:tcPr>
            <w:tcW w:w="992" w:type="dxa"/>
          </w:tcPr>
          <w:p>
            <w:pPr>
              <w:pStyle w:val="yTable"/>
            </w:pPr>
            <w:r>
              <w:br/>
              <w:t>$200</w:t>
            </w:r>
          </w:p>
        </w:tc>
      </w:tr>
      <w:tr>
        <w:trPr>
          <w:cantSplit/>
          <w:trHeight w:val="21"/>
        </w:trPr>
        <w:tc>
          <w:tcPr>
            <w:tcW w:w="1276" w:type="dxa"/>
          </w:tcPr>
          <w:p>
            <w:pPr>
              <w:pStyle w:val="yTable"/>
            </w:pPr>
            <w:r>
              <w:t>s. 32(4)</w:t>
            </w:r>
          </w:p>
        </w:tc>
        <w:tc>
          <w:tcPr>
            <w:tcW w:w="4487" w:type="dxa"/>
          </w:tcPr>
          <w:p>
            <w:pPr>
              <w:pStyle w:val="yTable"/>
            </w:pPr>
            <w:r>
              <w:t>Failing to provide certified copy of offer to provide credit ........................................................</w:t>
            </w:r>
          </w:p>
        </w:tc>
        <w:tc>
          <w:tcPr>
            <w:tcW w:w="992" w:type="dxa"/>
          </w:tcPr>
          <w:p>
            <w:pPr>
              <w:pStyle w:val="yTable"/>
            </w:pPr>
            <w:r>
              <w:br/>
              <w:t>$200</w:t>
            </w:r>
          </w:p>
        </w:tc>
      </w:tr>
      <w:tr>
        <w:trPr>
          <w:cantSplit/>
          <w:trHeight w:val="21"/>
        </w:trPr>
        <w:tc>
          <w:tcPr>
            <w:tcW w:w="1276" w:type="dxa"/>
          </w:tcPr>
          <w:p>
            <w:pPr>
              <w:pStyle w:val="yTable"/>
            </w:pPr>
            <w:r>
              <w:t>s. 33(1)</w:t>
            </w:r>
          </w:p>
        </w:tc>
        <w:tc>
          <w:tcPr>
            <w:tcW w:w="4487" w:type="dxa"/>
          </w:tcPr>
          <w:p>
            <w:pPr>
              <w:pStyle w:val="yTable"/>
            </w:pPr>
            <w:r>
              <w:t>Failing to provide copy of accepted offer ............</w:t>
            </w:r>
          </w:p>
        </w:tc>
        <w:tc>
          <w:tcPr>
            <w:tcW w:w="992" w:type="dxa"/>
          </w:tcPr>
          <w:p>
            <w:pPr>
              <w:pStyle w:val="yTable"/>
            </w:pPr>
            <w:r>
              <w:t>$400</w:t>
            </w:r>
          </w:p>
        </w:tc>
      </w:tr>
      <w:tr>
        <w:trPr>
          <w:cantSplit/>
          <w:trHeight w:val="21"/>
        </w:trPr>
        <w:tc>
          <w:tcPr>
            <w:tcW w:w="1276" w:type="dxa"/>
          </w:tcPr>
          <w:p>
            <w:pPr>
              <w:pStyle w:val="yTable"/>
            </w:pPr>
            <w:r>
              <w:t>s. 34(1)</w:t>
            </w:r>
          </w:p>
        </w:tc>
        <w:tc>
          <w:tcPr>
            <w:tcW w:w="4487" w:type="dxa"/>
          </w:tcPr>
          <w:p>
            <w:pPr>
              <w:pStyle w:val="yTable"/>
            </w:pPr>
            <w:r>
              <w:t>Failing to give prescribed statement to debtor under credit sale contract or loan contract ............</w:t>
            </w:r>
          </w:p>
        </w:tc>
        <w:tc>
          <w:tcPr>
            <w:tcW w:w="992" w:type="dxa"/>
          </w:tcPr>
          <w:p>
            <w:pPr>
              <w:pStyle w:val="yTable"/>
            </w:pPr>
            <w:r>
              <w:br/>
              <w:t>$400</w:t>
            </w:r>
          </w:p>
        </w:tc>
      </w:tr>
      <w:tr>
        <w:trPr>
          <w:cantSplit/>
          <w:trHeight w:val="21"/>
        </w:trPr>
        <w:tc>
          <w:tcPr>
            <w:tcW w:w="1276" w:type="dxa"/>
          </w:tcPr>
          <w:p>
            <w:pPr>
              <w:pStyle w:val="yTable"/>
            </w:pPr>
            <w:r>
              <w:t>s. 43</w:t>
            </w:r>
          </w:p>
        </w:tc>
        <w:tc>
          <w:tcPr>
            <w:tcW w:w="4487" w:type="dxa"/>
          </w:tcPr>
          <w:p>
            <w:pPr>
              <w:pStyle w:val="yTable"/>
            </w:pPr>
            <w:r>
              <w:t>Entering into a credit sales contract or loan contract that does not comply with Part III Division 1 .............................................................</w:t>
            </w:r>
          </w:p>
        </w:tc>
        <w:tc>
          <w:tcPr>
            <w:tcW w:w="992" w:type="dxa"/>
          </w:tcPr>
          <w:p>
            <w:pPr>
              <w:pStyle w:val="yTable"/>
            </w:pPr>
            <w:r>
              <w:br/>
            </w:r>
            <w:r>
              <w:br/>
              <w:t>$200</w:t>
            </w:r>
          </w:p>
        </w:tc>
      </w:tr>
      <w:tr>
        <w:trPr>
          <w:cantSplit/>
          <w:trHeight w:val="21"/>
        </w:trPr>
        <w:tc>
          <w:tcPr>
            <w:tcW w:w="1276" w:type="dxa"/>
          </w:tcPr>
          <w:p>
            <w:pPr>
              <w:pStyle w:val="yTable"/>
            </w:pPr>
            <w:r>
              <w:t>s. 44(2)</w:t>
            </w:r>
          </w:p>
        </w:tc>
        <w:tc>
          <w:tcPr>
            <w:tcW w:w="4487" w:type="dxa"/>
          </w:tcPr>
          <w:p>
            <w:pPr>
              <w:pStyle w:val="yTable"/>
            </w:pPr>
            <w:r>
              <w:t>Entering into contract with minimum credit charge in excess of specified amount ...................</w:t>
            </w:r>
          </w:p>
        </w:tc>
        <w:tc>
          <w:tcPr>
            <w:tcW w:w="992" w:type="dxa"/>
          </w:tcPr>
          <w:p>
            <w:pPr>
              <w:pStyle w:val="yTable"/>
            </w:pPr>
            <w:r>
              <w:br/>
              <w:t>$400</w:t>
            </w:r>
          </w:p>
        </w:tc>
      </w:tr>
      <w:tr>
        <w:trPr>
          <w:cantSplit/>
          <w:trHeight w:val="21"/>
        </w:trPr>
        <w:tc>
          <w:tcPr>
            <w:tcW w:w="1276" w:type="dxa"/>
          </w:tcPr>
          <w:p>
            <w:pPr>
              <w:pStyle w:val="yTable"/>
            </w:pPr>
            <w:r>
              <w:t>s. 58</w:t>
            </w:r>
          </w:p>
        </w:tc>
        <w:tc>
          <w:tcPr>
            <w:tcW w:w="4487" w:type="dxa"/>
          </w:tcPr>
          <w:p>
            <w:pPr>
              <w:pStyle w:val="yTable"/>
            </w:pPr>
            <w:r>
              <w:t>Failing to give prescribed statement to debtor under continuing credit contract ...........................</w:t>
            </w:r>
          </w:p>
        </w:tc>
        <w:tc>
          <w:tcPr>
            <w:tcW w:w="992" w:type="dxa"/>
          </w:tcPr>
          <w:p>
            <w:pPr>
              <w:pStyle w:val="yTable"/>
            </w:pPr>
            <w:r>
              <w:br/>
              <w:t>$400</w:t>
            </w:r>
          </w:p>
        </w:tc>
      </w:tr>
      <w:tr>
        <w:trPr>
          <w:cantSplit/>
          <w:trHeight w:val="21"/>
        </w:trPr>
        <w:tc>
          <w:tcPr>
            <w:tcW w:w="1276" w:type="dxa"/>
          </w:tcPr>
          <w:p>
            <w:pPr>
              <w:pStyle w:val="yTable"/>
            </w:pPr>
            <w:r>
              <w:t>s. 59(1)</w:t>
            </w:r>
          </w:p>
        </w:tc>
        <w:tc>
          <w:tcPr>
            <w:tcW w:w="4487" w:type="dxa"/>
          </w:tcPr>
          <w:p>
            <w:pPr>
              <w:pStyle w:val="yTable"/>
            </w:pPr>
            <w:r>
              <w:t>Failing to give notice of terms to debtor under continuing credit contract .....................................</w:t>
            </w:r>
          </w:p>
        </w:tc>
        <w:tc>
          <w:tcPr>
            <w:tcW w:w="992" w:type="dxa"/>
          </w:tcPr>
          <w:p>
            <w:pPr>
              <w:pStyle w:val="yTable"/>
            </w:pPr>
            <w:r>
              <w:br/>
              <w:t>$200</w:t>
            </w:r>
          </w:p>
        </w:tc>
      </w:tr>
      <w:tr>
        <w:trPr>
          <w:cantSplit/>
          <w:trHeight w:val="21"/>
        </w:trPr>
        <w:tc>
          <w:tcPr>
            <w:tcW w:w="1276" w:type="dxa"/>
          </w:tcPr>
          <w:p>
            <w:pPr>
              <w:pStyle w:val="yTable"/>
            </w:pPr>
            <w:r>
              <w:t>s. 75(3)</w:t>
            </w:r>
          </w:p>
        </w:tc>
        <w:tc>
          <w:tcPr>
            <w:tcW w:w="4487" w:type="dxa"/>
          </w:tcPr>
          <w:p>
            <w:pPr>
              <w:pStyle w:val="yTable"/>
            </w:pPr>
            <w:r>
              <w:t>Entering into agreement for debtor to pay unauthorised fees ..................................................</w:t>
            </w:r>
          </w:p>
        </w:tc>
        <w:tc>
          <w:tcPr>
            <w:tcW w:w="992" w:type="dxa"/>
          </w:tcPr>
          <w:p>
            <w:pPr>
              <w:pStyle w:val="yTable"/>
            </w:pPr>
            <w:r>
              <w:br/>
              <w:t>$400</w:t>
            </w:r>
          </w:p>
        </w:tc>
      </w:tr>
      <w:tr>
        <w:trPr>
          <w:cantSplit/>
          <w:trHeight w:val="21"/>
        </w:trPr>
        <w:tc>
          <w:tcPr>
            <w:tcW w:w="1276" w:type="dxa"/>
          </w:tcPr>
          <w:p>
            <w:pPr>
              <w:pStyle w:val="yTable"/>
            </w:pPr>
            <w:r>
              <w:t>s. 76(2)</w:t>
            </w:r>
          </w:p>
        </w:tc>
        <w:tc>
          <w:tcPr>
            <w:tcW w:w="4487" w:type="dxa"/>
          </w:tcPr>
          <w:p>
            <w:pPr>
              <w:pStyle w:val="yTable"/>
            </w:pPr>
            <w:r>
              <w:t>Entering into contract requiring debtor to pay unreasonable enforcement expenses ....................</w:t>
            </w:r>
          </w:p>
        </w:tc>
        <w:tc>
          <w:tcPr>
            <w:tcW w:w="992" w:type="dxa"/>
          </w:tcPr>
          <w:p>
            <w:pPr>
              <w:pStyle w:val="yTable"/>
            </w:pPr>
            <w:r>
              <w:br/>
              <w:t>$400</w:t>
            </w:r>
          </w:p>
        </w:tc>
      </w:tr>
      <w:tr>
        <w:trPr>
          <w:cantSplit/>
          <w:trHeight w:val="21"/>
        </w:trPr>
        <w:tc>
          <w:tcPr>
            <w:tcW w:w="1276" w:type="dxa"/>
          </w:tcPr>
          <w:p>
            <w:pPr>
              <w:pStyle w:val="yTable"/>
            </w:pPr>
            <w:r>
              <w:t>s. 77(2)</w:t>
            </w:r>
          </w:p>
        </w:tc>
        <w:tc>
          <w:tcPr>
            <w:tcW w:w="4487" w:type="dxa"/>
          </w:tcPr>
          <w:p>
            <w:pPr>
              <w:pStyle w:val="yTable"/>
            </w:pPr>
            <w:r>
              <w:t>Entering into agreement to remove, restrict or modify right to revoke offer .................................</w:t>
            </w:r>
          </w:p>
        </w:tc>
        <w:tc>
          <w:tcPr>
            <w:tcW w:w="992" w:type="dxa"/>
          </w:tcPr>
          <w:p>
            <w:pPr>
              <w:pStyle w:val="yTable"/>
            </w:pPr>
            <w:r>
              <w:br/>
              <w:t>$400</w:t>
            </w:r>
          </w:p>
        </w:tc>
      </w:tr>
      <w:tr>
        <w:trPr>
          <w:cantSplit/>
          <w:trHeight w:val="21"/>
        </w:trPr>
        <w:tc>
          <w:tcPr>
            <w:tcW w:w="1276" w:type="dxa"/>
            <w:tcBorders>
              <w:bottom w:val="single" w:sz="4" w:space="0" w:color="auto"/>
            </w:tcBorders>
          </w:tcPr>
          <w:p>
            <w:pPr>
              <w:pStyle w:val="yTable"/>
            </w:pPr>
            <w:r>
              <w:t>s. 130(2)(a)</w:t>
            </w:r>
          </w:p>
        </w:tc>
        <w:tc>
          <w:tcPr>
            <w:tcW w:w="4487" w:type="dxa"/>
            <w:tcBorders>
              <w:bottom w:val="single" w:sz="4" w:space="0" w:color="auto"/>
            </w:tcBorders>
          </w:tcPr>
          <w:p>
            <w:pPr>
              <w:pStyle w:val="yTable"/>
            </w:pPr>
            <w:r>
              <w:t>Failing to provide copy of insurance contract ......</w:t>
            </w:r>
          </w:p>
        </w:tc>
        <w:tc>
          <w:tcPr>
            <w:tcW w:w="992" w:type="dxa"/>
            <w:tcBorders>
              <w:bottom w:val="single" w:sz="4" w:space="0" w:color="auto"/>
            </w:tcBorders>
          </w:tcPr>
          <w:p>
            <w:pPr>
              <w:pStyle w:val="yTable"/>
            </w:pPr>
            <w:r>
              <w:t>$200</w:t>
            </w:r>
          </w:p>
        </w:tc>
      </w:tr>
    </w:tbl>
    <w:p>
      <w:pPr>
        <w:pStyle w:val="yFootnotesection"/>
      </w:pPr>
      <w:r>
        <w:tab/>
        <w:t>[Schedule 8 inserted in Gazette 22 Sep 2006 p. 4100-1.]</w:t>
      </w:r>
    </w:p>
    <w:p>
      <w:pPr>
        <w:pStyle w:val="CentredBaseLine"/>
        <w:jc w:val="center"/>
      </w:pPr>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200" w:name="_Toc92694238"/>
      <w:bookmarkStart w:id="201" w:name="_Toc92694280"/>
      <w:bookmarkStart w:id="202" w:name="_Toc92877463"/>
      <w:bookmarkStart w:id="203" w:name="_Toc146622536"/>
      <w:bookmarkStart w:id="204" w:name="_Toc146622635"/>
      <w:bookmarkStart w:id="205" w:name="_Toc146685610"/>
      <w:bookmarkStart w:id="206" w:name="_Toc155081286"/>
      <w:bookmarkStart w:id="207" w:name="_Toc155081540"/>
      <w:bookmarkStart w:id="208" w:name="_Toc156288276"/>
      <w:bookmarkStart w:id="209" w:name="_Toc156356816"/>
      <w:r>
        <w:t>Notes</w:t>
      </w:r>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snapToGrid w:val="0"/>
        </w:rPr>
        <w:t>Credit Regulations 1985</w:t>
      </w:r>
      <w:r>
        <w:rPr>
          <w:snapToGrid w:val="0"/>
        </w:rPr>
        <w:t xml:space="preserve"> and includes the amendments made by the other written laws referred to in the following table.</w:t>
      </w:r>
    </w:p>
    <w:p>
      <w:pPr>
        <w:pStyle w:val="nHeading3"/>
        <w:rPr>
          <w:snapToGrid w:val="0"/>
        </w:rPr>
      </w:pPr>
      <w:bookmarkStart w:id="210" w:name="_Toc146622537"/>
      <w:bookmarkStart w:id="211" w:name="_Toc156356817"/>
      <w:r>
        <w:rPr>
          <w:snapToGrid w:val="0"/>
        </w:rPr>
        <w:t>Compilation table</w:t>
      </w:r>
      <w:bookmarkEnd w:id="210"/>
      <w:bookmarkEnd w:id="21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Credit Regulations 1985</w:t>
            </w:r>
          </w:p>
        </w:tc>
        <w:tc>
          <w:tcPr>
            <w:tcW w:w="1276" w:type="dxa"/>
          </w:tcPr>
          <w:p>
            <w:pPr>
              <w:pStyle w:val="nTable"/>
              <w:spacing w:before="120"/>
              <w:rPr>
                <w:sz w:val="19"/>
              </w:rPr>
            </w:pPr>
            <w:r>
              <w:rPr>
                <w:sz w:val="19"/>
              </w:rPr>
              <w:t>8 Mar 1985 p. 876</w:t>
            </w:r>
            <w:r>
              <w:rPr>
                <w:sz w:val="19"/>
              </w:rPr>
              <w:noBreakHyphen/>
              <w:t>900</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1985</w:t>
            </w:r>
          </w:p>
        </w:tc>
        <w:tc>
          <w:tcPr>
            <w:tcW w:w="1276" w:type="dxa"/>
          </w:tcPr>
          <w:p>
            <w:pPr>
              <w:pStyle w:val="nTable"/>
              <w:spacing w:before="120"/>
              <w:rPr>
                <w:sz w:val="19"/>
              </w:rPr>
            </w:pPr>
            <w:r>
              <w:rPr>
                <w:sz w:val="19"/>
              </w:rPr>
              <w:t>29 Mar 1985 p. 1143</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(No. 2) 1985</w:t>
            </w:r>
          </w:p>
        </w:tc>
        <w:tc>
          <w:tcPr>
            <w:tcW w:w="1276" w:type="dxa"/>
          </w:tcPr>
          <w:p>
            <w:pPr>
              <w:pStyle w:val="nTable"/>
              <w:spacing w:before="120"/>
              <w:rPr>
                <w:sz w:val="19"/>
              </w:rPr>
            </w:pPr>
            <w:r>
              <w:rPr>
                <w:sz w:val="19"/>
              </w:rPr>
              <w:t>10 Jan 1986 p. 137</w:t>
            </w:r>
            <w:r>
              <w:rPr>
                <w:sz w:val="19"/>
              </w:rPr>
              <w:noBreakHyphen/>
              <w:t>50</w:t>
            </w:r>
          </w:p>
        </w:tc>
        <w:tc>
          <w:tcPr>
            <w:tcW w:w="2693" w:type="dxa"/>
          </w:tcPr>
          <w:p>
            <w:pPr>
              <w:pStyle w:val="nTable"/>
              <w:spacing w:before="120"/>
              <w:rPr>
                <w:sz w:val="19"/>
              </w:rPr>
            </w:pPr>
            <w:r>
              <w:rPr>
                <w:sz w:val="19"/>
              </w:rPr>
              <w:t>10 Jan 1986</w:t>
            </w:r>
          </w:p>
        </w:tc>
      </w:tr>
      <w:tr>
        <w:trPr>
          <w:cantSplit/>
        </w:trPr>
        <w:tc>
          <w:tcPr>
            <w:tcW w:w="3119" w:type="dxa"/>
          </w:tcPr>
          <w:p>
            <w:pPr>
              <w:pStyle w:val="nTable"/>
              <w:spacing w:before="120"/>
              <w:ind w:right="113"/>
              <w:rPr>
                <w:sz w:val="19"/>
              </w:rPr>
            </w:pPr>
            <w:r>
              <w:rPr>
                <w:i/>
                <w:sz w:val="19"/>
              </w:rPr>
              <w:t>Credit Amendment Regulations 1986</w:t>
            </w:r>
          </w:p>
        </w:tc>
        <w:tc>
          <w:tcPr>
            <w:tcW w:w="1276" w:type="dxa"/>
          </w:tcPr>
          <w:p>
            <w:pPr>
              <w:pStyle w:val="nTable"/>
              <w:spacing w:before="120"/>
              <w:rPr>
                <w:sz w:val="19"/>
              </w:rPr>
            </w:pPr>
            <w:r>
              <w:rPr>
                <w:sz w:val="19"/>
              </w:rPr>
              <w:t>10 Oct 1986 p. 3874</w:t>
            </w:r>
            <w:r>
              <w:rPr>
                <w:sz w:val="19"/>
              </w:rPr>
              <w:noBreakHyphen/>
              <w:t>5</w:t>
            </w:r>
          </w:p>
        </w:tc>
        <w:tc>
          <w:tcPr>
            <w:tcW w:w="2693" w:type="dxa"/>
          </w:tcPr>
          <w:p>
            <w:pPr>
              <w:pStyle w:val="nTable"/>
              <w:spacing w:before="120"/>
              <w:rPr>
                <w:sz w:val="19"/>
              </w:rPr>
            </w:pPr>
            <w:r>
              <w:rPr>
                <w:sz w:val="19"/>
              </w:rPr>
              <w:t>10 Oct 1986</w:t>
            </w:r>
          </w:p>
        </w:tc>
      </w:tr>
      <w:tr>
        <w:trPr>
          <w:cantSplit/>
        </w:trPr>
        <w:tc>
          <w:tcPr>
            <w:tcW w:w="3119" w:type="dxa"/>
          </w:tcPr>
          <w:p>
            <w:pPr>
              <w:pStyle w:val="nTable"/>
              <w:spacing w:before="120"/>
              <w:ind w:right="113"/>
              <w:rPr>
                <w:sz w:val="19"/>
              </w:rPr>
            </w:pPr>
            <w:r>
              <w:rPr>
                <w:i/>
                <w:sz w:val="19"/>
              </w:rPr>
              <w:t>Credit Amendment Regulations 1988</w:t>
            </w:r>
          </w:p>
        </w:tc>
        <w:tc>
          <w:tcPr>
            <w:tcW w:w="1276" w:type="dxa"/>
          </w:tcPr>
          <w:p>
            <w:pPr>
              <w:pStyle w:val="nTable"/>
              <w:spacing w:before="120"/>
              <w:rPr>
                <w:sz w:val="19"/>
              </w:rPr>
            </w:pPr>
            <w:r>
              <w:rPr>
                <w:sz w:val="19"/>
              </w:rPr>
              <w:t>5 Aug 1988 p. 2630</w:t>
            </w:r>
          </w:p>
        </w:tc>
        <w:tc>
          <w:tcPr>
            <w:tcW w:w="2693" w:type="dxa"/>
          </w:tcPr>
          <w:p>
            <w:pPr>
              <w:pStyle w:val="nTable"/>
              <w:spacing w:before="120"/>
              <w:rPr>
                <w:sz w:val="19"/>
              </w:rPr>
            </w:pPr>
            <w:r>
              <w:rPr>
                <w:sz w:val="19"/>
              </w:rPr>
              <w:t>29 Aug 1988 (see r. 2)</w:t>
            </w:r>
          </w:p>
        </w:tc>
      </w:tr>
      <w:tr>
        <w:trPr>
          <w:cantSplit/>
        </w:trPr>
        <w:tc>
          <w:tcPr>
            <w:tcW w:w="3119" w:type="dxa"/>
          </w:tcPr>
          <w:p>
            <w:pPr>
              <w:pStyle w:val="nTable"/>
              <w:spacing w:before="120"/>
              <w:ind w:right="113"/>
              <w:rPr>
                <w:sz w:val="19"/>
              </w:rPr>
            </w:pPr>
            <w:r>
              <w:rPr>
                <w:i/>
                <w:sz w:val="19"/>
              </w:rPr>
              <w:t>Credit Amendment Regulations (No. 2) 1988</w:t>
            </w:r>
          </w:p>
        </w:tc>
        <w:tc>
          <w:tcPr>
            <w:tcW w:w="1276" w:type="dxa"/>
          </w:tcPr>
          <w:p>
            <w:pPr>
              <w:pStyle w:val="nTable"/>
              <w:spacing w:before="120"/>
              <w:rPr>
                <w:sz w:val="19"/>
              </w:rPr>
            </w:pPr>
            <w:r>
              <w:rPr>
                <w:sz w:val="19"/>
              </w:rPr>
              <w:t>25 Nov 1988 p. 4761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Credit Amendment Regulations 1993</w:t>
            </w:r>
          </w:p>
        </w:tc>
        <w:tc>
          <w:tcPr>
            <w:tcW w:w="1276" w:type="dxa"/>
          </w:tcPr>
          <w:p>
            <w:pPr>
              <w:pStyle w:val="nTable"/>
              <w:spacing w:before="120"/>
              <w:rPr>
                <w:sz w:val="19"/>
              </w:rPr>
            </w:pPr>
            <w:r>
              <w:rPr>
                <w:sz w:val="19"/>
              </w:rPr>
              <w:t>8 Oct 1993 p. 5437</w:t>
            </w:r>
          </w:p>
        </w:tc>
        <w:tc>
          <w:tcPr>
            <w:tcW w:w="2693" w:type="dxa"/>
          </w:tcPr>
          <w:p>
            <w:pPr>
              <w:pStyle w:val="nTable"/>
              <w:spacing w:before="120"/>
              <w:rPr>
                <w:sz w:val="19"/>
              </w:rPr>
            </w:pPr>
            <w:r>
              <w:rPr>
                <w:sz w:val="19"/>
              </w:rPr>
              <w:t>8 Oct 1993</w:t>
            </w:r>
          </w:p>
        </w:tc>
      </w:tr>
      <w:tr>
        <w:trPr>
          <w:cantSplit/>
        </w:trPr>
        <w:tc>
          <w:tcPr>
            <w:tcW w:w="3119" w:type="dxa"/>
          </w:tcPr>
          <w:p>
            <w:pPr>
              <w:pStyle w:val="nTable"/>
              <w:spacing w:before="120"/>
              <w:ind w:right="113"/>
              <w:rPr>
                <w:sz w:val="19"/>
              </w:rPr>
            </w:pPr>
            <w:r>
              <w:rPr>
                <w:i/>
                <w:sz w:val="19"/>
              </w:rPr>
              <w:t>Credit Amendment Regulations 1995</w:t>
            </w:r>
          </w:p>
        </w:tc>
        <w:tc>
          <w:tcPr>
            <w:tcW w:w="1276" w:type="dxa"/>
          </w:tcPr>
          <w:p>
            <w:pPr>
              <w:pStyle w:val="nTable"/>
              <w:spacing w:before="120"/>
              <w:rPr>
                <w:sz w:val="19"/>
              </w:rPr>
            </w:pPr>
            <w:r>
              <w:rPr>
                <w:sz w:val="19"/>
              </w:rPr>
              <w:t>24 Mar 1995 p. 1092</w:t>
            </w:r>
          </w:p>
        </w:tc>
        <w:tc>
          <w:tcPr>
            <w:tcW w:w="2693" w:type="dxa"/>
          </w:tcPr>
          <w:p>
            <w:pPr>
              <w:pStyle w:val="nTable"/>
              <w:spacing w:before="120"/>
              <w:rPr>
                <w:sz w:val="19"/>
              </w:rPr>
            </w:pPr>
            <w:r>
              <w:rPr>
                <w:sz w:val="19"/>
              </w:rPr>
              <w:t>24 Mar 1995</w:t>
            </w:r>
          </w:p>
        </w:tc>
      </w:tr>
      <w:tr>
        <w:trPr>
          <w:cantSplit/>
        </w:trPr>
        <w:tc>
          <w:tcPr>
            <w:tcW w:w="3119" w:type="dxa"/>
          </w:tcPr>
          <w:p>
            <w:pPr>
              <w:pStyle w:val="nTable"/>
              <w:spacing w:before="120"/>
              <w:ind w:right="113"/>
              <w:rPr>
                <w:i/>
                <w:sz w:val="19"/>
              </w:rPr>
            </w:pPr>
            <w:r>
              <w:rPr>
                <w:i/>
                <w:sz w:val="19"/>
              </w:rPr>
              <w:t>Credit Amendment Regulations 2004</w:t>
            </w:r>
          </w:p>
        </w:tc>
        <w:tc>
          <w:tcPr>
            <w:tcW w:w="1276" w:type="dxa"/>
          </w:tcPr>
          <w:p>
            <w:pPr>
              <w:pStyle w:val="nTable"/>
              <w:spacing w:before="120"/>
              <w:rPr>
                <w:sz w:val="19"/>
              </w:rPr>
            </w:pPr>
            <w:r>
              <w:rPr>
                <w:sz w:val="19"/>
              </w:rPr>
              <w:t>30 Dec 2004 p. 6914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Credit Amendment Regulations 2006</w:t>
            </w:r>
          </w:p>
        </w:tc>
        <w:tc>
          <w:tcPr>
            <w:tcW w:w="1276" w:type="dxa"/>
          </w:tcPr>
          <w:p>
            <w:pPr>
              <w:pStyle w:val="nTable"/>
              <w:spacing w:before="120"/>
              <w:rPr>
                <w:sz w:val="19"/>
              </w:rPr>
            </w:pPr>
            <w:r>
              <w:rPr>
                <w:sz w:val="19"/>
              </w:rPr>
              <w:t>22 Sep 2006 p. 4097-101</w:t>
            </w:r>
          </w:p>
        </w:tc>
        <w:tc>
          <w:tcPr>
            <w:tcW w:w="2693" w:type="dxa"/>
          </w:tcPr>
          <w:p>
            <w:pPr>
              <w:pStyle w:val="nTable"/>
              <w:spacing w:before="120"/>
              <w:rPr>
                <w:sz w:val="19"/>
              </w:rPr>
            </w:pPr>
            <w:r>
              <w:rPr>
                <w:sz w:val="19"/>
              </w:rPr>
              <w:t>22 Sep 2006 (see r. 2(a))</w:t>
            </w:r>
          </w:p>
        </w:tc>
      </w:tr>
      <w:tr>
        <w:trPr>
          <w:cantSplit/>
        </w:trPr>
        <w:tc>
          <w:tcPr>
            <w:tcW w:w="3119" w:type="dxa"/>
          </w:tcPr>
          <w:p>
            <w:pPr>
              <w:pStyle w:val="nTable"/>
              <w:spacing w:before="120"/>
              <w:ind w:right="113"/>
              <w:rPr>
                <w:i/>
                <w:sz w:val="19"/>
              </w:rPr>
            </w:pPr>
            <w:r>
              <w:rPr>
                <w:i/>
                <w:sz w:val="19"/>
              </w:rPr>
              <w:t>Credit Amendment Regulations (No. 3) 2006</w:t>
            </w:r>
          </w:p>
        </w:tc>
        <w:tc>
          <w:tcPr>
            <w:tcW w:w="1276" w:type="dxa"/>
          </w:tcPr>
          <w:p>
            <w:pPr>
              <w:pStyle w:val="nTable"/>
              <w:spacing w:before="120"/>
              <w:rPr>
                <w:sz w:val="19"/>
              </w:rPr>
            </w:pPr>
            <w:r>
              <w:rPr>
                <w:sz w:val="19"/>
              </w:rPr>
              <w:t>22 Dec 2006 p. 5803</w:t>
            </w:r>
          </w:p>
        </w:tc>
        <w:tc>
          <w:tcPr>
            <w:tcW w:w="2693" w:type="dxa"/>
          </w:tcPr>
          <w:p>
            <w:pPr>
              <w:pStyle w:val="nTable"/>
              <w:spacing w:before="120"/>
              <w:rPr>
                <w:sz w:val="19"/>
              </w:rPr>
            </w:pPr>
            <w:r>
              <w:rPr>
                <w:sz w:val="19"/>
              </w:rPr>
              <w:t xml:space="preserve">1 Jan 2007 (see r. 2 and </w:t>
            </w:r>
            <w:r>
              <w:rPr>
                <w:i/>
                <w:iCs/>
                <w:sz w:val="19"/>
              </w:rPr>
              <w:t xml:space="preserve">Gazette </w:t>
            </w:r>
            <w:r>
              <w:rPr>
                <w:sz w:val="19"/>
              </w:rPr>
              <w:t>8 Dec  2006 p. 5369)</w:t>
            </w:r>
          </w:p>
        </w:tc>
      </w:tr>
      <w:tr>
        <w:trPr>
          <w:cantSplit/>
        </w:trPr>
        <w:tc>
          <w:tcPr>
            <w:tcW w:w="3119" w:type="dxa"/>
            <w:tcBorders>
              <w:bottom w:val="single" w:sz="4" w:space="0" w:color="auto"/>
            </w:tcBorders>
          </w:tcPr>
          <w:p>
            <w:pPr>
              <w:pStyle w:val="nTable"/>
              <w:spacing w:before="120"/>
              <w:ind w:right="113"/>
              <w:rPr>
                <w:i/>
                <w:sz w:val="19"/>
              </w:rPr>
            </w:pPr>
            <w:r>
              <w:rPr>
                <w:i/>
                <w:sz w:val="19"/>
              </w:rPr>
              <w:t>Credit Amendment Regulations (No. 2) 2006</w:t>
            </w:r>
          </w:p>
        </w:tc>
        <w:tc>
          <w:tcPr>
            <w:tcW w:w="1276" w:type="dxa"/>
            <w:tcBorders>
              <w:bottom w:val="single" w:sz="4" w:space="0" w:color="auto"/>
            </w:tcBorders>
          </w:tcPr>
          <w:p>
            <w:pPr>
              <w:pStyle w:val="nTable"/>
              <w:spacing w:before="120"/>
              <w:rPr>
                <w:sz w:val="19"/>
              </w:rPr>
            </w:pPr>
            <w:r>
              <w:rPr>
                <w:sz w:val="19"/>
              </w:rPr>
              <w:t>12 Jan 2007 p. 45-6</w:t>
            </w:r>
          </w:p>
        </w:tc>
        <w:tc>
          <w:tcPr>
            <w:tcW w:w="2693" w:type="dxa"/>
            <w:tcBorders>
              <w:bottom w:val="single" w:sz="4" w:space="0" w:color="auto"/>
            </w:tcBorders>
          </w:tcPr>
          <w:p>
            <w:pPr>
              <w:pStyle w:val="nTable"/>
              <w:spacing w:before="120"/>
              <w:rPr>
                <w:sz w:val="19"/>
              </w:rPr>
            </w:pPr>
            <w:r>
              <w:rPr>
                <w:sz w:val="19"/>
              </w:rPr>
              <w:t>12 Jan 2007</w:t>
            </w:r>
          </w:p>
        </w:tc>
      </w:tr>
    </w:tbl>
    <w:p>
      <w:pPr>
        <w:pStyle w:val="nSubsection"/>
      </w:pPr>
      <w:r>
        <w:rPr>
          <w:vertAlign w:val="superscript"/>
        </w:rPr>
        <w:t>2</w:t>
      </w:r>
      <w:r>
        <w:tab/>
        <w:t xml:space="preserve">Repealed by the </w:t>
      </w:r>
      <w:r>
        <w:rPr>
          <w:i/>
        </w:rPr>
        <w:t>Fish Resources Management Act 1994</w:t>
      </w:r>
      <w:r>
        <w:t xml:space="preserve"> (No. 53 of 1994).</w:t>
      </w:r>
    </w:p>
    <w:p>
      <w:pPr>
        <w:pStyle w:val="nSubsection"/>
      </w:pPr>
      <w:r>
        <w:rPr>
          <w:vertAlign w:val="superscript"/>
        </w:rPr>
        <w:t>3</w:t>
      </w:r>
      <w:r>
        <w:tab/>
        <w:t>Footnote no longer applicable.</w:t>
      </w:r>
      <w:bookmarkStart w:id="212" w:name="UpToHere"/>
      <w:bookmarkEnd w:id="212"/>
    </w:p>
    <w:p>
      <w:pPr>
        <w:pStyle w:val="nSubsection"/>
      </w:pPr>
      <w:r>
        <w:rPr>
          <w:vertAlign w:val="superscript"/>
        </w:rPr>
        <w:t>4</w:t>
      </w:r>
      <w:r>
        <w:tab/>
        <w:t xml:space="preserve">Repealed by the </w:t>
      </w:r>
      <w:r>
        <w:rPr>
          <w:i/>
        </w:rPr>
        <w:t>Financial Institutions (Western Australia) Act 1992</w:t>
      </w:r>
      <w:r>
        <w:t xml:space="preserve"> (No. 30 of 1992).</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A40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C434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FAF9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90F1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68B7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6C7F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DC8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BA75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3E7A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98467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BD4F70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73881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D8D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10C05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904"/>
    <w:docVar w:name="WAFER_20151210131904" w:val="RemoveTrackChanges"/>
    <w:docVar w:name="WAFER_20151210131904_GUID" w:val="539edacc-56f8-42f1-8b66-a0d60091c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5.png"/><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image" Target="media/image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14165</Words>
  <Characters>73380</Characters>
  <Application>Microsoft Office Word</Application>
  <DocSecurity>0</DocSecurity>
  <Lines>2158</Lines>
  <Paragraphs>1509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86036</CharactersWithSpaces>
  <SharedDoc>false</SharedDoc>
  <HLinks>
    <vt:vector size="6" baseType="variant">
      <vt:variant>
        <vt:i4>5439608</vt:i4>
      </vt:variant>
      <vt:variant>
        <vt:i4>87205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1985 - 01-e0-03</dc:title>
  <dc:subject/>
  <dc:creator/>
  <cp:keywords/>
  <dc:description/>
  <cp:lastModifiedBy>svcMRProcess</cp:lastModifiedBy>
  <cp:revision>4</cp:revision>
  <cp:lastPrinted>2000-08-30T02:14:00Z</cp:lastPrinted>
  <dcterms:created xsi:type="dcterms:W3CDTF">2020-02-20T07:27:00Z</dcterms:created>
  <dcterms:modified xsi:type="dcterms:W3CDTF">2020-02-20T07:27:00Z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4380</vt:i4>
  </property>
  <property fmtid="{D5CDD505-2E9C-101B-9397-08002B2CF9AE}" pid="6" name="AsAtDate">
    <vt:lpwstr>12 Jan 2007</vt:lpwstr>
  </property>
  <property fmtid="{D5CDD505-2E9C-101B-9397-08002B2CF9AE}" pid="7" name="Suffix">
    <vt:lpwstr>01-e0-03</vt:lpwstr>
  </property>
</Properties>
</file>