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4" name="Picture 5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Credit Act 1984</w:t>
      </w:r>
    </w:p>
    <w:p>
      <w:pPr>
        <w:pStyle w:val="NameofActReg"/>
        <w:spacing w:before="3760" w:after="4200"/>
      </w:pPr>
      <w:r>
        <w:rPr>
          <w:noProof/>
        </w:rPr>
        <w:t>Credit Regulations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Credit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_Toc159822467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_Toc159822468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_Toc159822469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Amounts prescribed in relation to definition of “account charge”</w:t>
      </w:r>
      <w:r>
        <w:tab/>
      </w:r>
      <w:r>
        <w:fldChar w:fldCharType="begin"/>
      </w:r>
      <w:r>
        <w:instrText xml:space="preserve"> PAGEREF _Toc159822470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Exclusion from definition of “credit sale contract”</w:t>
      </w:r>
      <w:r>
        <w:tab/>
      </w:r>
      <w:r>
        <w:fldChar w:fldCharType="begin"/>
      </w:r>
      <w:r>
        <w:instrText xml:space="preserve"> PAGEREF _Toc159822471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Goods prescribed as farm machinery</w:t>
      </w:r>
      <w:r>
        <w:tab/>
      </w:r>
      <w:r>
        <w:fldChar w:fldCharType="begin"/>
      </w:r>
      <w:r>
        <w:instrText xml:space="preserve"> PAGEREF _Toc159822472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Statutory rebate in relation to prescribed insurance charges</w:t>
      </w:r>
      <w:r>
        <w:tab/>
      </w:r>
      <w:r>
        <w:fldChar w:fldCharType="begin"/>
      </w:r>
      <w:r>
        <w:instrText xml:space="preserve"> PAGEREF _Toc159822473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Transfer of proceedings from Tribunal to court</w:t>
      </w:r>
      <w:r>
        <w:tab/>
      </w:r>
      <w:r>
        <w:fldChar w:fldCharType="begin"/>
      </w:r>
      <w:r>
        <w:instrText xml:space="preserve"> PAGEREF _Toc159822474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Prescribed method for calculation of accrued credit charge</w:t>
      </w:r>
      <w:r>
        <w:tab/>
      </w:r>
      <w:r>
        <w:fldChar w:fldCharType="begin"/>
      </w:r>
      <w:r>
        <w:instrText xml:space="preserve"> PAGEREF _Toc159822475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Form of mortgage of goods</w:t>
      </w:r>
      <w:r>
        <w:tab/>
      </w:r>
      <w:r>
        <w:fldChar w:fldCharType="begin"/>
      </w:r>
      <w:r>
        <w:instrText xml:space="preserve"> PAGEREF _Toc159822476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for credit sale and loan contracts</w:t>
      </w:r>
      <w:r>
        <w:tab/>
      </w:r>
      <w:r>
        <w:fldChar w:fldCharType="begin"/>
      </w:r>
      <w:r>
        <w:instrText xml:space="preserve"> PAGEREF _Toc159822477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Statement for credit sale and loan contracts</w:t>
      </w:r>
      <w:r>
        <w:tab/>
      </w:r>
      <w:r>
        <w:fldChar w:fldCharType="begin"/>
      </w:r>
      <w:r>
        <w:instrText xml:space="preserve"> PAGEREF _Toc159822478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Notice for add</w:t>
      </w:r>
      <w:r>
        <w:rPr>
          <w:snapToGrid w:val="0"/>
          <w:szCs w:val="24"/>
        </w:rPr>
        <w:noBreakHyphen/>
        <w:t>on contracts</w:t>
      </w:r>
      <w:r>
        <w:tab/>
      </w:r>
      <w:r>
        <w:fldChar w:fldCharType="begin"/>
      </w:r>
      <w:r>
        <w:instrText xml:space="preserve"> PAGEREF _Toc159822479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Applicable method of determining annual percentage rate</w:t>
      </w:r>
      <w:r>
        <w:tab/>
      </w:r>
      <w:r>
        <w:fldChar w:fldCharType="begin"/>
      </w:r>
      <w:r>
        <w:instrText xml:space="preserve"> PAGEREF _Toc159822480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Unilateral variation of credit sale and loan contracts</w:t>
      </w:r>
      <w:r>
        <w:tab/>
      </w:r>
      <w:r>
        <w:fldChar w:fldCharType="begin"/>
      </w:r>
      <w:r>
        <w:instrText xml:space="preserve"> PAGEREF _Toc159822481 \h </w:instrText>
      </w:r>
      <w:r>
        <w:fldChar w:fldCharType="separate"/>
      </w:r>
      <w:r>
        <w:t>6</w:t>
      </w:r>
      <w:r>
        <w:fldChar w:fldCharType="end"/>
      </w:r>
    </w:p>
    <w:p>
      <w:pPr>
        <w:pStyle w:val="TOC8"/>
        <w:rPr>
          <w:sz w:val="24"/>
          <w:szCs w:val="24"/>
        </w:rPr>
      </w:pPr>
      <w:r>
        <w:rPr>
          <w:szCs w:val="24"/>
        </w:rPr>
        <w:t>14A</w:t>
      </w:r>
      <w:r>
        <w:rPr>
          <w:snapToGrid w:val="0"/>
          <w:szCs w:val="24"/>
        </w:rPr>
        <w:t>.</w:t>
      </w:r>
      <w:r>
        <w:rPr>
          <w:snapToGrid w:val="0"/>
          <w:szCs w:val="24"/>
        </w:rPr>
        <w:tab/>
        <w:t>Prescribed charges in relation to continuing credit contracts</w:t>
      </w:r>
      <w:r>
        <w:tab/>
      </w:r>
      <w:r>
        <w:fldChar w:fldCharType="begin"/>
      </w:r>
      <w:r>
        <w:instrText xml:space="preserve"> PAGEREF _Toc159822482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Statement for continuing credit contracts</w:t>
      </w:r>
      <w:r>
        <w:tab/>
      </w:r>
      <w:r>
        <w:fldChar w:fldCharType="begin"/>
      </w:r>
      <w:r>
        <w:instrText xml:space="preserve"> PAGEREF _Toc159822483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Information in default notice</w:t>
      </w:r>
      <w:r>
        <w:tab/>
      </w:r>
      <w:r>
        <w:fldChar w:fldCharType="begin"/>
      </w:r>
      <w:r>
        <w:instrText xml:space="preserve"> PAGEREF _Toc159822484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Notice after taking possession of mortgaged goods</w:t>
      </w:r>
      <w:r>
        <w:tab/>
      </w:r>
      <w:r>
        <w:fldChar w:fldCharType="begin"/>
      </w:r>
      <w:r>
        <w:instrText xml:space="preserve"> PAGEREF _Toc159822485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Notice in bills of exchange taken as security</w:t>
      </w:r>
      <w:r>
        <w:tab/>
      </w:r>
      <w:r>
        <w:fldChar w:fldCharType="begin"/>
      </w:r>
      <w:r>
        <w:instrText xml:space="preserve"> PAGEREF _Toc159822486 \h </w:instrText>
      </w:r>
      <w:r>
        <w:fldChar w:fldCharType="separate"/>
      </w:r>
      <w:r>
        <w:t>8</w:t>
      </w:r>
      <w:r>
        <w:fldChar w:fldCharType="end"/>
      </w:r>
    </w:p>
    <w:p>
      <w:pPr>
        <w:pStyle w:val="TOC8"/>
        <w:rPr>
          <w:sz w:val="24"/>
          <w:szCs w:val="24"/>
        </w:rPr>
      </w:pPr>
      <w:r>
        <w:rPr>
          <w:szCs w:val="24"/>
        </w:rPr>
        <w:t>18A</w:t>
      </w:r>
      <w:r>
        <w:rPr>
          <w:snapToGrid w:val="0"/>
          <w:szCs w:val="24"/>
        </w:rPr>
        <w:t>.</w:t>
      </w:r>
      <w:r>
        <w:rPr>
          <w:snapToGrid w:val="0"/>
          <w:szCs w:val="24"/>
        </w:rPr>
        <w:tab/>
        <w:t>Advertisements — prohibited statement</w:t>
      </w:r>
      <w:r>
        <w:tab/>
      </w:r>
      <w:r>
        <w:fldChar w:fldCharType="begin"/>
      </w:r>
      <w:r>
        <w:instrText xml:space="preserve"> PAGEREF _Toc159822487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Descriptive terms to be used in certain documents</w:t>
      </w:r>
      <w:r>
        <w:tab/>
      </w:r>
      <w:r>
        <w:fldChar w:fldCharType="begin"/>
      </w:r>
      <w:r>
        <w:instrText xml:space="preserve"> PAGEREF _Toc159822488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Particulars of insurance</w:t>
      </w:r>
      <w:r>
        <w:tab/>
      </w:r>
      <w:r>
        <w:fldChar w:fldCharType="begin"/>
      </w:r>
      <w:r>
        <w:instrText xml:space="preserve"> PAGEREF _Toc159822489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Notice of intended proceedings against guarantor</w:t>
      </w:r>
      <w:r>
        <w:tab/>
      </w:r>
      <w:r>
        <w:fldChar w:fldCharType="begin"/>
      </w:r>
      <w:r>
        <w:instrText xml:space="preserve"> PAGEREF _Toc159822490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Statement for guarantor under contract of guarantee</w:t>
      </w:r>
      <w:r>
        <w:tab/>
      </w:r>
      <w:r>
        <w:fldChar w:fldCharType="begin"/>
      </w:r>
      <w:r>
        <w:instrText xml:space="preserve"> PAGEREF _Toc159822491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Person authorised to certify assignment of will, etc.</w:t>
      </w:r>
      <w:r>
        <w:tab/>
      </w:r>
      <w:r>
        <w:fldChar w:fldCharType="begin"/>
      </w:r>
      <w:r>
        <w:instrText xml:space="preserve"> PAGEREF _Toc159822492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Prescribed requirements for print and type in documents</w:t>
      </w:r>
      <w:r>
        <w:tab/>
      </w:r>
      <w:r>
        <w:fldChar w:fldCharType="begin"/>
      </w:r>
      <w:r>
        <w:instrText xml:space="preserve"> PAGEREF _Toc159822493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Prescribed requirements for reproduction of print or type</w:t>
      </w:r>
      <w:r>
        <w:tab/>
      </w:r>
      <w:r>
        <w:fldChar w:fldCharType="begin"/>
      </w:r>
      <w:r>
        <w:instrText xml:space="preserve"> PAGEREF _Toc159822494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Lay</w:t>
      </w:r>
      <w:r>
        <w:rPr>
          <w:snapToGrid w:val="0"/>
          <w:szCs w:val="24"/>
        </w:rPr>
        <w:noBreakHyphen/>
        <w:t>out of certain documents</w:t>
      </w:r>
      <w:r>
        <w:tab/>
      </w:r>
      <w:r>
        <w:fldChar w:fldCharType="begin"/>
      </w:r>
      <w:r>
        <w:instrText xml:space="preserve"> PAGEREF _Toc159822495 \h </w:instrText>
      </w:r>
      <w:r>
        <w:fldChar w:fldCharType="separate"/>
      </w:r>
      <w:r>
        <w:t>12</w:t>
      </w:r>
      <w:r>
        <w:fldChar w:fldCharType="end"/>
      </w:r>
    </w:p>
    <w:p>
      <w:pPr>
        <w:pStyle w:val="TOC8"/>
        <w:rPr>
          <w:sz w:val="24"/>
          <w:szCs w:val="24"/>
        </w:rPr>
      </w:pPr>
      <w:r>
        <w:rPr>
          <w:szCs w:val="24"/>
        </w:rPr>
        <w:t>27</w:t>
      </w:r>
      <w:r>
        <w:rPr>
          <w:snapToGrid w:val="0"/>
          <w:szCs w:val="24"/>
        </w:rPr>
        <w:t>.</w:t>
      </w:r>
      <w:r>
        <w:rPr>
          <w:snapToGrid w:val="0"/>
          <w:szCs w:val="24"/>
        </w:rPr>
        <w:tab/>
        <w:t>Charges to be included in amount financed</w:t>
      </w:r>
      <w:r>
        <w:tab/>
      </w:r>
      <w:r>
        <w:fldChar w:fldCharType="begin"/>
      </w:r>
      <w:r>
        <w:instrText xml:space="preserve"> PAGEREF _Toc159822496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Prescribed risk</w:t>
      </w:r>
      <w:r>
        <w:tab/>
      </w:r>
      <w:r>
        <w:fldChar w:fldCharType="begin"/>
      </w:r>
      <w:r>
        <w:instrText xml:space="preserve"> PAGEREF _Toc159822497 \h </w:instrText>
      </w:r>
      <w:r>
        <w:fldChar w:fldCharType="separate"/>
      </w:r>
      <w:r>
        <w:t>14</w:t>
      </w:r>
      <w:r>
        <w:fldChar w:fldCharType="end"/>
      </w:r>
    </w:p>
    <w:p>
      <w:pPr>
        <w:pStyle w:val="TOC8"/>
        <w:rPr>
          <w:sz w:val="24"/>
          <w:szCs w:val="24"/>
        </w:rPr>
      </w:pPr>
      <w:r>
        <w:rPr>
          <w:szCs w:val="24"/>
        </w:rPr>
        <w:t>29.</w:t>
      </w:r>
      <w:r>
        <w:rPr>
          <w:szCs w:val="24"/>
        </w:rPr>
        <w:tab/>
        <w:t>Infringement notices</w:t>
      </w:r>
      <w:r>
        <w:tab/>
      </w:r>
      <w:r>
        <w:fldChar w:fldCharType="begin"/>
      </w:r>
      <w:r>
        <w:instrText xml:space="preserve"> PAGEREF _Toc159822498 \h </w:instrText>
      </w:r>
      <w:r>
        <w:fldChar w:fldCharType="separate"/>
      </w:r>
      <w:r>
        <w:t>15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Schedule 2</w:t>
      </w:r>
    </w:p>
    <w:p>
      <w:pPr>
        <w:pStyle w:val="TOC8"/>
        <w:rPr>
          <w:sz w:val="24"/>
          <w:szCs w:val="24"/>
        </w:rPr>
      </w:pPr>
      <w:r>
        <w:rPr>
          <w:szCs w:val="22"/>
        </w:rPr>
        <w:t>1.</w:t>
      </w:r>
      <w:r>
        <w:rPr>
          <w:szCs w:val="22"/>
        </w:rPr>
        <w:tab/>
        <w:t>Method No. 1</w:t>
      </w:r>
      <w:r>
        <w:tab/>
      </w:r>
      <w:r>
        <w:fldChar w:fldCharType="begin"/>
      </w:r>
      <w:r>
        <w:instrText xml:space="preserve"> PAGEREF _Toc159822501 \h </w:instrText>
      </w:r>
      <w:r>
        <w:fldChar w:fldCharType="separate"/>
      </w:r>
      <w:r>
        <w:t>51</w:t>
      </w:r>
      <w:r>
        <w:fldChar w:fldCharType="end"/>
      </w:r>
    </w:p>
    <w:p>
      <w:pPr>
        <w:pStyle w:val="TOC8"/>
        <w:rPr>
          <w:sz w:val="24"/>
          <w:szCs w:val="24"/>
        </w:rPr>
      </w:pPr>
      <w:r>
        <w:rPr>
          <w:szCs w:val="22"/>
        </w:rPr>
        <w:t>2.</w:t>
      </w:r>
      <w:r>
        <w:rPr>
          <w:szCs w:val="22"/>
        </w:rPr>
        <w:tab/>
        <w:t>Method No. 2</w:t>
      </w:r>
      <w:r>
        <w:tab/>
      </w:r>
      <w:r>
        <w:fldChar w:fldCharType="begin"/>
      </w:r>
      <w:r>
        <w:instrText xml:space="preserve"> PAGEREF _Toc159822502 \h </w:instrText>
      </w:r>
      <w:r>
        <w:fldChar w:fldCharType="separate"/>
      </w:r>
      <w:r>
        <w:t>52</w:t>
      </w:r>
      <w:r>
        <w:fldChar w:fldCharType="end"/>
      </w:r>
    </w:p>
    <w:p>
      <w:pPr>
        <w:pStyle w:val="TOC8"/>
        <w:rPr>
          <w:sz w:val="24"/>
          <w:szCs w:val="24"/>
        </w:rPr>
      </w:pPr>
      <w:r>
        <w:rPr>
          <w:szCs w:val="22"/>
        </w:rPr>
        <w:t>3.</w:t>
      </w:r>
      <w:r>
        <w:rPr>
          <w:szCs w:val="22"/>
        </w:rPr>
        <w:tab/>
        <w:t>Interpretation</w:t>
      </w:r>
      <w:r>
        <w:tab/>
      </w:r>
      <w:r>
        <w:fldChar w:fldCharType="begin"/>
      </w:r>
      <w:r>
        <w:instrText xml:space="preserve"> PAGEREF _Toc159822503 \h </w:instrText>
      </w:r>
      <w:r>
        <w:fldChar w:fldCharType="separate"/>
      </w:r>
      <w:r>
        <w:t>52</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Schedule 5</w:t>
      </w:r>
    </w:p>
    <w:p>
      <w:pPr>
        <w:pStyle w:val="TOC2"/>
        <w:tabs>
          <w:tab w:val="right" w:leader="dot" w:pos="7078"/>
        </w:tabs>
        <w:rPr>
          <w:b w:val="0"/>
          <w:sz w:val="24"/>
          <w:szCs w:val="24"/>
        </w:rPr>
      </w:pPr>
      <w:r>
        <w:rPr>
          <w:szCs w:val="28"/>
        </w:rPr>
        <w:t>Schedule 6</w:t>
      </w:r>
    </w:p>
    <w:p>
      <w:pPr>
        <w:pStyle w:val="TOC2"/>
        <w:tabs>
          <w:tab w:val="right" w:leader="dot" w:pos="7078"/>
        </w:tabs>
        <w:rPr>
          <w:b w:val="0"/>
          <w:sz w:val="24"/>
          <w:szCs w:val="24"/>
        </w:rPr>
      </w:pPr>
      <w:r>
        <w:rPr>
          <w:szCs w:val="28"/>
        </w:rPr>
        <w:t>Schedule 7</w:t>
      </w:r>
    </w:p>
    <w:p>
      <w:pPr>
        <w:pStyle w:val="TOC2"/>
        <w:tabs>
          <w:tab w:val="right" w:leader="dot" w:pos="7078"/>
        </w:tabs>
        <w:rPr>
          <w:b w:val="0"/>
          <w:sz w:val="24"/>
          <w:szCs w:val="24"/>
        </w:rPr>
      </w:pPr>
      <w:r>
        <w:rPr>
          <w:szCs w:val="28"/>
        </w:rPr>
        <w:t>Schedule 8 — Prescribed offences and modified penalties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_Toc159822511 \h </w:instrText>
      </w:r>
      <w:r>
        <w:fldChar w:fldCharType="separate"/>
      </w:r>
      <w:r>
        <w:t>65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February 2007</w:t>
            </w:r>
          </w:p>
        </w:tc>
      </w:tr>
    </w:tbl>
    <w:p>
      <w:pPr>
        <w:pStyle w:val="WA"/>
        <w:spacing w:before="120"/>
      </w:pPr>
      <w:r>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1" w:name="_Toc434905676"/>
      <w:bookmarkStart w:id="2" w:name="_Toc489089828"/>
      <w:bookmarkStart w:id="3" w:name="_Toc146622489"/>
      <w:bookmarkStart w:id="4" w:name="_Toc15982246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spacing w:before="180"/>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5" w:name="_Toc434905677"/>
      <w:bookmarkStart w:id="6" w:name="_Toc489089829"/>
      <w:bookmarkStart w:id="7" w:name="_Toc146622490"/>
      <w:bookmarkStart w:id="8" w:name="_Toc159822468"/>
      <w:r>
        <w:rPr>
          <w:rStyle w:val="CharSectno"/>
        </w:rPr>
        <w:t>2</w:t>
      </w:r>
      <w:r>
        <w:rPr>
          <w:snapToGrid w:val="0"/>
        </w:rPr>
        <w:t>.</w:t>
      </w:r>
      <w:r>
        <w:rPr>
          <w:snapToGrid w:val="0"/>
        </w:rPr>
        <w:tab/>
      </w:r>
      <w:r>
        <w:t>Commencement</w:t>
      </w:r>
      <w:bookmarkEnd w:id="5"/>
      <w:bookmarkEnd w:id="6"/>
      <w:bookmarkEnd w:id="7"/>
      <w:bookmarkEnd w:id="8"/>
      <w:r>
        <w:rPr>
          <w:snapToGrid w:val="0"/>
        </w:rPr>
        <w:t xml:space="preserve"> </w:t>
      </w:r>
    </w:p>
    <w:p>
      <w:pPr>
        <w:pStyle w:val="Subsection"/>
      </w:pPr>
      <w:r>
        <w:tab/>
      </w:r>
      <w:r>
        <w:tab/>
        <w:t>These regulations shall come into operation on 31 March 1985.</w:t>
      </w:r>
    </w:p>
    <w:p>
      <w:pPr>
        <w:pStyle w:val="Heading5"/>
        <w:rPr>
          <w:snapToGrid w:val="0"/>
        </w:rPr>
      </w:pPr>
      <w:bookmarkStart w:id="9" w:name="_Toc434905678"/>
      <w:bookmarkStart w:id="10" w:name="_Toc489089830"/>
      <w:bookmarkStart w:id="11" w:name="_Toc146622491"/>
      <w:bookmarkStart w:id="12" w:name="_Toc159822469"/>
      <w:r>
        <w:rPr>
          <w:rStyle w:val="CharSectno"/>
        </w:rPr>
        <w:t>3</w:t>
      </w:r>
      <w:r>
        <w:rPr>
          <w:snapToGrid w:val="0"/>
        </w:rPr>
        <w:t>.</w:t>
      </w:r>
      <w:r>
        <w:rPr>
          <w:snapToGrid w:val="0"/>
        </w:rPr>
        <w:tab/>
      </w:r>
      <w:bookmarkEnd w:id="9"/>
      <w:bookmarkEnd w:id="10"/>
      <w:bookmarkEnd w:id="11"/>
      <w:r>
        <w:rPr>
          <w:snapToGrid w:val="0"/>
        </w:rPr>
        <w:t>Terms used in these regulations</w:t>
      </w:r>
      <w:bookmarkEnd w:id="12"/>
      <w:r>
        <w:rPr>
          <w:snapToGrid w:val="0"/>
        </w:rPr>
        <w:t xml:space="preserve"> </w:t>
      </w:r>
    </w:p>
    <w:p>
      <w:pPr>
        <w:pStyle w:val="Subsection"/>
        <w:spacing w:before="180"/>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Consumer and Employment Protection</w:t>
      </w:r>
      <w:r>
        <w:t xml:space="preserve"> means the Department of Consumer and Employment Protection;</w:t>
      </w:r>
    </w:p>
    <w:p>
      <w:pPr>
        <w:pStyle w:val="Defstart"/>
      </w:pPr>
      <w:r>
        <w:rPr>
          <w:b/>
        </w:rPr>
        <w:tab/>
      </w:r>
      <w:r>
        <w:rPr>
          <w:rStyle w:val="CharDefText"/>
        </w:rPr>
        <w:t>form</w:t>
      </w:r>
      <w:r>
        <w:t xml:space="preserve"> means a form in Schedule 1;</w:t>
      </w:r>
    </w:p>
    <w:p>
      <w:pPr>
        <w:pStyle w:val="Defstart"/>
      </w:pPr>
      <w:r>
        <w:rPr>
          <w:b/>
        </w:rPr>
        <w:tab/>
      </w:r>
      <w:r>
        <w:rPr>
          <w:rStyle w:val="CharDefText"/>
        </w:rPr>
        <w:t>the Act</w:t>
      </w:r>
      <w:r>
        <w:t xml:space="preserve"> means the </w:t>
      </w:r>
      <w:r>
        <w:rPr>
          <w:i/>
        </w:rPr>
        <w:t>Credit Act 1984</w:t>
      </w:r>
      <w:r>
        <w:t>.</w:t>
      </w:r>
    </w:p>
    <w:p>
      <w:pPr>
        <w:pStyle w:val="Subsection"/>
        <w:spacing w:before="180"/>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keepLines/>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 in Gazette 30 Dec 2004 p. 6914; 12 Jan 2007 p. 45.]</w:t>
      </w:r>
    </w:p>
    <w:p>
      <w:pPr>
        <w:pStyle w:val="Heading5"/>
        <w:rPr>
          <w:snapToGrid w:val="0"/>
        </w:rPr>
      </w:pPr>
      <w:bookmarkStart w:id="13" w:name="_Toc434905679"/>
      <w:bookmarkStart w:id="14" w:name="_Toc489089831"/>
      <w:bookmarkStart w:id="15" w:name="_Toc146622492"/>
      <w:bookmarkStart w:id="16" w:name="_Toc159822470"/>
      <w:r>
        <w:rPr>
          <w:rStyle w:val="CharSectno"/>
        </w:rPr>
        <w:t>3A</w:t>
      </w:r>
      <w:r>
        <w:rPr>
          <w:snapToGrid w:val="0"/>
        </w:rPr>
        <w:t>.</w:t>
      </w:r>
      <w:r>
        <w:rPr>
          <w:snapToGrid w:val="0"/>
        </w:rPr>
        <w:tab/>
        <w:t>Amounts prescribed in relation to definition of “account charge”</w:t>
      </w:r>
      <w:bookmarkEnd w:id="13"/>
      <w:bookmarkEnd w:id="14"/>
      <w:bookmarkEnd w:id="15"/>
      <w:bookmarkEnd w:id="16"/>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 xml:space="preserve">[Regulation 3A, formerly regulation 4, renumbered as regulation 3A in Gazette 10 Jan 1986 p. 137; amended in Gazette 25 Nov 1988 p. 4761.] </w:t>
      </w:r>
    </w:p>
    <w:p>
      <w:pPr>
        <w:pStyle w:val="Heading5"/>
        <w:rPr>
          <w:snapToGrid w:val="0"/>
        </w:rPr>
      </w:pPr>
      <w:bookmarkStart w:id="17" w:name="_Toc434905680"/>
      <w:bookmarkStart w:id="18" w:name="_Toc489089832"/>
      <w:bookmarkStart w:id="19" w:name="_Toc146622493"/>
      <w:bookmarkStart w:id="20" w:name="_Toc159822471"/>
      <w:r>
        <w:rPr>
          <w:rStyle w:val="CharSectno"/>
        </w:rPr>
        <w:t>4</w:t>
      </w:r>
      <w:r>
        <w:rPr>
          <w:snapToGrid w:val="0"/>
        </w:rPr>
        <w:t>.</w:t>
      </w:r>
      <w:r>
        <w:rPr>
          <w:snapToGrid w:val="0"/>
        </w:rPr>
        <w:tab/>
        <w:t>Exclusion from definition of “credit sale contract”</w:t>
      </w:r>
      <w:bookmarkEnd w:id="17"/>
      <w:bookmarkEnd w:id="18"/>
      <w:bookmarkEnd w:id="19"/>
      <w:bookmarkEnd w:id="20"/>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 xml:space="preserve">[Regulation 4, formerly regulation 5, renumbered as regulation 4 and amended in Gazette 10 Jan 1986 p. 137.] </w:t>
      </w:r>
    </w:p>
    <w:p>
      <w:pPr>
        <w:pStyle w:val="Heading5"/>
        <w:rPr>
          <w:snapToGrid w:val="0"/>
        </w:rPr>
      </w:pPr>
      <w:bookmarkStart w:id="21" w:name="_Toc434905681"/>
      <w:bookmarkStart w:id="22" w:name="_Toc489089833"/>
      <w:bookmarkStart w:id="23" w:name="_Toc146622494"/>
      <w:bookmarkStart w:id="24" w:name="_Toc159822472"/>
      <w:r>
        <w:rPr>
          <w:rStyle w:val="CharSectno"/>
        </w:rPr>
        <w:t>5</w:t>
      </w:r>
      <w:r>
        <w:rPr>
          <w:snapToGrid w:val="0"/>
        </w:rPr>
        <w:t>.</w:t>
      </w:r>
      <w:r>
        <w:rPr>
          <w:snapToGrid w:val="0"/>
        </w:rPr>
        <w:tab/>
        <w:t>Goods prescribed as farm machinery</w:t>
      </w:r>
      <w:bookmarkEnd w:id="21"/>
      <w:bookmarkEnd w:id="22"/>
      <w:bookmarkEnd w:id="23"/>
      <w:bookmarkEnd w:id="24"/>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 xml:space="preserve">[Regulation 5, formerly regulation 6, renumbered as regulation 5 in Gazette 10 Jan 1986 p. 137.] </w:t>
      </w:r>
    </w:p>
    <w:p>
      <w:pPr>
        <w:pStyle w:val="Heading5"/>
        <w:rPr>
          <w:snapToGrid w:val="0"/>
        </w:rPr>
      </w:pPr>
      <w:bookmarkStart w:id="25" w:name="_Toc434905682"/>
      <w:bookmarkStart w:id="26" w:name="_Toc489089834"/>
      <w:bookmarkStart w:id="27" w:name="_Toc146622495"/>
      <w:bookmarkStart w:id="28" w:name="_Toc159822473"/>
      <w:r>
        <w:rPr>
          <w:rStyle w:val="CharSectno"/>
        </w:rPr>
        <w:t>6</w:t>
      </w:r>
      <w:r>
        <w:rPr>
          <w:snapToGrid w:val="0"/>
        </w:rPr>
        <w:t>.</w:t>
      </w:r>
      <w:r>
        <w:rPr>
          <w:snapToGrid w:val="0"/>
        </w:rPr>
        <w:tab/>
        <w:t>Statutory rebate in relation to prescribed insurance charges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spacing w:before="80"/>
        <w:jc w:val="center"/>
        <w:rPr>
          <w:snapToGrid w:val="0"/>
        </w:rPr>
      </w:pPr>
      <w:r>
        <w:rPr>
          <w:snapToGrid w:val="0"/>
        </w:rPr>
        <w:object w:dxaOrig="14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o:ole="">
            <v:imagedata r:id="rId22" o:title=""/>
          </v:shape>
          <o:OLEObject Type="Embed" ProgID="Equation.3" ShapeID="_x0000_i1025" DrawAspect="Content" ObjectID="_1643717950" r:id="rId23"/>
        </w:object>
      </w:r>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 xml:space="preserve">[Regulation 6, formerly regulation 7, renumbered as regulation 6 in Gazette 10 Jan 1986 p. 137.] </w:t>
      </w:r>
    </w:p>
    <w:p>
      <w:pPr>
        <w:pStyle w:val="Heading5"/>
        <w:rPr>
          <w:snapToGrid w:val="0"/>
        </w:rPr>
      </w:pPr>
      <w:bookmarkStart w:id="29" w:name="_Toc434905683"/>
      <w:bookmarkStart w:id="30" w:name="_Toc489089835"/>
      <w:bookmarkStart w:id="31" w:name="_Toc146622496"/>
      <w:bookmarkStart w:id="32" w:name="_Toc159822474"/>
      <w:r>
        <w:rPr>
          <w:rStyle w:val="CharSectno"/>
        </w:rPr>
        <w:t>7</w:t>
      </w:r>
      <w:r>
        <w:rPr>
          <w:snapToGrid w:val="0"/>
        </w:rPr>
        <w:t>.</w:t>
      </w:r>
      <w:r>
        <w:rPr>
          <w:snapToGrid w:val="0"/>
        </w:rPr>
        <w:tab/>
        <w:t>Transfer of proceedings from Tribunal to court</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 xml:space="preserve">[Regulation 7, formerly regulation 8, renumbered as regulation 7 in Gazette 10 Jan 1986 p. 137; amended in Gazette 30 Dec 2004 p. 6914.] </w:t>
      </w:r>
    </w:p>
    <w:p>
      <w:pPr>
        <w:pStyle w:val="Heading5"/>
        <w:rPr>
          <w:snapToGrid w:val="0"/>
        </w:rPr>
      </w:pPr>
      <w:bookmarkStart w:id="33" w:name="_Toc434905684"/>
      <w:bookmarkStart w:id="34" w:name="_Toc489089836"/>
      <w:bookmarkStart w:id="35" w:name="_Toc146622497"/>
      <w:bookmarkStart w:id="36" w:name="_Toc159822475"/>
      <w:r>
        <w:rPr>
          <w:rStyle w:val="CharSectno"/>
        </w:rPr>
        <w:t>8</w:t>
      </w:r>
      <w:r>
        <w:rPr>
          <w:snapToGrid w:val="0"/>
        </w:rPr>
        <w:t>.</w:t>
      </w:r>
      <w:r>
        <w:rPr>
          <w:snapToGrid w:val="0"/>
        </w:rPr>
        <w:tab/>
        <w:t>Prescribed method for calculation of accrued credit charge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keepNext/>
        <w:spacing w:before="180"/>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monthly percentage rate</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rStyle w:val="CharDefText"/>
        </w:rPr>
        <w:t>monthly balances</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spacing w:before="160"/>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formerly regulation 9, renumbered as regulation 8 and amended in Gazette 10 Jan 1986 p. 137</w:t>
      </w:r>
      <w:r>
        <w:noBreakHyphen/>
        <w:t xml:space="preserve">8.] </w:t>
      </w:r>
    </w:p>
    <w:p>
      <w:pPr>
        <w:pStyle w:val="Heading5"/>
        <w:keepLines w:val="0"/>
        <w:rPr>
          <w:snapToGrid w:val="0"/>
        </w:rPr>
      </w:pPr>
      <w:bookmarkStart w:id="37" w:name="_Toc434905685"/>
      <w:bookmarkStart w:id="38" w:name="_Toc489089837"/>
      <w:bookmarkStart w:id="39" w:name="_Toc146622498"/>
      <w:bookmarkStart w:id="40" w:name="_Toc159822476"/>
      <w:r>
        <w:rPr>
          <w:rStyle w:val="CharSectno"/>
        </w:rPr>
        <w:t>9</w:t>
      </w:r>
      <w:r>
        <w:rPr>
          <w:snapToGrid w:val="0"/>
        </w:rPr>
        <w:t>.</w:t>
      </w:r>
      <w:r>
        <w:rPr>
          <w:snapToGrid w:val="0"/>
        </w:rPr>
        <w:tab/>
        <w:t>Form of mortgage of goods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keepLines w:val="0"/>
        <w:ind w:left="890" w:hanging="890"/>
      </w:pPr>
      <w:r>
        <w:tab/>
        <w:t xml:space="preserve">[Regulation 9, formerly regulation 10, renumbered as regulation 9 in Gazette 10 Jan 1986 p. 138.] </w:t>
      </w:r>
    </w:p>
    <w:p>
      <w:pPr>
        <w:pStyle w:val="Heading5"/>
        <w:keepLines w:val="0"/>
        <w:spacing w:before="180"/>
        <w:rPr>
          <w:snapToGrid w:val="0"/>
        </w:rPr>
      </w:pPr>
      <w:bookmarkStart w:id="41" w:name="_Toc434905686"/>
      <w:bookmarkStart w:id="42" w:name="_Toc489089838"/>
      <w:bookmarkStart w:id="43" w:name="_Toc146622499"/>
      <w:bookmarkStart w:id="44" w:name="_Toc159822477"/>
      <w:r>
        <w:rPr>
          <w:rStyle w:val="CharSectno"/>
        </w:rPr>
        <w:t>10</w:t>
      </w:r>
      <w:r>
        <w:rPr>
          <w:snapToGrid w:val="0"/>
        </w:rPr>
        <w:t>.</w:t>
      </w:r>
      <w:r>
        <w:rPr>
          <w:snapToGrid w:val="0"/>
        </w:rPr>
        <w:tab/>
        <w:t>Notice for credit sale and loan contracts</w:t>
      </w:r>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For the purposes of section 32(1) of the Act, Form 2 is the prescribed notice.</w:t>
      </w:r>
    </w:p>
    <w:p>
      <w:pPr>
        <w:pStyle w:val="Subsection"/>
        <w:spacing w:before="120"/>
        <w:rPr>
          <w:snapToGrid w:val="0"/>
        </w:rPr>
      </w:pPr>
      <w:r>
        <w:rPr>
          <w:snapToGrid w:val="0"/>
        </w:rPr>
        <w:tab/>
        <w:t>(2)</w:t>
      </w:r>
      <w:r>
        <w:rPr>
          <w:snapToGrid w:val="0"/>
        </w:rPr>
        <w:tab/>
        <w:t>For the purposes of section 32(2) of the Act, Form 3 is the prescribed notice.</w:t>
      </w:r>
    </w:p>
    <w:p>
      <w:pPr>
        <w:pStyle w:val="Subsection"/>
        <w:spacing w:before="120"/>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 xml:space="preserve">[Regulation 10, formerly regulation 11, renumbered as regulation 10 in Gazette 10 Jan 1986 p. 138.] </w:t>
      </w:r>
    </w:p>
    <w:p>
      <w:pPr>
        <w:pStyle w:val="Heading5"/>
        <w:spacing w:before="180"/>
        <w:rPr>
          <w:snapToGrid w:val="0"/>
        </w:rPr>
      </w:pPr>
      <w:bookmarkStart w:id="45" w:name="_Toc434905687"/>
      <w:bookmarkStart w:id="46" w:name="_Toc489089839"/>
      <w:bookmarkStart w:id="47" w:name="_Toc146622500"/>
      <w:bookmarkStart w:id="48" w:name="_Toc159822478"/>
      <w:r>
        <w:rPr>
          <w:rStyle w:val="CharSectno"/>
        </w:rPr>
        <w:t>11</w:t>
      </w:r>
      <w:r>
        <w:rPr>
          <w:snapToGrid w:val="0"/>
        </w:rPr>
        <w:t>.</w:t>
      </w:r>
      <w:r>
        <w:rPr>
          <w:snapToGrid w:val="0"/>
        </w:rPr>
        <w:tab/>
        <w:t>Statement for credit sale and loan contracts</w:t>
      </w:r>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For the purposes of section 34 of the Act, Form 4 is the prescribed statement.</w:t>
      </w:r>
    </w:p>
    <w:p>
      <w:pPr>
        <w:pStyle w:val="Footnotesection"/>
      </w:pPr>
      <w:r>
        <w:tab/>
        <w:t xml:space="preserve">[Regulation 11, formerly regulation 12, renumbered as regulation 11 in Gazette 10 Jan 1986 p. 138.] </w:t>
      </w:r>
    </w:p>
    <w:p>
      <w:pPr>
        <w:pStyle w:val="Heading5"/>
        <w:spacing w:before="180"/>
        <w:rPr>
          <w:snapToGrid w:val="0"/>
        </w:rPr>
      </w:pPr>
      <w:bookmarkStart w:id="49" w:name="_Toc434905688"/>
      <w:bookmarkStart w:id="50" w:name="_Toc489089840"/>
      <w:bookmarkStart w:id="51" w:name="_Toc146622501"/>
      <w:bookmarkStart w:id="52" w:name="_Toc159822479"/>
      <w:r>
        <w:rPr>
          <w:rStyle w:val="CharSectno"/>
        </w:rPr>
        <w:t>12</w:t>
      </w:r>
      <w:r>
        <w:rPr>
          <w:snapToGrid w:val="0"/>
        </w:rPr>
        <w:t>.</w:t>
      </w:r>
      <w:r>
        <w:rPr>
          <w:snapToGrid w:val="0"/>
        </w:rPr>
        <w:tab/>
        <w:t>Notice for add</w:t>
      </w:r>
      <w:r>
        <w:rPr>
          <w:snapToGrid w:val="0"/>
        </w:rPr>
        <w:noBreakHyphen/>
        <w:t>on contracts</w:t>
      </w:r>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For the purposes of section 37(3)(c) of the Act, Form 5 is the prescribed notice.</w:t>
      </w:r>
    </w:p>
    <w:p>
      <w:pPr>
        <w:pStyle w:val="Footnotesection"/>
      </w:pPr>
      <w:r>
        <w:tab/>
        <w:t xml:space="preserve">[Regulation 12, formerly regulation 13, renumbered as regulation 12 in Gazette 10 Jan 1986 p. 138.] </w:t>
      </w:r>
    </w:p>
    <w:p>
      <w:pPr>
        <w:pStyle w:val="Heading5"/>
        <w:spacing w:before="180"/>
        <w:rPr>
          <w:snapToGrid w:val="0"/>
        </w:rPr>
      </w:pPr>
      <w:bookmarkStart w:id="53" w:name="_Toc434905689"/>
      <w:bookmarkStart w:id="54" w:name="_Toc489089841"/>
      <w:bookmarkStart w:id="55" w:name="_Toc146622502"/>
      <w:bookmarkStart w:id="56" w:name="_Toc159822480"/>
      <w:r>
        <w:rPr>
          <w:rStyle w:val="CharSectno"/>
        </w:rPr>
        <w:t>13</w:t>
      </w:r>
      <w:r>
        <w:rPr>
          <w:snapToGrid w:val="0"/>
        </w:rPr>
        <w:t>.</w:t>
      </w:r>
      <w:r>
        <w:rPr>
          <w:snapToGrid w:val="0"/>
        </w:rPr>
        <w:tab/>
        <w:t>Applicable method of determining annual percentage rate</w:t>
      </w:r>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For the purposes of section 38(b)(iii) of the Act, each method specified in Schedule 2 is an applicable method.</w:t>
      </w:r>
    </w:p>
    <w:p>
      <w:pPr>
        <w:pStyle w:val="Footnotesection"/>
      </w:pPr>
      <w:r>
        <w:tab/>
        <w:t xml:space="preserve">[Regulation 13, formerly regulation 14, renumbered as regulation 13 in Gazette 10 Jan 1986 p. 138.] </w:t>
      </w:r>
    </w:p>
    <w:p>
      <w:pPr>
        <w:pStyle w:val="Heading5"/>
        <w:spacing w:before="180"/>
        <w:rPr>
          <w:snapToGrid w:val="0"/>
        </w:rPr>
      </w:pPr>
      <w:bookmarkStart w:id="57" w:name="_Toc434905690"/>
      <w:bookmarkStart w:id="58" w:name="_Toc489089842"/>
      <w:bookmarkStart w:id="59" w:name="_Toc146622503"/>
      <w:bookmarkStart w:id="60" w:name="_Toc159822481"/>
      <w:r>
        <w:rPr>
          <w:rStyle w:val="CharSectno"/>
        </w:rPr>
        <w:t>14</w:t>
      </w:r>
      <w:r>
        <w:rPr>
          <w:snapToGrid w:val="0"/>
        </w:rPr>
        <w:t>.</w:t>
      </w:r>
      <w:r>
        <w:rPr>
          <w:snapToGrid w:val="0"/>
        </w:rPr>
        <w:tab/>
        <w:t>Unilateral variation of credit sale and loan contracts</w:t>
      </w:r>
      <w:bookmarkEnd w:id="57"/>
      <w:bookmarkEnd w:id="58"/>
      <w:bookmarkEnd w:id="59"/>
      <w:bookmarkEnd w:id="60"/>
      <w:r>
        <w:rPr>
          <w:snapToGrid w:val="0"/>
        </w:rPr>
        <w:t xml:space="preserve"> </w:t>
      </w:r>
    </w:p>
    <w:p>
      <w:pPr>
        <w:pStyle w:val="Subsection"/>
        <w:spacing w:before="120"/>
        <w:rPr>
          <w:snapToGrid w:val="0"/>
        </w:rPr>
      </w:pPr>
      <w:r>
        <w:rPr>
          <w:snapToGrid w:val="0"/>
        </w:rPr>
        <w:tab/>
      </w:r>
      <w:r>
        <w:rPr>
          <w:snapToGrid w:val="0"/>
        </w:rPr>
        <w:tab/>
        <w:t>For the purposes of section 41(1) of the Act, the prescribed period is 7 clear days.</w:t>
      </w:r>
    </w:p>
    <w:p>
      <w:pPr>
        <w:pStyle w:val="Footnotesection"/>
        <w:spacing w:before="80"/>
        <w:ind w:left="890" w:hanging="890"/>
      </w:pPr>
      <w:r>
        <w:tab/>
        <w:t xml:space="preserve">[Regulation 14, formerly regulation 13, renumbered as regulation 14 in Gazette 10 Jan 1986 p. 138.] </w:t>
      </w:r>
    </w:p>
    <w:p>
      <w:pPr>
        <w:pStyle w:val="Heading5"/>
        <w:spacing w:before="180"/>
        <w:rPr>
          <w:snapToGrid w:val="0"/>
        </w:rPr>
      </w:pPr>
      <w:bookmarkStart w:id="61" w:name="_Toc434905691"/>
      <w:bookmarkStart w:id="62" w:name="_Toc489089843"/>
      <w:bookmarkStart w:id="63" w:name="_Toc146622504"/>
      <w:bookmarkStart w:id="64" w:name="_Toc159822482"/>
      <w:r>
        <w:rPr>
          <w:rStyle w:val="CharSectno"/>
        </w:rPr>
        <w:t>14A</w:t>
      </w:r>
      <w:r>
        <w:rPr>
          <w:snapToGrid w:val="0"/>
        </w:rPr>
        <w:t>.</w:t>
      </w:r>
      <w:r>
        <w:rPr>
          <w:snapToGrid w:val="0"/>
        </w:rPr>
        <w:tab/>
        <w:t>Prescribed charges in relation to continuing credit contracts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rStyle w:val="CharDefText"/>
        </w:rPr>
        <w:t>relevant date</w:t>
      </w:r>
      <w:r>
        <w:rPr>
          <w:snapToGrid w:val="0"/>
        </w:rPr>
        <w:t>, in relation to a regulated continuing credit contract, means the date on which the contract is entered into.</w:t>
      </w:r>
    </w:p>
    <w:p>
      <w:pPr>
        <w:pStyle w:val="Footnotesection"/>
      </w:pPr>
      <w:r>
        <w:tab/>
        <w:t>[Regulation 14A inserted in Gazette 10 Oct 1986 p. 3874</w:t>
      </w:r>
      <w:r>
        <w:noBreakHyphen/>
        <w:t xml:space="preserve">5; amended in Gazette 22 Dec 2006 p. 5803.] </w:t>
      </w:r>
    </w:p>
    <w:p>
      <w:pPr>
        <w:pStyle w:val="Heading5"/>
        <w:rPr>
          <w:snapToGrid w:val="0"/>
        </w:rPr>
      </w:pPr>
      <w:bookmarkStart w:id="65" w:name="_Toc434905692"/>
      <w:bookmarkStart w:id="66" w:name="_Toc489089844"/>
      <w:bookmarkStart w:id="67" w:name="_Toc146622505"/>
      <w:bookmarkStart w:id="68" w:name="_Toc159822483"/>
      <w:r>
        <w:rPr>
          <w:rStyle w:val="CharSectno"/>
        </w:rPr>
        <w:t>15</w:t>
      </w:r>
      <w:r>
        <w:rPr>
          <w:snapToGrid w:val="0"/>
        </w:rPr>
        <w:t>.</w:t>
      </w:r>
      <w:r>
        <w:rPr>
          <w:snapToGrid w:val="0"/>
        </w:rPr>
        <w:tab/>
        <w:t>Statement for continuing credit contracts</w:t>
      </w:r>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For the purposes of section 58 of the Act, Form 6 is the prescribed statement.</w:t>
      </w:r>
    </w:p>
    <w:p>
      <w:pPr>
        <w:pStyle w:val="Footnotesection"/>
      </w:pPr>
      <w:r>
        <w:tab/>
        <w:t xml:space="preserve">[Regulation 15, formerly regulation 16, renumbered as regulation 15 in Gazette 10 Jan 1986 p. 138.] </w:t>
      </w:r>
    </w:p>
    <w:p>
      <w:pPr>
        <w:pStyle w:val="Heading5"/>
        <w:spacing w:before="180"/>
        <w:rPr>
          <w:snapToGrid w:val="0"/>
        </w:rPr>
      </w:pPr>
      <w:bookmarkStart w:id="69" w:name="_Toc434905693"/>
      <w:bookmarkStart w:id="70" w:name="_Toc489089845"/>
      <w:bookmarkStart w:id="71" w:name="_Toc146622506"/>
      <w:bookmarkStart w:id="72" w:name="_Toc159822484"/>
      <w:r>
        <w:rPr>
          <w:rStyle w:val="CharSectno"/>
        </w:rPr>
        <w:t>16</w:t>
      </w:r>
      <w:r>
        <w:rPr>
          <w:snapToGrid w:val="0"/>
        </w:rPr>
        <w:t>.</w:t>
      </w:r>
      <w:r>
        <w:rPr>
          <w:snapToGrid w:val="0"/>
        </w:rPr>
        <w:tab/>
        <w:t>Information in default notice</w:t>
      </w:r>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For the purposes of section 107(3)(d) of the Act, Form 7 is the prescribed information.</w:t>
      </w:r>
    </w:p>
    <w:p>
      <w:pPr>
        <w:pStyle w:val="Footnotesection"/>
      </w:pPr>
      <w:r>
        <w:tab/>
        <w:t xml:space="preserve">[Regulation 16, formerly regulation 17, renumbered as regulation 16 in Gazette 10 Jan 1986 p. 138.] </w:t>
      </w:r>
    </w:p>
    <w:p>
      <w:pPr>
        <w:pStyle w:val="Heading5"/>
        <w:spacing w:before="180"/>
        <w:rPr>
          <w:snapToGrid w:val="0"/>
        </w:rPr>
      </w:pPr>
      <w:bookmarkStart w:id="73" w:name="_Toc434905694"/>
      <w:bookmarkStart w:id="74" w:name="_Toc489089846"/>
      <w:bookmarkStart w:id="75" w:name="_Toc146622507"/>
      <w:bookmarkStart w:id="76" w:name="_Toc159822485"/>
      <w:r>
        <w:rPr>
          <w:rStyle w:val="CharSectno"/>
        </w:rPr>
        <w:t>17</w:t>
      </w:r>
      <w:r>
        <w:rPr>
          <w:snapToGrid w:val="0"/>
        </w:rPr>
        <w:t>.</w:t>
      </w:r>
      <w:r>
        <w:rPr>
          <w:snapToGrid w:val="0"/>
        </w:rPr>
        <w:tab/>
        <w:t>Notice after taking possession of mortgaged goods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 xml:space="preserve">[Regulation 17, formerly regulation 18, renumbered as regulation 17 in Gazette 10 Jan 1986 p. 138.] </w:t>
      </w:r>
    </w:p>
    <w:p>
      <w:pPr>
        <w:pStyle w:val="Heading5"/>
        <w:spacing w:before="180"/>
        <w:rPr>
          <w:snapToGrid w:val="0"/>
        </w:rPr>
      </w:pPr>
      <w:bookmarkStart w:id="77" w:name="_Toc434905695"/>
      <w:bookmarkStart w:id="78" w:name="_Toc489089847"/>
      <w:bookmarkStart w:id="79" w:name="_Toc146622508"/>
      <w:bookmarkStart w:id="80" w:name="_Toc159822486"/>
      <w:r>
        <w:rPr>
          <w:rStyle w:val="CharSectno"/>
        </w:rPr>
        <w:t>18</w:t>
      </w:r>
      <w:r>
        <w:rPr>
          <w:snapToGrid w:val="0"/>
        </w:rPr>
        <w:t>.</w:t>
      </w:r>
      <w:r>
        <w:rPr>
          <w:snapToGrid w:val="0"/>
        </w:rPr>
        <w:tab/>
        <w:t>Notice in bills of exchange taken as security</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 xml:space="preserve">[Regulation 18, formerly regulation 19, renumbered as regulation 18 in Gazette 10 Jan 1986 p. 138.] </w:t>
      </w:r>
    </w:p>
    <w:p>
      <w:pPr>
        <w:pStyle w:val="Heading5"/>
        <w:spacing w:before="180"/>
        <w:rPr>
          <w:snapToGrid w:val="0"/>
        </w:rPr>
      </w:pPr>
      <w:bookmarkStart w:id="81" w:name="_Toc434905696"/>
      <w:bookmarkStart w:id="82" w:name="_Toc489089848"/>
      <w:bookmarkStart w:id="83" w:name="_Toc146622509"/>
      <w:bookmarkStart w:id="84" w:name="_Toc159822487"/>
      <w:r>
        <w:rPr>
          <w:rStyle w:val="CharSectno"/>
        </w:rPr>
        <w:t>18A</w:t>
      </w:r>
      <w:r>
        <w:rPr>
          <w:snapToGrid w:val="0"/>
        </w:rPr>
        <w:t>.</w:t>
      </w:r>
      <w:r>
        <w:rPr>
          <w:snapToGrid w:val="0"/>
        </w:rPr>
        <w:tab/>
        <w:t>Advertisements — prohibited statement</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 xml:space="preserve">[Regulation 18A inserted in Gazette 10 Oct 1986 p. 3875.] </w:t>
      </w:r>
    </w:p>
    <w:p>
      <w:pPr>
        <w:pStyle w:val="Heading5"/>
        <w:spacing w:before="180"/>
        <w:rPr>
          <w:snapToGrid w:val="0"/>
        </w:rPr>
      </w:pPr>
      <w:bookmarkStart w:id="85" w:name="_Toc434905697"/>
      <w:bookmarkStart w:id="86" w:name="_Toc489089849"/>
      <w:bookmarkStart w:id="87" w:name="_Toc146622510"/>
      <w:bookmarkStart w:id="88" w:name="_Toc159822488"/>
      <w:r>
        <w:rPr>
          <w:rStyle w:val="CharSectno"/>
        </w:rPr>
        <w:t>19</w:t>
      </w:r>
      <w:r>
        <w:rPr>
          <w:snapToGrid w:val="0"/>
        </w:rPr>
        <w:t>.</w:t>
      </w:r>
      <w:r>
        <w:rPr>
          <w:snapToGrid w:val="0"/>
        </w:rPr>
        <w:tab/>
        <w:t>Descriptive terms to be used in certain documents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rPr>
          <w:snapToGrid w:val="0"/>
        </w:rPr>
      </w:pPr>
      <w:r>
        <w:rPr>
          <w:snapToGrid w:val="0"/>
        </w:rPr>
        <w:tab/>
        <w:t>(5)</w:t>
      </w:r>
      <w:r>
        <w:rPr>
          <w:snapToGrid w:val="0"/>
        </w:rPr>
        <w:tab/>
        <w:t>A credit provider who — </w:t>
      </w:r>
    </w:p>
    <w:p>
      <w:pPr>
        <w:pStyle w:val="Indenta"/>
        <w:rPr>
          <w:snapToGrid w:val="0"/>
        </w:rPr>
      </w:pPr>
      <w:r>
        <w:rPr>
          <w:snapToGrid w:val="0"/>
        </w:rPr>
        <w:tab/>
        <w:t>(a)</w:t>
      </w:r>
      <w:r>
        <w:rPr>
          <w:snapToGrid w:val="0"/>
        </w:rPr>
        <w:tab/>
        <w:t>enters into a regulated credit sale contract;</w:t>
      </w:r>
    </w:p>
    <w:p>
      <w:pPr>
        <w:pStyle w:val="Indenta"/>
        <w:rPr>
          <w:snapToGrid w:val="0"/>
        </w:rPr>
      </w:pPr>
      <w:r>
        <w:rPr>
          <w:snapToGrid w:val="0"/>
        </w:rPr>
        <w:tab/>
        <w:t>(b)</w:t>
      </w:r>
      <w:r>
        <w:rPr>
          <w:snapToGrid w:val="0"/>
        </w:rPr>
        <w:tab/>
        <w:t>enters into a regulated loan contract;</w:t>
      </w:r>
    </w:p>
    <w:p>
      <w:pPr>
        <w:pStyle w:val="Indenta"/>
        <w:rPr>
          <w:snapToGrid w:val="0"/>
        </w:rPr>
      </w:pPr>
      <w:r>
        <w:rPr>
          <w:snapToGrid w:val="0"/>
        </w:rPr>
        <w:tab/>
        <w:t>(c)</w:t>
      </w:r>
      <w:r>
        <w:rPr>
          <w:snapToGrid w:val="0"/>
        </w:rPr>
        <w:tab/>
        <w:t>gives a notice under section 59 of the Act to a debtor; or</w:t>
      </w:r>
    </w:p>
    <w:p>
      <w:pPr>
        <w:pStyle w:val="Indenta"/>
        <w:rPr>
          <w:snapToGrid w:val="0"/>
        </w:rPr>
      </w:pPr>
      <w:r>
        <w:rPr>
          <w:snapToGrid w:val="0"/>
        </w:rPr>
        <w:tab/>
        <w:t>(d)</w:t>
      </w:r>
      <w:r>
        <w:rPr>
          <w:snapToGrid w:val="0"/>
        </w:rPr>
        <w:tab/>
        <w:t>gives a statement of account referred to in section 61 of the Act to a debtor,</w:t>
      </w:r>
    </w:p>
    <w:p>
      <w:pPr>
        <w:pStyle w:val="Subsection"/>
        <w:rPr>
          <w:snapToGrid w:val="0"/>
        </w:rPr>
      </w:pPr>
      <w:r>
        <w:rPr>
          <w:snapToGrid w:val="0"/>
        </w:rPr>
        <w:tab/>
      </w:r>
      <w:r>
        <w:rPr>
          <w:snapToGrid w:val="0"/>
        </w:rPr>
        <w:tab/>
        <w:t>that does not comply with the requirements of — </w:t>
      </w:r>
    </w:p>
    <w:p>
      <w:pPr>
        <w:pStyle w:val="Indenta"/>
        <w:rPr>
          <w:snapToGrid w:val="0"/>
        </w:rPr>
      </w:pPr>
      <w:r>
        <w:rPr>
          <w:snapToGrid w:val="0"/>
        </w:rPr>
        <w:tab/>
        <w:t>(e)</w:t>
      </w:r>
      <w:r>
        <w:rPr>
          <w:snapToGrid w:val="0"/>
        </w:rPr>
        <w:tab/>
        <w:t xml:space="preserve">in the case of a regulated credit sale contract, subregulation (1); </w:t>
      </w:r>
    </w:p>
    <w:p>
      <w:pPr>
        <w:pStyle w:val="Indenta"/>
        <w:rPr>
          <w:snapToGrid w:val="0"/>
        </w:rPr>
      </w:pPr>
      <w:r>
        <w:rPr>
          <w:snapToGrid w:val="0"/>
        </w:rPr>
        <w:tab/>
        <w:t>(f)</w:t>
      </w:r>
      <w:r>
        <w:rPr>
          <w:snapToGrid w:val="0"/>
        </w:rPr>
        <w:tab/>
        <w:t>in the case of a regulated loan contract, subregulation (2);</w:t>
      </w:r>
    </w:p>
    <w:p>
      <w:pPr>
        <w:pStyle w:val="Indenta"/>
        <w:rPr>
          <w:snapToGrid w:val="0"/>
        </w:rPr>
      </w:pPr>
      <w:r>
        <w:rPr>
          <w:snapToGrid w:val="0"/>
        </w:rPr>
        <w:tab/>
        <w:t>(g)</w:t>
      </w:r>
      <w:r>
        <w:rPr>
          <w:snapToGrid w:val="0"/>
        </w:rPr>
        <w:tab/>
        <w:t>in the case of a notice under section 59 of the Act, subregulation (3); or</w:t>
      </w:r>
    </w:p>
    <w:p>
      <w:pPr>
        <w:pStyle w:val="Indenta"/>
        <w:rPr>
          <w:snapToGrid w:val="0"/>
        </w:rPr>
      </w:pPr>
      <w:r>
        <w:rPr>
          <w:snapToGrid w:val="0"/>
        </w:rPr>
        <w:tab/>
        <w:t>(h)</w:t>
      </w:r>
      <w:r>
        <w:rPr>
          <w:snapToGrid w:val="0"/>
        </w:rPr>
        <w:tab/>
        <w:t>in the case of a statement of account referred to in section 61 of the Act, subregulation (4),</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[Regulation 19, formerly regulation 20, renumbered as regulation 19 in Gazette 10 Jan 1986 p. 138.] </w:t>
      </w:r>
    </w:p>
    <w:p>
      <w:pPr>
        <w:pStyle w:val="Heading5"/>
        <w:rPr>
          <w:snapToGrid w:val="0"/>
        </w:rPr>
      </w:pPr>
      <w:bookmarkStart w:id="89" w:name="_Toc434905698"/>
      <w:bookmarkStart w:id="90" w:name="_Toc489089850"/>
      <w:bookmarkStart w:id="91" w:name="_Toc146622511"/>
      <w:bookmarkStart w:id="92" w:name="_Toc159822489"/>
      <w:r>
        <w:rPr>
          <w:rStyle w:val="CharSectno"/>
        </w:rPr>
        <w:t>20</w:t>
      </w:r>
      <w:r>
        <w:rPr>
          <w:snapToGrid w:val="0"/>
        </w:rPr>
        <w:t>.</w:t>
      </w:r>
      <w:r>
        <w:rPr>
          <w:snapToGrid w:val="0"/>
        </w:rPr>
        <w:tab/>
        <w:t>Particulars of insurance</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spacing w:before="60"/>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spacing w:before="60"/>
        <w:rPr>
          <w:snapToGrid w:val="0"/>
        </w:rPr>
      </w:pPr>
      <w:r>
        <w:rPr>
          <w:snapToGrid w:val="0"/>
        </w:rPr>
        <w:tab/>
        <w:t>(g)</w:t>
      </w:r>
      <w:r>
        <w:rPr>
          <w:snapToGrid w:val="0"/>
        </w:rPr>
        <w:tab/>
        <w:t>the name and address of the insurer and the insured.</w:t>
      </w:r>
    </w:p>
    <w:p>
      <w:pPr>
        <w:pStyle w:val="Subsection"/>
        <w:spacing w:before="120"/>
        <w:rPr>
          <w:snapToGrid w:val="0"/>
        </w:rPr>
      </w:pPr>
      <w:r>
        <w:rPr>
          <w:snapToGrid w:val="0"/>
        </w:rPr>
        <w:tab/>
        <w:t>(2)</w:t>
      </w:r>
      <w:r>
        <w:rPr>
          <w:snapToGrid w:val="0"/>
        </w:rPr>
        <w:tab/>
        <w:t xml:space="preserve">In subregulation (1), </w:t>
      </w:r>
      <w:r>
        <w:rPr>
          <w:rStyle w:val="CharDefText"/>
        </w:rPr>
        <w:t>the relevant subject</w:t>
      </w:r>
      <w:r>
        <w:rPr>
          <w:rStyle w:val="CharDefText"/>
        </w:rPr>
        <w:noBreakHyphen/>
        <w:t>matter</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 xml:space="preserve">[Regulation 20, formerly regulation 21, renumbered as regulation 20 in Gazette 10 Jan 1986 p. 138.] </w:t>
      </w:r>
    </w:p>
    <w:p>
      <w:pPr>
        <w:pStyle w:val="Heading5"/>
        <w:spacing w:before="180"/>
        <w:rPr>
          <w:snapToGrid w:val="0"/>
        </w:rPr>
      </w:pPr>
      <w:bookmarkStart w:id="93" w:name="_Toc434905699"/>
      <w:bookmarkStart w:id="94" w:name="_Toc489089851"/>
      <w:bookmarkStart w:id="95" w:name="_Toc146622512"/>
      <w:bookmarkStart w:id="96" w:name="_Toc159822490"/>
      <w:r>
        <w:rPr>
          <w:rStyle w:val="CharSectno"/>
        </w:rPr>
        <w:t>21</w:t>
      </w:r>
      <w:r>
        <w:rPr>
          <w:snapToGrid w:val="0"/>
        </w:rPr>
        <w:t>.</w:t>
      </w:r>
      <w:r>
        <w:rPr>
          <w:snapToGrid w:val="0"/>
        </w:rPr>
        <w:tab/>
        <w:t>Notice of intended proceedings against guarantor</w:t>
      </w:r>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For the purposes of section 138(3)(c) of the Act, Form 10 is the prescribed notice.</w:t>
      </w:r>
    </w:p>
    <w:p>
      <w:pPr>
        <w:pStyle w:val="Footnotesection"/>
      </w:pPr>
      <w:r>
        <w:tab/>
        <w:t xml:space="preserve">[Regulation 21, formerly regulation 22, renumbered as regulation 21 in Gazette 10 Jan 1986 p. 138.] </w:t>
      </w:r>
    </w:p>
    <w:p>
      <w:pPr>
        <w:pStyle w:val="Heading5"/>
        <w:spacing w:before="180"/>
        <w:rPr>
          <w:snapToGrid w:val="0"/>
        </w:rPr>
      </w:pPr>
      <w:bookmarkStart w:id="97" w:name="_Toc434905700"/>
      <w:bookmarkStart w:id="98" w:name="_Toc489089852"/>
      <w:bookmarkStart w:id="99" w:name="_Toc146622513"/>
      <w:bookmarkStart w:id="100" w:name="_Toc159822491"/>
      <w:r>
        <w:rPr>
          <w:rStyle w:val="CharSectno"/>
        </w:rPr>
        <w:t>22</w:t>
      </w:r>
      <w:r>
        <w:rPr>
          <w:snapToGrid w:val="0"/>
        </w:rPr>
        <w:t>.</w:t>
      </w:r>
      <w:r>
        <w:rPr>
          <w:snapToGrid w:val="0"/>
        </w:rPr>
        <w:tab/>
        <w:t>Statement for guarantor under contract of guarantee</w:t>
      </w:r>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For the purposes of section 142 of the Act, Form 11 is the prescribed statement.</w:t>
      </w:r>
    </w:p>
    <w:p>
      <w:pPr>
        <w:pStyle w:val="Footnotesection"/>
        <w:spacing w:before="60"/>
        <w:ind w:left="890" w:hanging="890"/>
      </w:pPr>
      <w:r>
        <w:tab/>
        <w:t xml:space="preserve">[Regulation 22, formerly regulation 23, renumbered as regulation 22 in Gazette 10 Jan 1986 p. 138.] </w:t>
      </w:r>
    </w:p>
    <w:p>
      <w:pPr>
        <w:pStyle w:val="Heading5"/>
        <w:rPr>
          <w:snapToGrid w:val="0"/>
        </w:rPr>
      </w:pPr>
      <w:bookmarkStart w:id="101" w:name="_Toc434905701"/>
      <w:bookmarkStart w:id="102" w:name="_Toc489089853"/>
      <w:bookmarkStart w:id="103" w:name="_Toc146622514"/>
      <w:bookmarkStart w:id="104" w:name="_Toc159822492"/>
      <w:r>
        <w:rPr>
          <w:rStyle w:val="CharSectno"/>
        </w:rPr>
        <w:t>23</w:t>
      </w:r>
      <w:r>
        <w:rPr>
          <w:snapToGrid w:val="0"/>
        </w:rPr>
        <w:t>.</w:t>
      </w:r>
      <w:r>
        <w:rPr>
          <w:snapToGrid w:val="0"/>
        </w:rPr>
        <w:tab/>
        <w:t>Person authorised to certify assignment of will, etc.</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magistrate;</w:t>
      </w:r>
    </w:p>
    <w:p>
      <w:pPr>
        <w:pStyle w:val="Indenta"/>
        <w:rPr>
          <w:snapToGrid w:val="0"/>
        </w:rPr>
      </w:pPr>
      <w:r>
        <w:rPr>
          <w:snapToGrid w:val="0"/>
        </w:rPr>
        <w:tab/>
        <w:t>(b)</w:t>
      </w:r>
      <w:r>
        <w:rPr>
          <w:snapToGrid w:val="0"/>
        </w:rPr>
        <w:tab/>
        <w:t xml:space="preserve">a </w:t>
      </w:r>
      <w:r>
        <w:t>registrar of the Magistrates</w:t>
      </w:r>
      <w:r>
        <w:rPr>
          <w:snapToGrid w:val="0"/>
        </w:rPr>
        <w:t xml:space="preserve">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 xml:space="preserve">[Regulation 23, formerly regulation 24, renumbered as regulation 23 in Gazette 10 Jan 1986 p. 138; amended in Gazette 12 Jan 2007 p. 45.] </w:t>
      </w:r>
    </w:p>
    <w:p>
      <w:pPr>
        <w:pStyle w:val="Heading5"/>
        <w:rPr>
          <w:snapToGrid w:val="0"/>
        </w:rPr>
      </w:pPr>
      <w:bookmarkStart w:id="105" w:name="_Toc434905702"/>
      <w:bookmarkStart w:id="106" w:name="_Toc489089854"/>
      <w:bookmarkStart w:id="107" w:name="_Toc146622515"/>
      <w:bookmarkStart w:id="108" w:name="_Toc159822493"/>
      <w:r>
        <w:rPr>
          <w:rStyle w:val="CharSectno"/>
        </w:rPr>
        <w:t>24</w:t>
      </w:r>
      <w:r>
        <w:rPr>
          <w:snapToGrid w:val="0"/>
        </w:rPr>
        <w:t>.</w:t>
      </w:r>
      <w:r>
        <w:rPr>
          <w:snapToGrid w:val="0"/>
        </w:rPr>
        <w:tab/>
        <w:t>Prescribed requirements for print and type in documents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character</w:t>
      </w:r>
      <w:r>
        <w:t xml:space="preserve"> includes a letter, figure, symbol, punctuation mark and space between adjacent characters;</w:t>
      </w:r>
    </w:p>
    <w:p>
      <w:pPr>
        <w:pStyle w:val="Defstart"/>
      </w:pPr>
      <w:r>
        <w:rPr>
          <w:b/>
        </w:rPr>
        <w:tab/>
      </w:r>
      <w:r>
        <w:rPr>
          <w:rStyle w:val="CharDefText"/>
        </w:rPr>
        <w:t>12</w:t>
      </w:r>
      <w:r>
        <w:rPr>
          <w:rStyle w:val="CharDefText"/>
        </w:rPr>
        <w:noBreakHyphen/>
        <w:t>pitch</w:t>
      </w:r>
      <w:r>
        <w:t xml:space="preserve"> means of dimensions such that any selected passage of print or type 25 mm in length includes no more than 12 characters and </w:t>
      </w:r>
      <w:r>
        <w:rPr>
          <w:rStyle w:val="CharDefText"/>
        </w:rPr>
        <w:t>13</w:t>
      </w:r>
      <w:r>
        <w:rPr>
          <w:rStyle w:val="CharDefText"/>
        </w:rPr>
        <w:noBreakHyphen/>
        <w:t>pitch</w:t>
      </w:r>
      <w:r>
        <w:t xml:space="preserve"> has a corresponding meaning.</w:t>
      </w:r>
    </w:p>
    <w:p>
      <w:pPr>
        <w:pStyle w:val="Footnotesection"/>
      </w:pPr>
      <w:r>
        <w:tab/>
        <w:t xml:space="preserve">[Regulation 24, formerly regulation 25, renumbered as regulation 24 in Gazette 10 Jan 1986 p. 138; amended in Gazette 8 Oct 1993 p. 5437.] </w:t>
      </w:r>
    </w:p>
    <w:p>
      <w:pPr>
        <w:pStyle w:val="Heading5"/>
        <w:rPr>
          <w:snapToGrid w:val="0"/>
        </w:rPr>
      </w:pPr>
      <w:bookmarkStart w:id="109" w:name="_Toc434905703"/>
      <w:bookmarkStart w:id="110" w:name="_Toc489089855"/>
      <w:bookmarkStart w:id="111" w:name="_Toc146622516"/>
      <w:bookmarkStart w:id="112" w:name="_Toc159822494"/>
      <w:r>
        <w:rPr>
          <w:rStyle w:val="CharSectno"/>
        </w:rPr>
        <w:t>25</w:t>
      </w:r>
      <w:r>
        <w:rPr>
          <w:snapToGrid w:val="0"/>
        </w:rPr>
        <w:t>.</w:t>
      </w:r>
      <w:r>
        <w:rPr>
          <w:snapToGrid w:val="0"/>
        </w:rPr>
        <w:tab/>
        <w:t>Prescribed requirements for reproduction of print or type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 xml:space="preserve">[Regulation 25, formerly regulation 26, renumbered as regulation 25 in Gazette 10 Jan 1986 p. 138.] </w:t>
      </w:r>
    </w:p>
    <w:p>
      <w:pPr>
        <w:pStyle w:val="Heading5"/>
        <w:rPr>
          <w:snapToGrid w:val="0"/>
        </w:rPr>
      </w:pPr>
      <w:bookmarkStart w:id="113" w:name="_Toc434905704"/>
      <w:bookmarkStart w:id="114" w:name="_Toc489089856"/>
      <w:bookmarkStart w:id="115" w:name="_Toc146622517"/>
      <w:bookmarkStart w:id="116" w:name="_Toc159822495"/>
      <w:r>
        <w:rPr>
          <w:rStyle w:val="CharSectno"/>
        </w:rPr>
        <w:t>26</w:t>
      </w:r>
      <w:r>
        <w:rPr>
          <w:snapToGrid w:val="0"/>
        </w:rPr>
        <w:t>.</w:t>
      </w:r>
      <w:r>
        <w:rPr>
          <w:snapToGrid w:val="0"/>
        </w:rPr>
        <w:tab/>
        <w:t>Lay</w:t>
      </w:r>
      <w:r>
        <w:rPr>
          <w:snapToGrid w:val="0"/>
        </w:rPr>
        <w:noBreakHyphen/>
        <w:t>out of certain documents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 xml:space="preserve">[Regulation 26, formerly regulation 27, renumbered as regulation 26 in Gazette 10 Jan 1986 p. 138.] </w:t>
      </w:r>
    </w:p>
    <w:p>
      <w:pPr>
        <w:pStyle w:val="Heading5"/>
        <w:rPr>
          <w:snapToGrid w:val="0"/>
        </w:rPr>
      </w:pPr>
      <w:bookmarkStart w:id="117" w:name="_Toc434905705"/>
      <w:bookmarkStart w:id="118" w:name="_Toc489089857"/>
      <w:bookmarkStart w:id="119" w:name="_Toc146622518"/>
      <w:bookmarkStart w:id="120" w:name="_Toc159822496"/>
      <w:r>
        <w:rPr>
          <w:rStyle w:val="CharSectno"/>
        </w:rPr>
        <w:t>27</w:t>
      </w:r>
      <w:r>
        <w:rPr>
          <w:snapToGrid w:val="0"/>
        </w:rPr>
        <w:t>.</w:t>
      </w:r>
      <w:r>
        <w:rPr>
          <w:snapToGrid w:val="0"/>
        </w:rPr>
        <w:tab/>
        <w:t>Charges to be included in amount financed</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rPr>
          <w:snapToGrid w:val="0"/>
        </w:rPr>
      </w:pPr>
      <w:r>
        <w:rPr>
          <w:snapToGrid w:val="0"/>
        </w:rPr>
        <w:tab/>
        <w:t>(h)</w:t>
      </w:r>
      <w:r>
        <w:rPr>
          <w:snapToGrid w:val="0"/>
        </w:rPr>
        <w:tab/>
        <w:t>fees payable to the Commissioner</w:t>
      </w:r>
      <w:r>
        <w:rPr>
          <w:snapToGrid w:val="0"/>
          <w:vertAlign w:val="superscript"/>
        </w:rPr>
        <w:t> 3</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rPr>
          <w:snapToGrid w:val="0"/>
        </w:rPr>
      </w:pPr>
      <w:r>
        <w:rPr>
          <w:snapToGrid w:val="0"/>
        </w:rPr>
        <w:tab/>
        <w:t>(i)</w:t>
      </w:r>
      <w:r>
        <w:rPr>
          <w:snapToGrid w:val="0"/>
        </w:rPr>
        <w:tab/>
        <w:t>fees payable to the Commissioner</w:t>
      </w:r>
      <w:r>
        <w:rPr>
          <w:snapToGrid w:val="0"/>
          <w:vertAlign w:val="superscript"/>
        </w:rPr>
        <w:t> 3</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rStyle w:val="CharDefText"/>
        </w:rPr>
        <w:t>relevant date</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 xml:space="preserve">[Regulation 27 inserted in Gazette 10 Oct 1986 p. 3875; amended in Gazette 5 Aug 1988 p. 2630; 22 Dec 2006 p. 5803; 12 Jan 2007 p. 45.] </w:t>
      </w:r>
    </w:p>
    <w:p>
      <w:pPr>
        <w:pStyle w:val="Heading5"/>
        <w:spacing w:before="180"/>
        <w:rPr>
          <w:snapToGrid w:val="0"/>
        </w:rPr>
      </w:pPr>
      <w:bookmarkStart w:id="121" w:name="_Toc434905706"/>
      <w:bookmarkStart w:id="122" w:name="_Toc489089858"/>
      <w:bookmarkStart w:id="123" w:name="_Toc146622519"/>
      <w:bookmarkStart w:id="124" w:name="_Toc159822497"/>
      <w:r>
        <w:rPr>
          <w:rStyle w:val="CharSectno"/>
        </w:rPr>
        <w:t>28</w:t>
      </w:r>
      <w:r>
        <w:rPr>
          <w:snapToGrid w:val="0"/>
        </w:rPr>
        <w:t>.</w:t>
      </w:r>
      <w:r>
        <w:rPr>
          <w:snapToGrid w:val="0"/>
        </w:rPr>
        <w:tab/>
        <w:t>Prescribed risk</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 xml:space="preserve">[Regulation 28 inserted as regulation 29 in Gazette 29 Mar 1985 p. 1143; renumbered as regulation 28 in Gazette 10 Jan 1986 p. 138.] </w:t>
      </w:r>
    </w:p>
    <w:p>
      <w:pPr>
        <w:pStyle w:val="Heading5"/>
        <w:spacing w:before="180"/>
      </w:pPr>
      <w:bookmarkStart w:id="125" w:name="_Toc146622520"/>
      <w:bookmarkStart w:id="126" w:name="_Toc159822498"/>
      <w:r>
        <w:rPr>
          <w:rStyle w:val="CharSectno"/>
        </w:rPr>
        <w:t>29</w:t>
      </w:r>
      <w:r>
        <w:t>.</w:t>
      </w:r>
      <w:r>
        <w:tab/>
        <w:t>Infringement notices</w:t>
      </w:r>
      <w:bookmarkEnd w:id="125"/>
      <w:bookmarkEnd w:id="126"/>
    </w:p>
    <w:p>
      <w:pPr>
        <w:pStyle w:val="Subsection"/>
        <w:spacing w:before="120"/>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The Commissioner</w:t>
      </w:r>
      <w:r>
        <w:rPr>
          <w:vertAlign w:val="superscript"/>
        </w:rPr>
        <w:t> 3</w:t>
      </w:r>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3</w:t>
      </w:r>
      <w:r>
        <w:t xml:space="preserve">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t> </w:t>
      </w:r>
      <w:r>
        <w:rPr>
          <w:i/>
          <w:iCs/>
        </w:rPr>
        <w:t xml:space="preserve">—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 in Gazette 22 Sep 2006 p. 4098.]</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27" w:name="_Toc146622521"/>
      <w:bookmarkStart w:id="128" w:name="_Toc146622620"/>
      <w:bookmarkStart w:id="129" w:name="_Toc146685595"/>
      <w:bookmarkStart w:id="130" w:name="_Toc155081271"/>
      <w:bookmarkStart w:id="131" w:name="_Toc155081525"/>
      <w:bookmarkStart w:id="132" w:name="_Toc156288261"/>
      <w:bookmarkStart w:id="133" w:name="_Toc156356801"/>
      <w:bookmarkStart w:id="134" w:name="_Toc156367119"/>
      <w:bookmarkStart w:id="135" w:name="_Toc156811155"/>
      <w:bookmarkStart w:id="136" w:name="_Toc158536340"/>
      <w:bookmarkStart w:id="137" w:name="_Toc159822499"/>
      <w:r>
        <w:rPr>
          <w:rStyle w:val="CharSchNo"/>
        </w:rPr>
        <w:t>Schedule 1</w:t>
      </w:r>
      <w:bookmarkEnd w:id="127"/>
      <w:bookmarkEnd w:id="128"/>
      <w:bookmarkEnd w:id="129"/>
      <w:bookmarkEnd w:id="130"/>
      <w:bookmarkEnd w:id="131"/>
      <w:bookmarkEnd w:id="132"/>
      <w:bookmarkEnd w:id="133"/>
      <w:bookmarkEnd w:id="134"/>
      <w:bookmarkEnd w:id="135"/>
      <w:bookmarkEnd w:id="136"/>
      <w:bookmarkEnd w:id="137"/>
      <w:r>
        <w:rPr>
          <w:rStyle w:val="CharSchText"/>
        </w:rPr>
        <w:t xml:space="preserve"> </w:t>
      </w:r>
    </w:p>
    <w:p>
      <w:pPr>
        <w:pStyle w:val="yFootnoteheading"/>
      </w:pPr>
      <w:r>
        <w:tab/>
        <w:t>[Heading inserted in Gazette 10 Jan 1986 p. 138.]</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MiscellaneousBody"/>
        <w:tabs>
          <w:tab w:val="left" w:pos="567"/>
        </w:tabs>
        <w:ind w:left="567" w:hanging="567"/>
      </w:pPr>
      <w:bookmarkStart w:id="138" w:name="_Toc146622522"/>
      <w:bookmarkStart w:id="139" w:name="_Toc156367120"/>
      <w:bookmarkStart w:id="140" w:name="_Toc156811156"/>
      <w:r>
        <w:rPr>
          <w:b/>
          <w:bCs/>
        </w:rPr>
        <w:t>1.</w:t>
      </w:r>
      <w:bookmarkEnd w:id="138"/>
      <w:bookmarkEnd w:id="139"/>
      <w:bookmarkEnd w:id="140"/>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MiscellaneousBody"/>
        <w:tabs>
          <w:tab w:val="left" w:pos="567"/>
        </w:tabs>
        <w:ind w:left="567" w:hanging="567"/>
      </w:pPr>
      <w:bookmarkStart w:id="141" w:name="_Toc146622523"/>
      <w:bookmarkStart w:id="142" w:name="_Toc156367121"/>
      <w:bookmarkStart w:id="143" w:name="_Toc156811157"/>
      <w:r>
        <w:rPr>
          <w:b/>
          <w:bCs/>
        </w:rPr>
        <w:t>2.</w:t>
      </w:r>
      <w:bookmarkEnd w:id="141"/>
      <w:bookmarkEnd w:id="142"/>
      <w:bookmarkEnd w:id="143"/>
      <w:r>
        <w:tab/>
        <w:t>The debtor gives and the supplier takes a mortgage of the subject goods.</w:t>
      </w:r>
    </w:p>
    <w:p>
      <w:pPr>
        <w:pStyle w:val="yMiscellaneousBody"/>
        <w:tabs>
          <w:tab w:val="left" w:pos="567"/>
        </w:tabs>
        <w:ind w:left="567" w:hanging="567"/>
      </w:pPr>
      <w:bookmarkStart w:id="144" w:name="_Toc146622524"/>
      <w:bookmarkStart w:id="145" w:name="_Toc156367122"/>
      <w:bookmarkStart w:id="146" w:name="_Toc156811158"/>
      <w:r>
        <w:rPr>
          <w:b/>
          <w:bCs/>
        </w:rPr>
        <w:t>3.</w:t>
      </w:r>
      <w:bookmarkEnd w:id="144"/>
      <w:bookmarkEnd w:id="145"/>
      <w:bookmarkEnd w:id="146"/>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MiscellaneousBody"/>
        <w:tabs>
          <w:tab w:val="left" w:pos="567"/>
        </w:tabs>
        <w:ind w:left="567" w:hanging="567"/>
      </w:pPr>
      <w:bookmarkStart w:id="147" w:name="_Toc146622525"/>
      <w:bookmarkStart w:id="148" w:name="_Toc156367123"/>
      <w:bookmarkStart w:id="149" w:name="_Toc156811159"/>
      <w:r>
        <w:rPr>
          <w:b/>
          <w:bCs/>
        </w:rPr>
        <w:t>4.</w:t>
      </w:r>
      <w:bookmarkEnd w:id="147"/>
      <w:bookmarkEnd w:id="148"/>
      <w:bookmarkEnd w:id="149"/>
      <w:r>
        <w:tab/>
        <w:t>Nothing in clause 3 affects the operation of any statute or of any principle of law or equity applicable to the rights and duties of the debtor and supplier in relation to each other.</w:t>
      </w:r>
    </w:p>
    <w:p>
      <w:pPr>
        <w:pStyle w:val="yFootnotesection"/>
      </w:pPr>
      <w:r>
        <w:tab/>
        <w:t>[Form 1 inserted in Gazette 10 Jan 1986 p. 138.]</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2 inserted in Gazette 10 Jan 1986 p. 139; amended in Gazette 12 Jan 2007 p. 46.]</w:t>
      </w:r>
    </w:p>
    <w:p>
      <w:pPr>
        <w:pStyle w:val="CentredBaseLine"/>
        <w:jc w:val="center"/>
      </w:pP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3 inserted in Gazette 10 Jan 1986 p. 139; amended in Gazette 12 Jan 2007 p. 46.]</w:t>
      </w:r>
    </w:p>
    <w:p>
      <w:pPr>
        <w:pStyle w:val="CentredBaseLine"/>
        <w:jc w:val="center"/>
      </w:pP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and Employment Protection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and Employment Protection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keepNext/>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and Employment Protection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and Employment Protection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tabs>
          <w:tab w:val="left" w:pos="567"/>
        </w:tabs>
        <w:ind w:left="567" w:hanging="567"/>
        <w:jc w:val="center"/>
      </w:pPr>
      <w:r>
        <w:t>PLEASE KEEP THIS NOTICE YOU MAY WANT SOME INFORMATION FROM IT AT A LATER DATE.</w:t>
      </w:r>
    </w:p>
    <w:p>
      <w:pPr>
        <w:pStyle w:val="yFootnotesection"/>
      </w:pPr>
      <w:r>
        <w:tab/>
        <w:t>[Form 4 inserted in Gazette 10 Jan 1986 p. 139-42; amended in Gazette 12 Jan 2007 p. 46.]</w:t>
      </w:r>
    </w:p>
    <w:p>
      <w:pPr>
        <w:pStyle w:val="CentredBaseLine"/>
        <w:jc w:val="center"/>
      </w:pP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AND EMPLOYMENT PROTECTION OR GET LEGAL ADVICE.</w:t>
      </w:r>
    </w:p>
    <w:p>
      <w:pPr>
        <w:pStyle w:val="yFootnotesection"/>
      </w:pPr>
      <w:r>
        <w:tab/>
        <w:t>[Form 5 inserted in Gazette 10 Jan 1986 p. 142-3; amended in Gazette 12 Jan 2007 p. 46.]</w:t>
      </w:r>
    </w:p>
    <w:p>
      <w:pPr>
        <w:pStyle w:val="CentredBaseLine"/>
        <w:spacing w:before="0"/>
        <w:jc w:val="center"/>
      </w:pP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and Employment Protection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6 inserted in Gazette 10 Jan 1986 p. 143-5; amended in Gazette 12 Jan 2007 p. 46.]</w:t>
      </w:r>
    </w:p>
    <w:p>
      <w:pPr>
        <w:pStyle w:val="CentredBaseLine"/>
        <w:jc w:val="center"/>
      </w:pP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 xml:space="preserve">If you cannot come to a suitable arrangement with your credit provider or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and Employment Protection or get legal advice immediately.</w:t>
      </w:r>
    </w:p>
    <w:p>
      <w:pPr>
        <w:pStyle w:val="yFootnotesection"/>
      </w:pPr>
      <w:r>
        <w:tab/>
        <w:t>[Form 7 inserted in Gazette 10 Jan 1986 p. 145; amended in Gazette 12 Jan 2007 p. 46.]</w:t>
      </w:r>
    </w:p>
    <w:p>
      <w:pPr>
        <w:pStyle w:val="CentredBaseLine"/>
        <w:jc w:val="center"/>
      </w:pP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spacing w:before="40"/>
      </w:pPr>
      <w:r>
        <w:t>Description of the goods:........................................................................................</w:t>
      </w:r>
    </w:p>
    <w:p>
      <w:pPr>
        <w:pStyle w:val="yMiscellaneousBody"/>
        <w:spacing w:before="40"/>
      </w:pPr>
      <w:r>
        <w:t>Date the goods were taken:.....................................................................................</w:t>
      </w:r>
    </w:p>
    <w:p>
      <w:pPr>
        <w:pStyle w:val="yMiscellaneousBody"/>
        <w:spacing w:before="40"/>
      </w:pPr>
      <w:r>
        <w:t>The goods were taken because:...............................................................................</w:t>
      </w:r>
    </w:p>
    <w:p>
      <w:pPr>
        <w:pStyle w:val="yMiscellaneousBody"/>
        <w:spacing w:before="40"/>
      </w:pPr>
      <w:r>
        <w:t>.................................................................................................................................</w:t>
      </w:r>
    </w:p>
    <w:p>
      <w:pPr>
        <w:pStyle w:val="yMiscellaneousBody"/>
        <w:spacing w:before="40"/>
      </w:pPr>
      <w:r>
        <w:t>As at the date of this Notice, the cost of enforcing the mortgage (such as the cost of taking the goods) is $ ...................................</w:t>
      </w:r>
    </w:p>
    <w:p>
      <w:pPr>
        <w:pStyle w:val="yMiscellaneousBody"/>
        <w:spacing w:before="4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Body"/>
        <w:jc w:val="center"/>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 xml:space="preserve">If you cannot come to a suitable arrangement with your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AND EMPLOYMENT PROTECTION OR GET LEGAL ADVICE.</w:t>
      </w:r>
    </w:p>
    <w:p>
      <w:pPr>
        <w:pStyle w:val="yMiscellaneousBody"/>
        <w:jc w:val="right"/>
      </w:pPr>
      <w:r>
        <w:t>........................................................</w:t>
      </w:r>
    </w:p>
    <w:p>
      <w:pPr>
        <w:pStyle w:val="yMiscellaneousBody"/>
        <w:spacing w:before="0"/>
        <w:jc w:val="right"/>
      </w:pPr>
      <w:r>
        <w:t>(Signature of mortgagee or agent)</w:t>
      </w:r>
    </w:p>
    <w:p>
      <w:pPr>
        <w:pStyle w:val="yFootnotesection"/>
      </w:pPr>
      <w:r>
        <w:tab/>
        <w:t>[Form 8 inserted in Gazette 10 Jan 1986 p. 146-7; amended in Gazette 12 Jan 2007 p. 46.]</w:t>
      </w:r>
    </w:p>
    <w:p>
      <w:pPr>
        <w:pStyle w:val="CentredBaseLine"/>
        <w:jc w:val="center"/>
      </w:pP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Footnotesection"/>
      </w:pPr>
      <w:r>
        <w:tab/>
        <w:t>[Form 9 inserted in Gazette 10 Jan 1986 p. 147.]</w:t>
      </w:r>
    </w:p>
    <w:p>
      <w:pPr>
        <w:pStyle w:val="yMiscellaneousBody"/>
        <w:jc w:val="center"/>
      </w:pPr>
    </w:p>
    <w:p>
      <w:pPr>
        <w:pStyle w:val="yMiscellaneousHeading"/>
        <w:keepLines/>
        <w:rPr>
          <w:b/>
        </w:rPr>
      </w:pPr>
      <w:r>
        <w:rPr>
          <w:b/>
        </w:rPr>
        <w:t>Form 10</w:t>
      </w:r>
    </w:p>
    <w:p>
      <w:pPr>
        <w:pStyle w:val="yShoulderClause"/>
        <w:keepNext/>
        <w:keepLines/>
      </w:pPr>
      <w:r>
        <w:t>[Reg. 21]</w:t>
      </w:r>
    </w:p>
    <w:p>
      <w:pPr>
        <w:pStyle w:val="yMiscellaneousHeading"/>
        <w:keepLines/>
        <w:rPr>
          <w:b/>
        </w:rPr>
      </w:pPr>
      <w:r>
        <w:rPr>
          <w:b/>
        </w:rPr>
        <w:t>GUARANTORS </w:t>
      </w:r>
      <w:r>
        <w:rPr>
          <w:b/>
          <w:snapToGrid w:val="0"/>
        </w:rPr>
        <w:t>—</w:t>
      </w:r>
      <w:r>
        <w:rPr>
          <w:b/>
        </w:rPr>
        <w:t> NOTICE OF INTENDED LEGAL ACTION</w:t>
      </w:r>
    </w:p>
    <w:p>
      <w:pPr>
        <w:pStyle w:val="yMiscellaneousHeading"/>
        <w:keepLines/>
      </w:pPr>
      <w:r>
        <w:t>CREDIT ACT (Section 138)</w:t>
      </w:r>
    </w:p>
    <w:p>
      <w:pPr>
        <w:pStyle w:val="yMiscellaneousBody"/>
        <w:keepNext/>
        <w:keepLines/>
        <w:jc w:val="right"/>
      </w:pPr>
      <w:r>
        <w:t>..............................................., 20.........</w:t>
      </w:r>
    </w:p>
    <w:p>
      <w:pPr>
        <w:pStyle w:val="yMiscellaneousBody"/>
        <w:keepNext/>
        <w:keepLines/>
        <w:tabs>
          <w:tab w:val="left" w:pos="4820"/>
        </w:tabs>
        <w:spacing w:before="0"/>
      </w:pPr>
      <w:r>
        <w:tab/>
        <w:t>Date</w:t>
      </w:r>
    </w:p>
    <w:p>
      <w:pPr>
        <w:pStyle w:val="yMiscellaneousBody"/>
        <w:keepNext/>
        <w:keepLines/>
        <w:tabs>
          <w:tab w:val="left" w:pos="1134"/>
        </w:tabs>
      </w:pPr>
      <w:r>
        <w:t>TO:</w:t>
      </w:r>
      <w:r>
        <w:tab/>
        <w:t>............................................................................................................</w:t>
      </w:r>
    </w:p>
    <w:p>
      <w:pPr>
        <w:pStyle w:val="yMiscellaneousBody"/>
        <w:keepNext/>
        <w:keepLines/>
        <w:spacing w:before="0"/>
        <w:jc w:val="center"/>
      </w:pPr>
      <w:r>
        <w:t>(name of guarantor)</w:t>
      </w:r>
    </w:p>
    <w:p>
      <w:pPr>
        <w:pStyle w:val="yMiscellaneousBody"/>
        <w:keepNext/>
        <w:keepLines/>
        <w:tabs>
          <w:tab w:val="left" w:pos="1134"/>
        </w:tabs>
        <w:spacing w:before="0"/>
      </w:pPr>
      <w:r>
        <w:tab/>
        <w:t>............................................................................................................</w:t>
      </w:r>
    </w:p>
    <w:p>
      <w:pPr>
        <w:pStyle w:val="yMiscellaneousBody"/>
        <w:keepNext/>
        <w:keepLines/>
        <w:spacing w:before="0"/>
        <w:jc w:val="center"/>
      </w:pPr>
      <w:r>
        <w:t>(address of guarantor)</w:t>
      </w:r>
    </w:p>
    <w:p>
      <w:pPr>
        <w:pStyle w:val="yMiscellaneousBody"/>
        <w:keepNext/>
        <w:keepLines/>
        <w:tabs>
          <w:tab w:val="left" w:pos="1134"/>
        </w:tabs>
        <w:spacing w:before="0"/>
      </w:pPr>
      <w:r>
        <w:tab/>
        <w:t>............................................................................................................</w:t>
      </w:r>
    </w:p>
    <w:p>
      <w:pPr>
        <w:pStyle w:val="yMiscellaneousBody"/>
        <w:keepNext/>
        <w:keepLines/>
        <w:tabs>
          <w:tab w:val="left" w:pos="1134"/>
        </w:tabs>
        <w:spacing w:before="0"/>
      </w:pPr>
      <w:r>
        <w:tab/>
        <w:t>............................................................................................................</w:t>
      </w:r>
    </w:p>
    <w:p>
      <w:pPr>
        <w:pStyle w:val="yMiscellaneousBody"/>
        <w:keepNext/>
        <w:keepLines/>
        <w:tabs>
          <w:tab w:val="left" w:pos="1134"/>
        </w:tabs>
        <w:spacing w:before="240"/>
      </w:pPr>
      <w:r>
        <w:t>FROM:</w:t>
      </w:r>
      <w:r>
        <w:tab/>
        <w:t>............................................................................................................</w:t>
      </w:r>
    </w:p>
    <w:p>
      <w:pPr>
        <w:pStyle w:val="yMiscellaneousBody"/>
        <w:keepNext/>
        <w:keepLines/>
        <w:spacing w:before="0"/>
        <w:jc w:val="center"/>
      </w:pPr>
      <w:r>
        <w:t>(name of credit provider)</w:t>
      </w:r>
    </w:p>
    <w:p>
      <w:pPr>
        <w:pStyle w:val="yMiscellaneousBody"/>
        <w:keepNext/>
        <w:keepLines/>
        <w:tabs>
          <w:tab w:val="left" w:pos="1134"/>
        </w:tabs>
        <w:spacing w:before="0"/>
      </w:pPr>
      <w:r>
        <w:tab/>
        <w:t>............................................................................................................</w:t>
      </w:r>
    </w:p>
    <w:p>
      <w:pPr>
        <w:pStyle w:val="yMiscellaneousBody"/>
        <w:keepNext/>
        <w:keepLines/>
        <w:spacing w:before="0"/>
        <w:jc w:val="center"/>
      </w:pPr>
      <w:r>
        <w:t>(address of credit provider)</w:t>
      </w:r>
    </w:p>
    <w:p>
      <w:pPr>
        <w:pStyle w:val="yMiscellaneousBody"/>
        <w:keepNext/>
        <w:keepLines/>
        <w:tabs>
          <w:tab w:val="left" w:pos="1134"/>
        </w:tabs>
        <w:spacing w:before="80"/>
      </w:pPr>
      <w:r>
        <w:tab/>
        <w:t>............................................................................................................</w:t>
      </w:r>
    </w:p>
    <w:p>
      <w:pPr>
        <w:pStyle w:val="yMiscellaneousBody"/>
        <w:keepNext/>
        <w:keepLines/>
        <w:tabs>
          <w:tab w:val="left" w:pos="1134"/>
        </w:tabs>
        <w:spacing w:before="0"/>
      </w:pPr>
      <w:r>
        <w:tab/>
        <w:t>............................................................................................................</w:t>
      </w:r>
    </w:p>
    <w:p>
      <w:pPr>
        <w:pStyle w:val="yMiscellaneousBody"/>
        <w:keepNext/>
        <w:keepLines/>
      </w:pPr>
      <w:r>
        <w:t>After 14 days from the time you receive this Notice</w:t>
      </w:r>
    </w:p>
    <w:p>
      <w:pPr>
        <w:pStyle w:val="yMiscellaneousBody"/>
        <w:keepNext/>
        <w:keepLines/>
        <w:spacing w:before="0"/>
      </w:pPr>
      <w:r>
        <w:t>.................................................................................................................................</w:t>
      </w:r>
    </w:p>
    <w:p>
      <w:pPr>
        <w:pStyle w:val="yMiscellaneousBody"/>
        <w:keepNext/>
        <w:keepLines/>
        <w:spacing w:before="0"/>
        <w:jc w:val="center"/>
      </w:pPr>
      <w:r>
        <w:t>(name of credit provider)</w:t>
      </w:r>
    </w:p>
    <w:p>
      <w:pPr>
        <w:pStyle w:val="yMiscellaneousBody"/>
        <w:keepNext/>
        <w:keepLines/>
      </w:pPr>
      <w:r>
        <w:t>intends to take legal action against you under your contract of guarantee. The credit provider’s reasons are given at the end of this Notice.</w:t>
      </w:r>
    </w:p>
    <w:p>
      <w:pPr>
        <w:pStyle w:val="yMiscellaneousBody"/>
        <w:keepNext/>
        <w:keepLines/>
      </w:pPr>
      <w:r>
        <w:t>You will also find at the end of this Notice:</w:t>
      </w:r>
    </w:p>
    <w:p>
      <w:pPr>
        <w:pStyle w:val="yMiscellaneousBody"/>
        <w:keepNext/>
        <w:keepLines/>
        <w:tabs>
          <w:tab w:val="left" w:pos="567"/>
        </w:tabs>
        <w:ind w:left="567" w:hanging="425"/>
      </w:pPr>
      <w:r>
        <w:t>*</w:t>
      </w:r>
      <w:r>
        <w:tab/>
        <w:t>the amount the credit provider says you owe at the date of this Notice;</w:t>
      </w:r>
    </w:p>
    <w:p>
      <w:pPr>
        <w:pStyle w:val="yMiscellaneousBody"/>
        <w:keepNext/>
        <w:keepLines/>
        <w:tabs>
          <w:tab w:val="left" w:pos="567"/>
        </w:tabs>
        <w:ind w:left="567" w:hanging="425"/>
      </w:pPr>
      <w:r>
        <w:t>*</w:t>
      </w:r>
      <w:r>
        <w:tab/>
        <w:t>details to identify your contract of guarantee;</w:t>
      </w:r>
    </w:p>
    <w:p>
      <w:pPr>
        <w:pStyle w:val="yMiscellaneousBody"/>
        <w:keepNext/>
        <w:keepLines/>
        <w:tabs>
          <w:tab w:val="left" w:pos="567"/>
        </w:tabs>
        <w:ind w:left="567" w:hanging="425"/>
      </w:pPr>
      <w:r>
        <w:t>*</w:t>
      </w:r>
      <w:r>
        <w:tab/>
        <w:t>details to identify the debtor’s credit contract.</w:t>
      </w:r>
    </w:p>
    <w:p>
      <w:pPr>
        <w:pStyle w:val="yMiscellaneousBody"/>
        <w:keepNext/>
        <w:keepLines/>
      </w:pPr>
      <w:r>
        <w:t>You should discuss this matter with the credit provider as soon as possible. You may be able to work out some alternative arrangement about the amount you owe.</w:t>
      </w:r>
    </w:p>
    <w:p>
      <w:pPr>
        <w:pStyle w:val="yMiscellaneousBody"/>
        <w:keepNext/>
        <w:keepLines/>
      </w:pPr>
    </w:p>
    <w:p>
      <w:pPr>
        <w:pStyle w:val="yMiscellaneousBody"/>
        <w:keepNext/>
        <w:keepLines/>
      </w:pPr>
      <w:r>
        <w:t>The person to contact is..........................................................................................</w:t>
      </w:r>
    </w:p>
    <w:p>
      <w:pPr>
        <w:pStyle w:val="yMiscellaneousBody"/>
        <w:keepNext/>
        <w:keepLines/>
        <w:tabs>
          <w:tab w:val="left" w:pos="3402"/>
        </w:tabs>
        <w:spacing w:before="0"/>
      </w:pPr>
      <w:r>
        <w:tab/>
        <w:t>(name or title of officer/s)</w:t>
      </w:r>
    </w:p>
    <w:p>
      <w:pPr>
        <w:pStyle w:val="yMiscellaneousBody"/>
        <w:keepNext/>
        <w:keepLines/>
        <w:spacing w:before="0"/>
      </w:pPr>
      <w:r>
        <w:t>of.............................................................................................................................</w:t>
      </w:r>
    </w:p>
    <w:p>
      <w:pPr>
        <w:pStyle w:val="yMiscellaneousBody"/>
        <w:keepNext/>
        <w:keepLines/>
        <w:spacing w:before="0"/>
        <w:jc w:val="center"/>
      </w:pPr>
      <w:r>
        <w:t>(name of credit provider)</w:t>
      </w:r>
    </w:p>
    <w:p>
      <w:pPr>
        <w:pStyle w:val="yMiscellaneousBody"/>
        <w:keepNext/>
        <w:keepLines/>
        <w:spacing w:before="0"/>
      </w:pPr>
      <w:r>
        <w:t>.................................................................................................................................</w:t>
      </w:r>
    </w:p>
    <w:p>
      <w:pPr>
        <w:pStyle w:val="yMiscellaneousBody"/>
        <w:keepNext/>
        <w:keepLines/>
        <w:spacing w:before="0"/>
        <w:jc w:val="center"/>
      </w:pPr>
      <w:r>
        <w:t>(address of credit provider)</w:t>
      </w:r>
    </w:p>
    <w:p>
      <w:pPr>
        <w:pStyle w:val="yMiscellaneousBody"/>
        <w:keepNext/>
        <w:keepLines/>
        <w:spacing w:before="0"/>
      </w:pPr>
      <w:r>
        <w:t>.................................................................................................................................</w:t>
      </w:r>
    </w:p>
    <w:p>
      <w:pPr>
        <w:pStyle w:val="yMiscellaneousBody"/>
        <w:keepNext/>
        <w:keepLines/>
        <w:spacing w:before="0"/>
      </w:pPr>
      <w:r>
        <w:t>Telephone No./s:.....................................................................................................</w:t>
      </w:r>
    </w:p>
    <w:p>
      <w:pPr>
        <w:pStyle w:val="yMiscellaneousBody"/>
        <w:keepNext/>
        <w:keepLines/>
      </w:pPr>
      <w:r>
        <w:t xml:space="preserve">If you cannot come to a suitable arrangement with the credit provider, contact Consumer and Employment Protection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and Employment Protection or get legal advice immediately.</w:t>
      </w:r>
    </w:p>
    <w:p>
      <w:pPr>
        <w:pStyle w:val="yMiscellaneousHeading"/>
        <w:keepNext w:val="0"/>
        <w:spacing w:before="240"/>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spacing w:before="240"/>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AND EMPLOYMENT PROTECTION OR GET LEGAL ADVICE.</w:t>
      </w:r>
    </w:p>
    <w:p>
      <w:pPr>
        <w:pStyle w:val="yMiscellaneousBody"/>
        <w:spacing w:before="0"/>
        <w:jc w:val="right"/>
      </w:pPr>
      <w:r>
        <w:t>..............................................................</w:t>
      </w:r>
    </w:p>
    <w:p>
      <w:pPr>
        <w:pStyle w:val="yMiscellaneousBody"/>
        <w:spacing w:before="0"/>
        <w:jc w:val="right"/>
      </w:pPr>
      <w:r>
        <w:t>(Signature of credit provider of agent)</w:t>
      </w:r>
    </w:p>
    <w:p>
      <w:pPr>
        <w:pStyle w:val="yFootnotesection"/>
      </w:pPr>
      <w:r>
        <w:tab/>
        <w:t>[Form 10 inserted in Gazette 10 Jan 1986 p. 147-9; amended in Gazette 12 Jan 2007 p. 46.]</w:t>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and Employment Protection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 xml:space="preserve">Talk to the credit provider and see if some arrangement can be made about paying. If you cannot come to a suitable arrangement, contact Consumer and Employment Protection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11 inserted in Gazette 10 Jan 1986 p. 149-50; amended in Gazette 12 Jan 2007 p. 46.]</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tabs>
                <w:tab w:val="left" w:pos="974"/>
                <w:tab w:val="left" w:pos="4145"/>
              </w:tabs>
              <w:rPr>
                <w:sz w:val="20"/>
              </w:rPr>
            </w:pPr>
            <w:r>
              <w:rPr>
                <w:b/>
                <w:bCs/>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276" w:type="dxa"/>
          </w:tcPr>
          <w:p>
            <w:pPr>
              <w:pStyle w:val="yTable"/>
              <w:spacing w:before="0"/>
              <w:ind w:right="-108"/>
              <w:rPr>
                <w:b/>
                <w:sz w:val="20"/>
              </w:rPr>
            </w:pPr>
          </w:p>
        </w:tc>
        <w:tc>
          <w:tcPr>
            <w:tcW w:w="5528" w:type="dxa"/>
            <w:gridSpan w:val="2"/>
            <w:tcBorders>
              <w:bottom w:val="single" w:sz="4" w:space="0" w:color="auto"/>
            </w:tcBorders>
          </w:tcPr>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12 inserted in Gazette 22 Sep 2006 p. 4099.]</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ind w:left="227" w:hanging="227"/>
              <w:rPr>
                <w:sz w:val="20"/>
              </w:rPr>
            </w:pPr>
            <w:r>
              <w:rPr>
                <w:sz w:val="20"/>
              </w:rPr>
              <w:t>Signature</w:t>
            </w:r>
            <w:r>
              <w:rPr>
                <w:sz w:val="20"/>
              </w:rPr>
              <w:tab/>
              <w:t>/</w:t>
            </w:r>
            <w:r>
              <w:rPr>
                <w:sz w:val="20"/>
              </w:rPr>
              <w:tab/>
              <w:t>/20</w:t>
            </w:r>
          </w:p>
        </w:tc>
      </w:tr>
    </w:tbl>
    <w:p>
      <w:pPr>
        <w:pStyle w:val="yFootnotesection"/>
      </w:pPr>
      <w:r>
        <w:tab/>
        <w:t>[Form 13 inserted in Gazette 22 Sep 2006 p. 4100.]</w:t>
      </w:r>
    </w:p>
    <w:p>
      <w:pPr>
        <w:pStyle w:val="yFootnotesection"/>
      </w:pPr>
      <w:r>
        <w:tab/>
      </w:r>
    </w:p>
    <w:p>
      <w:pPr>
        <w:pStyle w:val="yScheduleHeading"/>
      </w:pPr>
      <w:bookmarkStart w:id="150" w:name="_Toc146622526"/>
      <w:bookmarkStart w:id="151" w:name="_Toc146622625"/>
      <w:bookmarkStart w:id="152" w:name="_Toc146685600"/>
      <w:bookmarkStart w:id="153" w:name="_Toc155081276"/>
      <w:bookmarkStart w:id="154" w:name="_Toc155081530"/>
      <w:bookmarkStart w:id="155" w:name="_Toc156288266"/>
      <w:bookmarkStart w:id="156" w:name="_Toc156356806"/>
      <w:bookmarkStart w:id="157" w:name="_Toc156367124"/>
      <w:bookmarkStart w:id="158" w:name="_Toc156811160"/>
      <w:bookmarkStart w:id="159" w:name="_Toc158536341"/>
      <w:bookmarkStart w:id="160" w:name="_Toc159822500"/>
      <w:r>
        <w:rPr>
          <w:rStyle w:val="CharSchNo"/>
        </w:rPr>
        <w:t>Schedule 2</w:t>
      </w:r>
      <w:bookmarkEnd w:id="150"/>
      <w:bookmarkEnd w:id="151"/>
      <w:bookmarkEnd w:id="152"/>
      <w:bookmarkEnd w:id="153"/>
      <w:bookmarkEnd w:id="154"/>
      <w:bookmarkEnd w:id="155"/>
      <w:bookmarkEnd w:id="156"/>
      <w:bookmarkEnd w:id="157"/>
      <w:bookmarkEnd w:id="158"/>
      <w:bookmarkEnd w:id="159"/>
      <w:bookmarkEnd w:id="160"/>
    </w:p>
    <w:p>
      <w:pPr>
        <w:pStyle w:val="yShoulderClause"/>
      </w:pPr>
      <w:r>
        <w:t>[Reg. 13]</w:t>
      </w:r>
    </w:p>
    <w:p>
      <w:pPr>
        <w:pStyle w:val="yMiscellaneousHeading"/>
      </w:pPr>
      <w:r>
        <w:rPr>
          <w:rStyle w:val="CharSchText"/>
          <w:b/>
          <w:bCs/>
          <w:sz w:val="24"/>
        </w:rPr>
        <w:t>Annual percentage rate — Applicable methods</w:t>
      </w:r>
    </w:p>
    <w:p>
      <w:pPr>
        <w:pStyle w:val="yHeading5"/>
        <w:outlineLvl w:val="9"/>
      </w:pPr>
      <w:bookmarkStart w:id="161" w:name="_Toc489089859"/>
      <w:bookmarkStart w:id="162" w:name="_Toc146622527"/>
      <w:bookmarkStart w:id="163" w:name="_Toc159822501"/>
      <w:r>
        <w:t>1.</w:t>
      </w:r>
      <w:r>
        <w:tab/>
        <w:t>Method No. 1</w:t>
      </w:r>
      <w:bookmarkEnd w:id="161"/>
      <w:bookmarkEnd w:id="162"/>
      <w:bookmarkEnd w:id="163"/>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pPr>
      <w:r>
        <w:rPr>
          <w:position w:val="-30"/>
        </w:rPr>
        <w:object w:dxaOrig="1660" w:dyaOrig="680">
          <v:shape id="_x0000_i1026" type="#_x0000_t75" style="width:83.25pt;height:33.75pt" o:ole="">
            <v:imagedata r:id="rId30" o:title=""/>
          </v:shape>
          <o:OLEObject Type="Embed" ProgID="Equation.3" ShapeID="_x0000_i1026" DrawAspect="Content" ObjectID="_1643717951" r:id="rId31"/>
        </w:object>
      </w:r>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pPr>
      <w:r>
        <w:rPr>
          <w:rStyle w:val="EquationCaption"/>
        </w:rPr>
        <w:object w:dxaOrig="300" w:dyaOrig="620">
          <v:shape id="_x0000_i1027" type="#_x0000_t75" style="width:15pt;height:30.75pt" o:ole="">
            <v:imagedata r:id="rId32" o:title=""/>
          </v:shape>
          <o:OLEObject Type="Embed" ProgID="Equation.3" ShapeID="_x0000_i1027" DrawAspect="Content" ObjectID="_1643717952" r:id="rId33"/>
        </w:obje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outlineLvl w:val="9"/>
      </w:pPr>
      <w:bookmarkStart w:id="164" w:name="_Toc489089860"/>
      <w:bookmarkStart w:id="165" w:name="_Toc146622528"/>
      <w:bookmarkStart w:id="166" w:name="_Toc159822502"/>
      <w:r>
        <w:t>2.</w:t>
      </w:r>
      <w:r>
        <w:tab/>
        <w:t>Method No. 2</w:t>
      </w:r>
      <w:bookmarkEnd w:id="164"/>
      <w:bookmarkEnd w:id="165"/>
      <w:bookmarkEnd w:id="166"/>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outlineLvl w:val="9"/>
      </w:pPr>
      <w:bookmarkStart w:id="167" w:name="_Toc489089861"/>
      <w:bookmarkStart w:id="168" w:name="_Toc146622529"/>
      <w:bookmarkStart w:id="169" w:name="_Toc159822503"/>
      <w:r>
        <w:t>3.</w:t>
      </w:r>
      <w:r>
        <w:tab/>
        <w:t>Interpretation</w:t>
      </w:r>
      <w:bookmarkEnd w:id="167"/>
      <w:bookmarkEnd w:id="168"/>
      <w:bookmarkEnd w:id="169"/>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 in Gazette 10 Jan 1986 p. 150.]</w:t>
      </w:r>
    </w:p>
    <w:p>
      <w:pPr>
        <w:pStyle w:val="yScheduleHeading"/>
      </w:pPr>
      <w:bookmarkStart w:id="170" w:name="_Toc146622530"/>
      <w:bookmarkStart w:id="171" w:name="_Toc146622629"/>
      <w:bookmarkStart w:id="172" w:name="_Toc146685604"/>
      <w:bookmarkStart w:id="173" w:name="_Toc155081280"/>
      <w:bookmarkStart w:id="174" w:name="_Toc155081534"/>
      <w:bookmarkStart w:id="175" w:name="_Toc156288270"/>
      <w:bookmarkStart w:id="176" w:name="_Toc156356810"/>
      <w:bookmarkStart w:id="177" w:name="_Toc156367128"/>
      <w:bookmarkStart w:id="178" w:name="_Toc156811164"/>
      <w:bookmarkStart w:id="179" w:name="_Toc158536345"/>
      <w:bookmarkStart w:id="180" w:name="_Toc159822504"/>
      <w:r>
        <w:rPr>
          <w:rStyle w:val="CharSchNo"/>
        </w:rPr>
        <w:t>Schedule 3</w:t>
      </w:r>
      <w:bookmarkEnd w:id="170"/>
      <w:bookmarkEnd w:id="171"/>
      <w:bookmarkEnd w:id="172"/>
      <w:bookmarkEnd w:id="173"/>
      <w:bookmarkEnd w:id="174"/>
      <w:bookmarkEnd w:id="175"/>
      <w:bookmarkEnd w:id="176"/>
      <w:bookmarkEnd w:id="177"/>
      <w:bookmarkEnd w:id="178"/>
      <w:bookmarkEnd w:id="179"/>
      <w:bookmarkEnd w:id="180"/>
    </w:p>
    <w:p>
      <w:pPr>
        <w:pStyle w:val="yShoulderClause"/>
      </w:pPr>
      <w:r>
        <w:t>[Reg. 19(1)]</w:t>
      </w:r>
    </w:p>
    <w:p>
      <w:pPr>
        <w:pStyle w:val="yMiscellaneousHeading"/>
        <w:spacing w:after="120"/>
      </w:pPr>
      <w:r>
        <w:rPr>
          <w:rStyle w:val="CharSchText"/>
          <w:b/>
          <w:bCs/>
          <w:sz w:val="24"/>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rPr>
                <w:vertAlign w:val="superscript"/>
              </w:rPr>
            </w:pPr>
            <w:r>
              <w:t>Consumer and Employment Protection</w:t>
            </w:r>
          </w:p>
        </w:tc>
      </w:tr>
    </w:tbl>
    <w:p>
      <w:pPr>
        <w:pStyle w:val="yFootnotesection"/>
      </w:pPr>
      <w:r>
        <w:tab/>
        <w:t>[Schedule 3 amended in Gazette 10 Jan 1986 p. 150; 12 Jan 2007 p. 46.]</w:t>
      </w:r>
    </w:p>
    <w:p>
      <w:pPr>
        <w:pStyle w:val="yScheduleHeading"/>
      </w:pPr>
      <w:bookmarkStart w:id="181" w:name="_Toc146622531"/>
      <w:bookmarkStart w:id="182" w:name="_Toc146622630"/>
      <w:bookmarkStart w:id="183" w:name="_Toc146685605"/>
      <w:bookmarkStart w:id="184" w:name="_Toc155081281"/>
      <w:bookmarkStart w:id="185" w:name="_Toc155081535"/>
      <w:bookmarkStart w:id="186" w:name="_Toc156288271"/>
      <w:bookmarkStart w:id="187" w:name="_Toc156356811"/>
      <w:bookmarkStart w:id="188" w:name="_Toc156367129"/>
      <w:bookmarkStart w:id="189" w:name="_Toc156811165"/>
      <w:bookmarkStart w:id="190" w:name="_Toc158536346"/>
      <w:bookmarkStart w:id="191" w:name="_Toc159822505"/>
      <w:r>
        <w:rPr>
          <w:rStyle w:val="CharSchNo"/>
        </w:rPr>
        <w:t>Schedule 4</w:t>
      </w:r>
      <w:bookmarkEnd w:id="181"/>
      <w:bookmarkEnd w:id="182"/>
      <w:bookmarkEnd w:id="183"/>
      <w:bookmarkEnd w:id="184"/>
      <w:bookmarkEnd w:id="185"/>
      <w:bookmarkEnd w:id="186"/>
      <w:bookmarkEnd w:id="187"/>
      <w:bookmarkEnd w:id="188"/>
      <w:bookmarkEnd w:id="189"/>
      <w:bookmarkEnd w:id="190"/>
      <w:bookmarkEnd w:id="191"/>
    </w:p>
    <w:p>
      <w:pPr>
        <w:pStyle w:val="yShoulderClause"/>
      </w:pPr>
      <w:r>
        <w:t>[Reg. 19(2)]</w:t>
      </w:r>
    </w:p>
    <w:p>
      <w:pPr>
        <w:pStyle w:val="yMiscellaneousHeading"/>
        <w:spacing w:after="120"/>
      </w:pPr>
      <w:r>
        <w:rPr>
          <w:rStyle w:val="CharSchText"/>
          <w:b/>
          <w:bCs/>
          <w:sz w:val="24"/>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4 amended in Gazette 10 Jan 1986 p. 150; 12 Jan 2007 p. 46.]</w:t>
      </w:r>
    </w:p>
    <w:p>
      <w:pPr>
        <w:pStyle w:val="yScheduleHeading"/>
      </w:pPr>
      <w:bookmarkStart w:id="192" w:name="_Toc146622532"/>
      <w:bookmarkStart w:id="193" w:name="_Toc146622631"/>
      <w:bookmarkStart w:id="194" w:name="_Toc146685606"/>
      <w:bookmarkStart w:id="195" w:name="_Toc155081282"/>
      <w:bookmarkStart w:id="196" w:name="_Toc155081536"/>
      <w:bookmarkStart w:id="197" w:name="_Toc156288272"/>
      <w:bookmarkStart w:id="198" w:name="_Toc156356812"/>
      <w:bookmarkStart w:id="199" w:name="_Toc156367130"/>
      <w:bookmarkStart w:id="200" w:name="_Toc156811166"/>
      <w:bookmarkStart w:id="201" w:name="_Toc158536347"/>
      <w:bookmarkStart w:id="202" w:name="_Toc159822506"/>
      <w:r>
        <w:rPr>
          <w:rStyle w:val="CharSchNo"/>
        </w:rPr>
        <w:t>Schedule 5</w:t>
      </w:r>
      <w:bookmarkEnd w:id="192"/>
      <w:bookmarkEnd w:id="193"/>
      <w:bookmarkEnd w:id="194"/>
      <w:bookmarkEnd w:id="195"/>
      <w:bookmarkEnd w:id="196"/>
      <w:bookmarkEnd w:id="197"/>
      <w:bookmarkEnd w:id="198"/>
      <w:bookmarkEnd w:id="199"/>
      <w:bookmarkEnd w:id="200"/>
      <w:bookmarkEnd w:id="201"/>
      <w:bookmarkEnd w:id="202"/>
    </w:p>
    <w:p>
      <w:pPr>
        <w:pStyle w:val="yShoulderClause"/>
      </w:pPr>
      <w:r>
        <w:t>[Reg. 19(3)]</w:t>
      </w:r>
    </w:p>
    <w:p>
      <w:pPr>
        <w:pStyle w:val="yMiscellaneousHeading"/>
        <w:spacing w:after="120"/>
      </w:pPr>
      <w:r>
        <w:rPr>
          <w:rStyle w:val="CharSchText"/>
          <w:b/>
          <w:bCs/>
          <w:sz w:val="24"/>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5 amended in Gazette 10 Jan 1986 p. 150; 12 Jan 2007 p. 46.]</w:t>
      </w:r>
    </w:p>
    <w:p>
      <w:pPr>
        <w:pStyle w:val="yScheduleHeading"/>
      </w:pPr>
      <w:bookmarkStart w:id="203" w:name="_Toc146622533"/>
      <w:bookmarkStart w:id="204" w:name="_Toc146622632"/>
      <w:bookmarkStart w:id="205" w:name="_Toc146685607"/>
      <w:bookmarkStart w:id="206" w:name="_Toc155081283"/>
      <w:bookmarkStart w:id="207" w:name="_Toc155081537"/>
      <w:bookmarkStart w:id="208" w:name="_Toc156288273"/>
      <w:bookmarkStart w:id="209" w:name="_Toc156356813"/>
      <w:bookmarkStart w:id="210" w:name="_Toc156367131"/>
      <w:bookmarkStart w:id="211" w:name="_Toc156811167"/>
      <w:bookmarkStart w:id="212" w:name="_Toc158536348"/>
      <w:bookmarkStart w:id="213" w:name="_Toc159822507"/>
      <w:r>
        <w:rPr>
          <w:rStyle w:val="CharSchNo"/>
        </w:rPr>
        <w:t>Schedule 6</w:t>
      </w:r>
      <w:bookmarkEnd w:id="203"/>
      <w:bookmarkEnd w:id="204"/>
      <w:bookmarkEnd w:id="205"/>
      <w:bookmarkEnd w:id="206"/>
      <w:bookmarkEnd w:id="207"/>
      <w:bookmarkEnd w:id="208"/>
      <w:bookmarkEnd w:id="209"/>
      <w:bookmarkEnd w:id="210"/>
      <w:bookmarkEnd w:id="211"/>
      <w:bookmarkEnd w:id="212"/>
      <w:bookmarkEnd w:id="213"/>
    </w:p>
    <w:p>
      <w:pPr>
        <w:pStyle w:val="yShoulderClause"/>
      </w:pPr>
      <w:r>
        <w:t>[Reg. 19(4)]</w:t>
      </w:r>
    </w:p>
    <w:p>
      <w:pPr>
        <w:pStyle w:val="MiscellaneousHeading"/>
        <w:spacing w:after="60"/>
      </w:pPr>
      <w:r>
        <w:rPr>
          <w:rStyle w:val="CharSchText"/>
          <w:b/>
          <w:bCs/>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6 amended in Gazette 10 Jan 1986 p. 150; 12 Jan 2007 p. 46.]</w:t>
      </w:r>
    </w:p>
    <w:p>
      <w:pPr>
        <w:pStyle w:val="yScheduleHeading"/>
      </w:pPr>
      <w:bookmarkStart w:id="214" w:name="_Toc146622534"/>
      <w:bookmarkStart w:id="215" w:name="_Toc146622633"/>
      <w:bookmarkStart w:id="216" w:name="_Toc146685608"/>
      <w:bookmarkStart w:id="217" w:name="_Toc155081284"/>
      <w:bookmarkStart w:id="218" w:name="_Toc155081538"/>
      <w:bookmarkStart w:id="219" w:name="_Toc156288274"/>
      <w:bookmarkStart w:id="220" w:name="_Toc156356814"/>
      <w:bookmarkStart w:id="221" w:name="_Toc156367132"/>
      <w:bookmarkStart w:id="222" w:name="_Toc156811168"/>
      <w:bookmarkStart w:id="223" w:name="_Toc158536349"/>
      <w:bookmarkStart w:id="224" w:name="_Toc159822508"/>
      <w:r>
        <w:rPr>
          <w:rStyle w:val="CharSchNo"/>
        </w:rPr>
        <w:t>Schedule 7</w:t>
      </w:r>
      <w:bookmarkEnd w:id="214"/>
      <w:bookmarkEnd w:id="215"/>
      <w:bookmarkEnd w:id="216"/>
      <w:bookmarkEnd w:id="217"/>
      <w:bookmarkEnd w:id="218"/>
      <w:bookmarkEnd w:id="219"/>
      <w:bookmarkEnd w:id="220"/>
      <w:bookmarkEnd w:id="221"/>
      <w:bookmarkEnd w:id="222"/>
      <w:bookmarkEnd w:id="223"/>
      <w:bookmarkEnd w:id="224"/>
    </w:p>
    <w:p>
      <w:pPr>
        <w:pStyle w:val="yShoulderClause"/>
      </w:pPr>
      <w:r>
        <w:tab/>
        <w:t>[Reg. 24(1)(b)]</w:t>
      </w:r>
    </w:p>
    <w:p>
      <w:pPr>
        <w:pStyle w:val="yMiscellaneousHeading"/>
        <w:spacing w:after="120"/>
      </w:pPr>
      <w:r>
        <w:rPr>
          <w:rStyle w:val="CharSchText"/>
          <w:b/>
          <w:bCs/>
          <w:sz w:val="24"/>
        </w:rPr>
        <w:t xml:space="preserve">Print or type for use in documents under </w:t>
      </w:r>
      <w:r>
        <w:rPr>
          <w:rStyle w:val="CharSchText"/>
          <w:b/>
          <w:bCs/>
          <w:i/>
          <w:iCs/>
          <w:sz w:val="24"/>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w:t>
            </w:r>
            <w:r>
              <w:noBreakHyphen/>
              <w:t>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 in Gazette 10 Jan 1986 p. 150; 10 Oct 1986 p. 3875; 8 Oct 1993 p. 5437; 24 Mar 1995 p. 1092.]</w:t>
      </w:r>
    </w:p>
    <w:p>
      <w:pPr>
        <w:pStyle w:val="yScheduleHeading"/>
      </w:pPr>
      <w:bookmarkStart w:id="225" w:name="_Toc146622535"/>
      <w:bookmarkStart w:id="226" w:name="_Toc146622634"/>
      <w:bookmarkStart w:id="227" w:name="_Toc146685609"/>
      <w:bookmarkStart w:id="228" w:name="_Toc155081285"/>
      <w:bookmarkStart w:id="229" w:name="_Toc155081539"/>
      <w:bookmarkStart w:id="230" w:name="_Toc156288275"/>
      <w:bookmarkStart w:id="231" w:name="_Toc156356815"/>
      <w:bookmarkStart w:id="232" w:name="_Toc156367133"/>
      <w:bookmarkStart w:id="233" w:name="_Toc156811169"/>
      <w:bookmarkStart w:id="234" w:name="_Toc158536350"/>
      <w:bookmarkStart w:id="235" w:name="_Toc159822509"/>
      <w:r>
        <w:rPr>
          <w:rStyle w:val="CharSchNo"/>
        </w:rPr>
        <w:t>Schedule 8</w:t>
      </w:r>
      <w:r>
        <w:t> — </w:t>
      </w:r>
      <w:r>
        <w:rPr>
          <w:rStyle w:val="CharSchText"/>
        </w:rPr>
        <w:t>Prescribed offences and modified penalties</w:t>
      </w:r>
      <w:bookmarkEnd w:id="225"/>
      <w:bookmarkEnd w:id="226"/>
      <w:bookmarkEnd w:id="227"/>
      <w:bookmarkEnd w:id="228"/>
      <w:bookmarkEnd w:id="229"/>
      <w:bookmarkEnd w:id="230"/>
      <w:bookmarkEnd w:id="231"/>
      <w:bookmarkEnd w:id="232"/>
      <w:bookmarkEnd w:id="233"/>
      <w:bookmarkEnd w:id="234"/>
      <w:bookmarkEnd w:id="235"/>
    </w:p>
    <w:p>
      <w:pPr>
        <w:pStyle w:val="yShoulderClause"/>
      </w:pPr>
      <w:r>
        <w:t>[r. 29]</w:t>
      </w:r>
    </w:p>
    <w:p>
      <w:pPr>
        <w:pStyle w:val="yFootnoteheading"/>
        <w:spacing w:before="0"/>
      </w:pPr>
      <w:r>
        <w:tab/>
        <w:t>[Heading inserted in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spacing w:after="40"/>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spacing w:after="40"/>
            </w:pPr>
            <w:r>
              <w:rPr>
                <w:b/>
              </w:rPr>
              <w:t>Modified penalty</w:t>
            </w:r>
          </w:p>
        </w:tc>
      </w:tr>
      <w:tr>
        <w:trPr>
          <w:cantSplit/>
          <w:trHeight w:val="21"/>
        </w:trPr>
        <w:tc>
          <w:tcPr>
            <w:tcW w:w="1276" w:type="dxa"/>
          </w:tcPr>
          <w:p>
            <w:pPr>
              <w:pStyle w:val="yTable"/>
              <w:spacing w:after="40"/>
            </w:pPr>
            <w:r>
              <w:t>s. 32(1)</w:t>
            </w:r>
          </w:p>
        </w:tc>
        <w:tc>
          <w:tcPr>
            <w:tcW w:w="4487" w:type="dxa"/>
          </w:tcPr>
          <w:p>
            <w:pPr>
              <w:pStyle w:val="yTable"/>
              <w:spacing w:after="40"/>
            </w:pPr>
            <w:r>
              <w:t>Providing offer for signature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32(2)</w:t>
            </w:r>
          </w:p>
        </w:tc>
        <w:tc>
          <w:tcPr>
            <w:tcW w:w="4487" w:type="dxa"/>
          </w:tcPr>
          <w:p>
            <w:pPr>
              <w:pStyle w:val="yTable"/>
              <w:spacing w:after="40"/>
            </w:pPr>
            <w:r>
              <w:t>Giving offer to provide credit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32(3)</w:t>
            </w:r>
          </w:p>
        </w:tc>
        <w:tc>
          <w:tcPr>
            <w:tcW w:w="4487" w:type="dxa"/>
          </w:tcPr>
          <w:p>
            <w:pPr>
              <w:pStyle w:val="yTable"/>
              <w:spacing w:after="40"/>
            </w:pPr>
            <w:r>
              <w:t>Failing to provide certified copy of offer to credit provider ......................................................</w:t>
            </w:r>
          </w:p>
        </w:tc>
        <w:tc>
          <w:tcPr>
            <w:tcW w:w="992" w:type="dxa"/>
          </w:tcPr>
          <w:p>
            <w:pPr>
              <w:pStyle w:val="yTable"/>
              <w:spacing w:after="40"/>
            </w:pPr>
            <w:r>
              <w:br/>
              <w:t>$200</w:t>
            </w:r>
          </w:p>
        </w:tc>
      </w:tr>
      <w:tr>
        <w:trPr>
          <w:cantSplit/>
          <w:trHeight w:val="21"/>
        </w:trPr>
        <w:tc>
          <w:tcPr>
            <w:tcW w:w="1276" w:type="dxa"/>
          </w:tcPr>
          <w:p>
            <w:pPr>
              <w:pStyle w:val="yTable"/>
              <w:spacing w:after="40"/>
            </w:pPr>
            <w:r>
              <w:t>s. 32(4)</w:t>
            </w:r>
          </w:p>
        </w:tc>
        <w:tc>
          <w:tcPr>
            <w:tcW w:w="4487" w:type="dxa"/>
          </w:tcPr>
          <w:p>
            <w:pPr>
              <w:pStyle w:val="yTable"/>
              <w:spacing w:after="40"/>
            </w:pPr>
            <w:r>
              <w:t>Failing to provide certified copy of offer to provide credit ........................................................</w:t>
            </w:r>
          </w:p>
        </w:tc>
        <w:tc>
          <w:tcPr>
            <w:tcW w:w="992" w:type="dxa"/>
          </w:tcPr>
          <w:p>
            <w:pPr>
              <w:pStyle w:val="yTable"/>
              <w:spacing w:after="40"/>
            </w:pPr>
            <w:r>
              <w:br/>
              <w:t>$200</w:t>
            </w:r>
          </w:p>
        </w:tc>
      </w:tr>
      <w:tr>
        <w:trPr>
          <w:cantSplit/>
          <w:trHeight w:val="21"/>
        </w:trPr>
        <w:tc>
          <w:tcPr>
            <w:tcW w:w="1276" w:type="dxa"/>
          </w:tcPr>
          <w:p>
            <w:pPr>
              <w:pStyle w:val="yTable"/>
              <w:spacing w:after="40"/>
            </w:pPr>
            <w:r>
              <w:t>s. 33(1)</w:t>
            </w:r>
          </w:p>
        </w:tc>
        <w:tc>
          <w:tcPr>
            <w:tcW w:w="4487" w:type="dxa"/>
          </w:tcPr>
          <w:p>
            <w:pPr>
              <w:pStyle w:val="yTable"/>
              <w:spacing w:after="40"/>
            </w:pPr>
            <w:r>
              <w:t>Failing to provide copy of accepted offer ............</w:t>
            </w:r>
          </w:p>
        </w:tc>
        <w:tc>
          <w:tcPr>
            <w:tcW w:w="992" w:type="dxa"/>
          </w:tcPr>
          <w:p>
            <w:pPr>
              <w:pStyle w:val="yTable"/>
              <w:spacing w:after="40"/>
            </w:pPr>
            <w:r>
              <w:t>$400</w:t>
            </w:r>
          </w:p>
        </w:tc>
      </w:tr>
      <w:tr>
        <w:trPr>
          <w:cantSplit/>
          <w:trHeight w:val="21"/>
        </w:trPr>
        <w:tc>
          <w:tcPr>
            <w:tcW w:w="1276" w:type="dxa"/>
          </w:tcPr>
          <w:p>
            <w:pPr>
              <w:pStyle w:val="yTable"/>
              <w:spacing w:after="40"/>
            </w:pPr>
            <w:r>
              <w:t>s. 34(1)</w:t>
            </w:r>
          </w:p>
        </w:tc>
        <w:tc>
          <w:tcPr>
            <w:tcW w:w="4487" w:type="dxa"/>
          </w:tcPr>
          <w:p>
            <w:pPr>
              <w:pStyle w:val="yTable"/>
              <w:spacing w:after="40"/>
            </w:pPr>
            <w:r>
              <w:t>Failing to give prescribed statement to debtor under credit sale contract or loan contract ............</w:t>
            </w:r>
          </w:p>
        </w:tc>
        <w:tc>
          <w:tcPr>
            <w:tcW w:w="992" w:type="dxa"/>
          </w:tcPr>
          <w:p>
            <w:pPr>
              <w:pStyle w:val="yTable"/>
              <w:spacing w:after="40"/>
            </w:pPr>
            <w:r>
              <w:br/>
              <w:t>$400</w:t>
            </w:r>
          </w:p>
        </w:tc>
      </w:tr>
      <w:tr>
        <w:trPr>
          <w:cantSplit/>
          <w:trHeight w:val="21"/>
        </w:trPr>
        <w:tc>
          <w:tcPr>
            <w:tcW w:w="1276" w:type="dxa"/>
          </w:tcPr>
          <w:p>
            <w:pPr>
              <w:pStyle w:val="yTable"/>
              <w:spacing w:after="40"/>
            </w:pPr>
            <w:r>
              <w:t>s. 43</w:t>
            </w:r>
          </w:p>
        </w:tc>
        <w:tc>
          <w:tcPr>
            <w:tcW w:w="4487" w:type="dxa"/>
          </w:tcPr>
          <w:p>
            <w:pPr>
              <w:pStyle w:val="yTable"/>
              <w:spacing w:after="40"/>
            </w:pPr>
            <w:r>
              <w:t>Entering into a credit sales contract or loan contract that does not comply with Part III Division 1 .............................................................</w:t>
            </w:r>
          </w:p>
        </w:tc>
        <w:tc>
          <w:tcPr>
            <w:tcW w:w="992" w:type="dxa"/>
          </w:tcPr>
          <w:p>
            <w:pPr>
              <w:pStyle w:val="yTable"/>
              <w:spacing w:after="40"/>
            </w:pPr>
            <w:r>
              <w:br/>
            </w:r>
            <w:r>
              <w:br/>
              <w:t>$200</w:t>
            </w:r>
          </w:p>
        </w:tc>
      </w:tr>
      <w:tr>
        <w:trPr>
          <w:cantSplit/>
          <w:trHeight w:val="21"/>
        </w:trPr>
        <w:tc>
          <w:tcPr>
            <w:tcW w:w="1276" w:type="dxa"/>
          </w:tcPr>
          <w:p>
            <w:pPr>
              <w:pStyle w:val="yTable"/>
              <w:spacing w:after="40"/>
            </w:pPr>
            <w:r>
              <w:t>s. 44(2)</w:t>
            </w:r>
          </w:p>
        </w:tc>
        <w:tc>
          <w:tcPr>
            <w:tcW w:w="4487" w:type="dxa"/>
          </w:tcPr>
          <w:p>
            <w:pPr>
              <w:pStyle w:val="yTable"/>
              <w:spacing w:after="40"/>
            </w:pPr>
            <w:r>
              <w:t>Entering into contract with minimum credit charge in excess of specified amount ...................</w:t>
            </w:r>
          </w:p>
        </w:tc>
        <w:tc>
          <w:tcPr>
            <w:tcW w:w="992" w:type="dxa"/>
          </w:tcPr>
          <w:p>
            <w:pPr>
              <w:pStyle w:val="yTable"/>
              <w:spacing w:after="40"/>
            </w:pPr>
            <w:r>
              <w:br/>
              <w:t>$400</w:t>
            </w:r>
          </w:p>
        </w:tc>
      </w:tr>
      <w:tr>
        <w:trPr>
          <w:cantSplit/>
          <w:trHeight w:val="21"/>
        </w:trPr>
        <w:tc>
          <w:tcPr>
            <w:tcW w:w="1276" w:type="dxa"/>
          </w:tcPr>
          <w:p>
            <w:pPr>
              <w:pStyle w:val="yTable"/>
              <w:spacing w:after="40"/>
            </w:pPr>
            <w:r>
              <w:t>s. 58</w:t>
            </w:r>
          </w:p>
        </w:tc>
        <w:tc>
          <w:tcPr>
            <w:tcW w:w="4487" w:type="dxa"/>
          </w:tcPr>
          <w:p>
            <w:pPr>
              <w:pStyle w:val="yTable"/>
              <w:spacing w:after="40"/>
            </w:pPr>
            <w:r>
              <w:t>Failing to give prescribed statement to debtor under continuing credit contract ...........................</w:t>
            </w:r>
          </w:p>
        </w:tc>
        <w:tc>
          <w:tcPr>
            <w:tcW w:w="992" w:type="dxa"/>
          </w:tcPr>
          <w:p>
            <w:pPr>
              <w:pStyle w:val="yTable"/>
              <w:spacing w:after="40"/>
            </w:pPr>
            <w:r>
              <w:br/>
              <w:t>$400</w:t>
            </w:r>
          </w:p>
        </w:tc>
      </w:tr>
      <w:tr>
        <w:trPr>
          <w:cantSplit/>
          <w:trHeight w:val="21"/>
        </w:trPr>
        <w:tc>
          <w:tcPr>
            <w:tcW w:w="1276" w:type="dxa"/>
          </w:tcPr>
          <w:p>
            <w:pPr>
              <w:pStyle w:val="yTable"/>
              <w:spacing w:after="40"/>
            </w:pPr>
            <w:r>
              <w:t>s. 59(1)</w:t>
            </w:r>
          </w:p>
        </w:tc>
        <w:tc>
          <w:tcPr>
            <w:tcW w:w="4487" w:type="dxa"/>
          </w:tcPr>
          <w:p>
            <w:pPr>
              <w:pStyle w:val="yTable"/>
              <w:spacing w:after="40"/>
            </w:pPr>
            <w:r>
              <w:t>Failing to give notice of terms to debtor under continuing credit contract .....................................</w:t>
            </w:r>
          </w:p>
        </w:tc>
        <w:tc>
          <w:tcPr>
            <w:tcW w:w="992" w:type="dxa"/>
          </w:tcPr>
          <w:p>
            <w:pPr>
              <w:pStyle w:val="yTable"/>
              <w:spacing w:after="40"/>
            </w:pPr>
            <w:r>
              <w:br/>
              <w:t>$200</w:t>
            </w:r>
          </w:p>
        </w:tc>
      </w:tr>
      <w:tr>
        <w:trPr>
          <w:cantSplit/>
          <w:trHeight w:val="21"/>
        </w:trPr>
        <w:tc>
          <w:tcPr>
            <w:tcW w:w="1276" w:type="dxa"/>
          </w:tcPr>
          <w:p>
            <w:pPr>
              <w:pStyle w:val="yTable"/>
              <w:spacing w:after="40"/>
            </w:pPr>
            <w:r>
              <w:t>s. 75(3)</w:t>
            </w:r>
          </w:p>
        </w:tc>
        <w:tc>
          <w:tcPr>
            <w:tcW w:w="4487" w:type="dxa"/>
          </w:tcPr>
          <w:p>
            <w:pPr>
              <w:pStyle w:val="yTable"/>
              <w:spacing w:after="40"/>
            </w:pPr>
            <w:r>
              <w:t>Entering into agreement for debtor to pay unauthorised fees ..................................................</w:t>
            </w:r>
          </w:p>
        </w:tc>
        <w:tc>
          <w:tcPr>
            <w:tcW w:w="992" w:type="dxa"/>
          </w:tcPr>
          <w:p>
            <w:pPr>
              <w:pStyle w:val="yTable"/>
              <w:spacing w:after="40"/>
            </w:pPr>
            <w:r>
              <w:br/>
              <w:t>$400</w:t>
            </w:r>
          </w:p>
        </w:tc>
      </w:tr>
      <w:tr>
        <w:trPr>
          <w:cantSplit/>
          <w:trHeight w:val="21"/>
        </w:trPr>
        <w:tc>
          <w:tcPr>
            <w:tcW w:w="1276" w:type="dxa"/>
          </w:tcPr>
          <w:p>
            <w:pPr>
              <w:pStyle w:val="yTable"/>
              <w:spacing w:after="40"/>
            </w:pPr>
            <w:r>
              <w:t>s. 76(2)</w:t>
            </w:r>
          </w:p>
        </w:tc>
        <w:tc>
          <w:tcPr>
            <w:tcW w:w="4487" w:type="dxa"/>
          </w:tcPr>
          <w:p>
            <w:pPr>
              <w:pStyle w:val="yTable"/>
              <w:spacing w:after="40"/>
            </w:pPr>
            <w:r>
              <w:t>Entering into contract requiring debtor to pay unreasonable enforcement expenses ....................</w:t>
            </w:r>
          </w:p>
        </w:tc>
        <w:tc>
          <w:tcPr>
            <w:tcW w:w="992" w:type="dxa"/>
          </w:tcPr>
          <w:p>
            <w:pPr>
              <w:pStyle w:val="yTable"/>
              <w:spacing w:after="40"/>
            </w:pPr>
            <w:r>
              <w:br/>
              <w:t>$400</w:t>
            </w:r>
          </w:p>
        </w:tc>
      </w:tr>
      <w:tr>
        <w:trPr>
          <w:cantSplit/>
          <w:trHeight w:val="21"/>
        </w:trPr>
        <w:tc>
          <w:tcPr>
            <w:tcW w:w="1276" w:type="dxa"/>
          </w:tcPr>
          <w:p>
            <w:pPr>
              <w:pStyle w:val="yTable"/>
              <w:spacing w:after="40"/>
            </w:pPr>
            <w:r>
              <w:t>s. 77(2)</w:t>
            </w:r>
          </w:p>
        </w:tc>
        <w:tc>
          <w:tcPr>
            <w:tcW w:w="4487" w:type="dxa"/>
          </w:tcPr>
          <w:p>
            <w:pPr>
              <w:pStyle w:val="yTable"/>
              <w:spacing w:after="40"/>
            </w:pPr>
            <w:r>
              <w:t>Entering into agreement to remove, restrict or modify right to revoke offer .................................</w:t>
            </w:r>
          </w:p>
        </w:tc>
        <w:tc>
          <w:tcPr>
            <w:tcW w:w="992" w:type="dxa"/>
          </w:tcPr>
          <w:p>
            <w:pPr>
              <w:pStyle w:val="yTable"/>
              <w:spacing w:after="40"/>
            </w:pPr>
            <w:r>
              <w:br/>
              <w:t>$400</w:t>
            </w:r>
          </w:p>
        </w:tc>
      </w:tr>
      <w:tr>
        <w:trPr>
          <w:cantSplit/>
          <w:trHeight w:val="21"/>
        </w:trPr>
        <w:tc>
          <w:tcPr>
            <w:tcW w:w="1276" w:type="dxa"/>
            <w:tcBorders>
              <w:bottom w:val="single" w:sz="4" w:space="0" w:color="auto"/>
            </w:tcBorders>
          </w:tcPr>
          <w:p>
            <w:pPr>
              <w:pStyle w:val="yTable"/>
              <w:spacing w:after="40"/>
            </w:pPr>
            <w:r>
              <w:t>s. 130(2)(a)</w:t>
            </w:r>
          </w:p>
        </w:tc>
        <w:tc>
          <w:tcPr>
            <w:tcW w:w="4487" w:type="dxa"/>
            <w:tcBorders>
              <w:bottom w:val="single" w:sz="4" w:space="0" w:color="auto"/>
            </w:tcBorders>
          </w:tcPr>
          <w:p>
            <w:pPr>
              <w:pStyle w:val="yTable"/>
              <w:spacing w:after="40"/>
            </w:pPr>
            <w:r>
              <w:t>Failing to provide copy of insurance contract ......</w:t>
            </w:r>
          </w:p>
        </w:tc>
        <w:tc>
          <w:tcPr>
            <w:tcW w:w="992" w:type="dxa"/>
            <w:tcBorders>
              <w:bottom w:val="single" w:sz="4" w:space="0" w:color="auto"/>
            </w:tcBorders>
          </w:tcPr>
          <w:p>
            <w:pPr>
              <w:pStyle w:val="yTable"/>
              <w:spacing w:after="40"/>
            </w:pPr>
            <w:r>
              <w:t>$200</w:t>
            </w:r>
          </w:p>
        </w:tc>
      </w:tr>
    </w:tbl>
    <w:p>
      <w:pPr>
        <w:pStyle w:val="yFootnotesection"/>
      </w:pPr>
      <w:r>
        <w:tab/>
        <w:t>[Schedule 8 inserted in Gazette 22 Sep 2006 p. 4100</w:t>
      </w:r>
      <w:r>
        <w:noBreakHyphen/>
        <w:t>1.]</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236" w:name="_Toc92694238"/>
      <w:bookmarkStart w:id="237" w:name="_Toc92694280"/>
      <w:bookmarkStart w:id="238" w:name="_Toc92877463"/>
      <w:bookmarkStart w:id="239" w:name="_Toc146622536"/>
      <w:bookmarkStart w:id="240" w:name="_Toc146622635"/>
      <w:bookmarkStart w:id="241" w:name="_Toc146685610"/>
      <w:bookmarkStart w:id="242" w:name="_Toc155081286"/>
      <w:bookmarkStart w:id="243" w:name="_Toc155081540"/>
      <w:bookmarkStart w:id="244" w:name="_Toc156288276"/>
      <w:bookmarkStart w:id="245" w:name="_Toc156356816"/>
      <w:bookmarkStart w:id="246" w:name="_Toc156367134"/>
      <w:bookmarkStart w:id="247" w:name="_Toc156811170"/>
      <w:bookmarkStart w:id="248" w:name="_Toc158536351"/>
      <w:bookmarkStart w:id="249" w:name="_Toc159822510"/>
      <w:r>
        <w:t>Notes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reprint is a compilation as at 9 February 2007 of the </w:t>
      </w:r>
      <w:r>
        <w:rPr>
          <w:i/>
          <w:noProof/>
          <w:snapToGrid w:val="0"/>
        </w:rPr>
        <w:t>Credit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0" w:name="_Toc159822511"/>
      <w:r>
        <w:rPr>
          <w:snapToGrid w:val="0"/>
        </w:rPr>
        <w:t>Compilation table</w:t>
      </w:r>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47"/>
        <w:gridCol w:w="73"/>
        <w:gridCol w:w="2620"/>
      </w:tblGrid>
      <w:tr>
        <w:trPr>
          <w:cantSplit/>
          <w:tblHeader/>
        </w:trPr>
        <w:tc>
          <w:tcPr>
            <w:tcW w:w="314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320"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2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48" w:type="dxa"/>
            <w:gridSpan w:val="2"/>
            <w:tcBorders>
              <w:top w:val="single" w:sz="8" w:space="0" w:color="auto"/>
            </w:tcBorders>
          </w:tcPr>
          <w:p>
            <w:pPr>
              <w:pStyle w:val="nTable"/>
              <w:spacing w:after="40"/>
              <w:ind w:right="113"/>
              <w:rPr>
                <w:sz w:val="19"/>
              </w:rPr>
            </w:pPr>
            <w:r>
              <w:rPr>
                <w:i/>
                <w:sz w:val="19"/>
              </w:rPr>
              <w:t>Credit Regulations 1985</w:t>
            </w:r>
          </w:p>
        </w:tc>
        <w:tc>
          <w:tcPr>
            <w:tcW w:w="1320" w:type="dxa"/>
            <w:gridSpan w:val="2"/>
            <w:tcBorders>
              <w:top w:val="single" w:sz="8" w:space="0" w:color="auto"/>
            </w:tcBorders>
          </w:tcPr>
          <w:p>
            <w:pPr>
              <w:pStyle w:val="nTable"/>
              <w:spacing w:after="40"/>
              <w:rPr>
                <w:sz w:val="19"/>
              </w:rPr>
            </w:pPr>
            <w:r>
              <w:rPr>
                <w:sz w:val="19"/>
              </w:rPr>
              <w:t>8 </w:t>
            </w:r>
            <w:bookmarkStart w:id="251" w:name="UpToHere"/>
            <w:bookmarkEnd w:id="251"/>
            <w:r>
              <w:rPr>
                <w:sz w:val="19"/>
              </w:rPr>
              <w:t>Mar 1985 p. 876</w:t>
            </w:r>
            <w:r>
              <w:rPr>
                <w:sz w:val="19"/>
              </w:rPr>
              <w:noBreakHyphen/>
              <w:t>900</w:t>
            </w:r>
          </w:p>
        </w:tc>
        <w:tc>
          <w:tcPr>
            <w:tcW w:w="2620" w:type="dxa"/>
            <w:tcBorders>
              <w:top w:val="single" w:sz="8" w:space="0" w:color="auto"/>
            </w:tcBorders>
          </w:tcPr>
          <w:p>
            <w:pPr>
              <w:pStyle w:val="nTable"/>
              <w:spacing w:after="40"/>
              <w:rPr>
                <w:sz w:val="19"/>
              </w:rPr>
            </w:pPr>
            <w:r>
              <w:rPr>
                <w:sz w:val="19"/>
              </w:rPr>
              <w:t>31 Mar 1985 (see r. 2)</w:t>
            </w:r>
          </w:p>
        </w:tc>
      </w:tr>
      <w:tr>
        <w:trPr>
          <w:cantSplit/>
        </w:trPr>
        <w:tc>
          <w:tcPr>
            <w:tcW w:w="3148" w:type="dxa"/>
            <w:gridSpan w:val="2"/>
          </w:tcPr>
          <w:p>
            <w:pPr>
              <w:pStyle w:val="nTable"/>
              <w:spacing w:after="40"/>
              <w:ind w:right="113"/>
              <w:rPr>
                <w:sz w:val="19"/>
              </w:rPr>
            </w:pPr>
            <w:r>
              <w:rPr>
                <w:i/>
                <w:sz w:val="19"/>
              </w:rPr>
              <w:t>Credit Amendment Regulations 1985</w:t>
            </w:r>
          </w:p>
        </w:tc>
        <w:tc>
          <w:tcPr>
            <w:tcW w:w="1320" w:type="dxa"/>
            <w:gridSpan w:val="2"/>
          </w:tcPr>
          <w:p>
            <w:pPr>
              <w:pStyle w:val="nTable"/>
              <w:spacing w:after="40"/>
              <w:rPr>
                <w:sz w:val="19"/>
              </w:rPr>
            </w:pPr>
            <w:r>
              <w:rPr>
                <w:sz w:val="19"/>
              </w:rPr>
              <w:t>29 Mar 1985 p. 1143</w:t>
            </w:r>
          </w:p>
        </w:tc>
        <w:tc>
          <w:tcPr>
            <w:tcW w:w="2620" w:type="dxa"/>
          </w:tcPr>
          <w:p>
            <w:pPr>
              <w:pStyle w:val="nTable"/>
              <w:spacing w:after="40"/>
              <w:rPr>
                <w:sz w:val="19"/>
              </w:rPr>
            </w:pPr>
            <w:r>
              <w:rPr>
                <w:sz w:val="19"/>
              </w:rPr>
              <w:t>31 Mar 1985 (see r. 2)</w:t>
            </w:r>
          </w:p>
        </w:tc>
      </w:tr>
      <w:tr>
        <w:trPr>
          <w:cantSplit/>
        </w:trPr>
        <w:tc>
          <w:tcPr>
            <w:tcW w:w="3148" w:type="dxa"/>
            <w:gridSpan w:val="2"/>
          </w:tcPr>
          <w:p>
            <w:pPr>
              <w:pStyle w:val="nTable"/>
              <w:spacing w:after="40"/>
              <w:ind w:right="113"/>
              <w:rPr>
                <w:sz w:val="19"/>
              </w:rPr>
            </w:pPr>
            <w:r>
              <w:rPr>
                <w:i/>
                <w:sz w:val="19"/>
              </w:rPr>
              <w:t>Credit Amendment Regulations (No. 2) 1985</w:t>
            </w:r>
          </w:p>
        </w:tc>
        <w:tc>
          <w:tcPr>
            <w:tcW w:w="1320" w:type="dxa"/>
            <w:gridSpan w:val="2"/>
          </w:tcPr>
          <w:p>
            <w:pPr>
              <w:pStyle w:val="nTable"/>
              <w:spacing w:after="40"/>
              <w:rPr>
                <w:sz w:val="19"/>
              </w:rPr>
            </w:pPr>
            <w:r>
              <w:rPr>
                <w:sz w:val="19"/>
              </w:rPr>
              <w:t>10 Jan 1986 p. 137</w:t>
            </w:r>
            <w:r>
              <w:rPr>
                <w:sz w:val="19"/>
              </w:rPr>
              <w:noBreakHyphen/>
              <w:t>50</w:t>
            </w:r>
          </w:p>
        </w:tc>
        <w:tc>
          <w:tcPr>
            <w:tcW w:w="2620" w:type="dxa"/>
          </w:tcPr>
          <w:p>
            <w:pPr>
              <w:pStyle w:val="nTable"/>
              <w:spacing w:after="40"/>
              <w:rPr>
                <w:sz w:val="19"/>
              </w:rPr>
            </w:pPr>
            <w:r>
              <w:rPr>
                <w:sz w:val="19"/>
              </w:rPr>
              <w:t>10 Jan 1986</w:t>
            </w:r>
          </w:p>
        </w:tc>
      </w:tr>
      <w:tr>
        <w:trPr>
          <w:cantSplit/>
        </w:trPr>
        <w:tc>
          <w:tcPr>
            <w:tcW w:w="3148" w:type="dxa"/>
            <w:gridSpan w:val="2"/>
          </w:tcPr>
          <w:p>
            <w:pPr>
              <w:pStyle w:val="nTable"/>
              <w:spacing w:after="40"/>
              <w:ind w:right="113"/>
              <w:rPr>
                <w:sz w:val="19"/>
              </w:rPr>
            </w:pPr>
            <w:r>
              <w:rPr>
                <w:i/>
                <w:sz w:val="19"/>
              </w:rPr>
              <w:t>Credit Amendment Regulations 1986</w:t>
            </w:r>
          </w:p>
        </w:tc>
        <w:tc>
          <w:tcPr>
            <w:tcW w:w="1320" w:type="dxa"/>
            <w:gridSpan w:val="2"/>
          </w:tcPr>
          <w:p>
            <w:pPr>
              <w:pStyle w:val="nTable"/>
              <w:spacing w:after="40"/>
              <w:rPr>
                <w:sz w:val="19"/>
              </w:rPr>
            </w:pPr>
            <w:r>
              <w:rPr>
                <w:sz w:val="19"/>
              </w:rPr>
              <w:t>10 Oct 1986 p. 3874</w:t>
            </w:r>
            <w:r>
              <w:rPr>
                <w:sz w:val="19"/>
              </w:rPr>
              <w:noBreakHyphen/>
              <w:t>5</w:t>
            </w:r>
          </w:p>
        </w:tc>
        <w:tc>
          <w:tcPr>
            <w:tcW w:w="2620" w:type="dxa"/>
          </w:tcPr>
          <w:p>
            <w:pPr>
              <w:pStyle w:val="nTable"/>
              <w:spacing w:after="40"/>
              <w:rPr>
                <w:sz w:val="19"/>
              </w:rPr>
            </w:pPr>
            <w:r>
              <w:rPr>
                <w:sz w:val="19"/>
              </w:rPr>
              <w:t>10 Oct 1986</w:t>
            </w:r>
          </w:p>
        </w:tc>
      </w:tr>
      <w:tr>
        <w:trPr>
          <w:cantSplit/>
        </w:trPr>
        <w:tc>
          <w:tcPr>
            <w:tcW w:w="3148" w:type="dxa"/>
            <w:gridSpan w:val="2"/>
          </w:tcPr>
          <w:p>
            <w:pPr>
              <w:pStyle w:val="nTable"/>
              <w:spacing w:after="40"/>
              <w:ind w:right="113"/>
              <w:rPr>
                <w:sz w:val="19"/>
              </w:rPr>
            </w:pPr>
            <w:r>
              <w:rPr>
                <w:i/>
                <w:sz w:val="19"/>
              </w:rPr>
              <w:t>Credit Amendment Regulations 1988</w:t>
            </w:r>
          </w:p>
        </w:tc>
        <w:tc>
          <w:tcPr>
            <w:tcW w:w="1320" w:type="dxa"/>
            <w:gridSpan w:val="2"/>
          </w:tcPr>
          <w:p>
            <w:pPr>
              <w:pStyle w:val="nTable"/>
              <w:spacing w:after="40"/>
              <w:rPr>
                <w:sz w:val="19"/>
              </w:rPr>
            </w:pPr>
            <w:r>
              <w:rPr>
                <w:sz w:val="19"/>
              </w:rPr>
              <w:t>5 Aug 1988 p. 2630</w:t>
            </w:r>
          </w:p>
        </w:tc>
        <w:tc>
          <w:tcPr>
            <w:tcW w:w="2620" w:type="dxa"/>
          </w:tcPr>
          <w:p>
            <w:pPr>
              <w:pStyle w:val="nTable"/>
              <w:spacing w:after="40"/>
              <w:rPr>
                <w:sz w:val="19"/>
              </w:rPr>
            </w:pPr>
            <w:r>
              <w:rPr>
                <w:sz w:val="19"/>
              </w:rPr>
              <w:t>29 Aug 1988 (see r. 2)</w:t>
            </w:r>
          </w:p>
        </w:tc>
      </w:tr>
      <w:tr>
        <w:trPr>
          <w:cantSplit/>
        </w:trPr>
        <w:tc>
          <w:tcPr>
            <w:tcW w:w="3148" w:type="dxa"/>
            <w:gridSpan w:val="2"/>
          </w:tcPr>
          <w:p>
            <w:pPr>
              <w:pStyle w:val="nTable"/>
              <w:spacing w:after="40"/>
              <w:ind w:right="113"/>
              <w:rPr>
                <w:sz w:val="19"/>
              </w:rPr>
            </w:pPr>
            <w:r>
              <w:rPr>
                <w:i/>
                <w:sz w:val="19"/>
              </w:rPr>
              <w:t>Credit Amendment Regulations (No. 2) 1988</w:t>
            </w:r>
          </w:p>
        </w:tc>
        <w:tc>
          <w:tcPr>
            <w:tcW w:w="1320" w:type="dxa"/>
            <w:gridSpan w:val="2"/>
          </w:tcPr>
          <w:p>
            <w:pPr>
              <w:pStyle w:val="nTable"/>
              <w:spacing w:after="40"/>
              <w:rPr>
                <w:sz w:val="19"/>
              </w:rPr>
            </w:pPr>
            <w:r>
              <w:rPr>
                <w:sz w:val="19"/>
              </w:rPr>
              <w:t>25 Nov 1988 p. 4761</w:t>
            </w:r>
          </w:p>
        </w:tc>
        <w:tc>
          <w:tcPr>
            <w:tcW w:w="2620" w:type="dxa"/>
          </w:tcPr>
          <w:p>
            <w:pPr>
              <w:pStyle w:val="nTable"/>
              <w:spacing w:after="40"/>
              <w:rPr>
                <w:sz w:val="19"/>
              </w:rPr>
            </w:pPr>
            <w:r>
              <w:rPr>
                <w:sz w:val="19"/>
              </w:rPr>
              <w:t>25 Nov 1988</w:t>
            </w:r>
          </w:p>
        </w:tc>
      </w:tr>
      <w:tr>
        <w:trPr>
          <w:cantSplit/>
        </w:trPr>
        <w:tc>
          <w:tcPr>
            <w:tcW w:w="3148" w:type="dxa"/>
            <w:gridSpan w:val="2"/>
          </w:tcPr>
          <w:p>
            <w:pPr>
              <w:pStyle w:val="nTable"/>
              <w:spacing w:after="40"/>
              <w:ind w:right="113"/>
              <w:rPr>
                <w:sz w:val="19"/>
              </w:rPr>
            </w:pPr>
            <w:r>
              <w:rPr>
                <w:i/>
                <w:sz w:val="19"/>
              </w:rPr>
              <w:t>Credit Amendment Regulations 1993</w:t>
            </w:r>
          </w:p>
        </w:tc>
        <w:tc>
          <w:tcPr>
            <w:tcW w:w="1320" w:type="dxa"/>
            <w:gridSpan w:val="2"/>
          </w:tcPr>
          <w:p>
            <w:pPr>
              <w:pStyle w:val="nTable"/>
              <w:spacing w:after="40"/>
              <w:rPr>
                <w:sz w:val="19"/>
              </w:rPr>
            </w:pPr>
            <w:r>
              <w:rPr>
                <w:sz w:val="19"/>
              </w:rPr>
              <w:t>8 Oct 1993 p. 5437</w:t>
            </w:r>
          </w:p>
        </w:tc>
        <w:tc>
          <w:tcPr>
            <w:tcW w:w="2620" w:type="dxa"/>
          </w:tcPr>
          <w:p>
            <w:pPr>
              <w:pStyle w:val="nTable"/>
              <w:spacing w:after="40"/>
              <w:rPr>
                <w:sz w:val="19"/>
              </w:rPr>
            </w:pPr>
            <w:r>
              <w:rPr>
                <w:sz w:val="19"/>
              </w:rPr>
              <w:t>8 Oct 1993</w:t>
            </w:r>
          </w:p>
        </w:tc>
      </w:tr>
      <w:tr>
        <w:trPr>
          <w:cantSplit/>
        </w:trPr>
        <w:tc>
          <w:tcPr>
            <w:tcW w:w="3148" w:type="dxa"/>
            <w:gridSpan w:val="2"/>
          </w:tcPr>
          <w:p>
            <w:pPr>
              <w:pStyle w:val="nTable"/>
              <w:spacing w:after="40"/>
              <w:ind w:right="113"/>
              <w:rPr>
                <w:sz w:val="19"/>
              </w:rPr>
            </w:pPr>
            <w:r>
              <w:rPr>
                <w:i/>
                <w:sz w:val="19"/>
              </w:rPr>
              <w:t>Credit Amendment Regulations 1995</w:t>
            </w:r>
          </w:p>
        </w:tc>
        <w:tc>
          <w:tcPr>
            <w:tcW w:w="1320" w:type="dxa"/>
            <w:gridSpan w:val="2"/>
          </w:tcPr>
          <w:p>
            <w:pPr>
              <w:pStyle w:val="nTable"/>
              <w:spacing w:after="40"/>
              <w:rPr>
                <w:sz w:val="19"/>
              </w:rPr>
            </w:pPr>
            <w:r>
              <w:rPr>
                <w:sz w:val="19"/>
              </w:rPr>
              <w:t>24 Mar 1995 p. 1092</w:t>
            </w:r>
          </w:p>
        </w:tc>
        <w:tc>
          <w:tcPr>
            <w:tcW w:w="2620" w:type="dxa"/>
          </w:tcPr>
          <w:p>
            <w:pPr>
              <w:pStyle w:val="nTable"/>
              <w:spacing w:after="40"/>
              <w:rPr>
                <w:sz w:val="19"/>
              </w:rPr>
            </w:pPr>
            <w:r>
              <w:rPr>
                <w:sz w:val="19"/>
              </w:rPr>
              <w:t>24 Mar 1995</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C</w:t>
            </w:r>
            <w:r>
              <w:rPr>
                <w:b/>
                <w:bCs/>
                <w:i/>
                <w:sz w:val="19"/>
              </w:rPr>
              <w:t xml:space="preserve">redit Regulations 1985 </w:t>
            </w:r>
            <w:r>
              <w:rPr>
                <w:b/>
                <w:bCs/>
                <w:iCs/>
                <w:sz w:val="19"/>
              </w:rPr>
              <w:t>as</w:t>
            </w:r>
            <w:r>
              <w:rPr>
                <w:b/>
                <w:bCs/>
                <w:sz w:val="19"/>
              </w:rPr>
              <w:t xml:space="preserve"> at 28 Jul 2000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Credit Amendment Regulations 2004</w:t>
            </w:r>
          </w:p>
        </w:tc>
        <w:tc>
          <w:tcPr>
            <w:tcW w:w="1276" w:type="dxa"/>
            <w:gridSpan w:val="2"/>
          </w:tcPr>
          <w:p>
            <w:pPr>
              <w:pStyle w:val="nTable"/>
              <w:spacing w:after="40"/>
              <w:rPr>
                <w:sz w:val="19"/>
              </w:rPr>
            </w:pPr>
            <w:r>
              <w:rPr>
                <w:sz w:val="19"/>
              </w:rPr>
              <w:t>30 Dec 2004 p. 6914</w:t>
            </w:r>
          </w:p>
        </w:tc>
        <w:tc>
          <w:tcPr>
            <w:tcW w:w="2693"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Credit Amendment Regulations 2006</w:t>
            </w:r>
          </w:p>
        </w:tc>
        <w:tc>
          <w:tcPr>
            <w:tcW w:w="1276" w:type="dxa"/>
            <w:gridSpan w:val="2"/>
          </w:tcPr>
          <w:p>
            <w:pPr>
              <w:pStyle w:val="nTable"/>
              <w:spacing w:after="40"/>
              <w:rPr>
                <w:sz w:val="19"/>
              </w:rPr>
            </w:pPr>
            <w:r>
              <w:rPr>
                <w:sz w:val="19"/>
              </w:rPr>
              <w:t>22 Sep 2006 p. 4097</w:t>
            </w:r>
            <w:r>
              <w:rPr>
                <w:sz w:val="19"/>
              </w:rPr>
              <w:noBreakHyphen/>
              <w:t>101</w:t>
            </w:r>
          </w:p>
        </w:tc>
        <w:tc>
          <w:tcPr>
            <w:tcW w:w="2693" w:type="dxa"/>
            <w:gridSpan w:val="2"/>
          </w:tcPr>
          <w:p>
            <w:pPr>
              <w:pStyle w:val="nTable"/>
              <w:spacing w:after="40"/>
              <w:rPr>
                <w:sz w:val="19"/>
              </w:rPr>
            </w:pPr>
            <w:r>
              <w:rPr>
                <w:sz w:val="19"/>
              </w:rPr>
              <w:t>22 Sep 2006 (see r. 2(a))</w:t>
            </w:r>
          </w:p>
        </w:tc>
      </w:tr>
      <w:tr>
        <w:trPr>
          <w:cantSplit/>
        </w:trPr>
        <w:tc>
          <w:tcPr>
            <w:tcW w:w="3119" w:type="dxa"/>
          </w:tcPr>
          <w:p>
            <w:pPr>
              <w:pStyle w:val="nTable"/>
              <w:spacing w:after="40"/>
              <w:ind w:right="113"/>
              <w:rPr>
                <w:i/>
                <w:sz w:val="19"/>
              </w:rPr>
            </w:pPr>
            <w:r>
              <w:rPr>
                <w:i/>
                <w:sz w:val="19"/>
              </w:rPr>
              <w:t>Credit Amendment Regulations (No. 3) 2006</w:t>
            </w:r>
          </w:p>
        </w:tc>
        <w:tc>
          <w:tcPr>
            <w:tcW w:w="1276" w:type="dxa"/>
            <w:gridSpan w:val="2"/>
          </w:tcPr>
          <w:p>
            <w:pPr>
              <w:pStyle w:val="nTable"/>
              <w:spacing w:after="40"/>
              <w:rPr>
                <w:sz w:val="19"/>
              </w:rPr>
            </w:pPr>
            <w:r>
              <w:rPr>
                <w:sz w:val="19"/>
              </w:rPr>
              <w:t>22 Dec 2006 p. 5803</w:t>
            </w:r>
          </w:p>
        </w:tc>
        <w:tc>
          <w:tcPr>
            <w:tcW w:w="2693" w:type="dxa"/>
            <w:gridSpan w:val="2"/>
          </w:tcPr>
          <w:p>
            <w:pPr>
              <w:pStyle w:val="nTable"/>
              <w:spacing w:after="40"/>
              <w:rPr>
                <w:sz w:val="19"/>
              </w:rPr>
            </w:pPr>
            <w:r>
              <w:rPr>
                <w:sz w:val="19"/>
              </w:rPr>
              <w:t xml:space="preserve">1 Jan 2007 (see r. 2 and </w:t>
            </w:r>
            <w:r>
              <w:rPr>
                <w:i/>
                <w:iCs/>
                <w:sz w:val="19"/>
              </w:rPr>
              <w:t xml:space="preserve">Gazette </w:t>
            </w:r>
            <w:r>
              <w:rPr>
                <w:sz w:val="19"/>
              </w:rPr>
              <w:t>8 Dec 2006 p. 5369)</w:t>
            </w:r>
          </w:p>
        </w:tc>
      </w:tr>
      <w:tr>
        <w:trPr>
          <w:cantSplit/>
        </w:trPr>
        <w:tc>
          <w:tcPr>
            <w:tcW w:w="3119" w:type="dxa"/>
          </w:tcPr>
          <w:p>
            <w:pPr>
              <w:pStyle w:val="nTable"/>
              <w:spacing w:after="40"/>
              <w:ind w:right="113"/>
              <w:rPr>
                <w:i/>
                <w:sz w:val="19"/>
              </w:rPr>
            </w:pPr>
            <w:r>
              <w:rPr>
                <w:i/>
                <w:sz w:val="19"/>
              </w:rPr>
              <w:t>Credit Amendment Regulations (No. 2) 2006</w:t>
            </w:r>
          </w:p>
        </w:tc>
        <w:tc>
          <w:tcPr>
            <w:tcW w:w="1276" w:type="dxa"/>
            <w:gridSpan w:val="2"/>
          </w:tcPr>
          <w:p>
            <w:pPr>
              <w:pStyle w:val="nTable"/>
              <w:spacing w:after="40"/>
              <w:rPr>
                <w:sz w:val="19"/>
              </w:rPr>
            </w:pPr>
            <w:r>
              <w:rPr>
                <w:sz w:val="19"/>
              </w:rPr>
              <w:t>12 Jan 2007 p. 45</w:t>
            </w:r>
            <w:r>
              <w:rPr>
                <w:sz w:val="19"/>
              </w:rPr>
              <w:noBreakHyphen/>
              <w:t>6</w:t>
            </w:r>
          </w:p>
        </w:tc>
        <w:tc>
          <w:tcPr>
            <w:tcW w:w="2693" w:type="dxa"/>
            <w:gridSpan w:val="2"/>
          </w:tcPr>
          <w:p>
            <w:pPr>
              <w:pStyle w:val="nTable"/>
              <w:spacing w:after="40"/>
              <w:rPr>
                <w:sz w:val="19"/>
              </w:rPr>
            </w:pPr>
            <w:r>
              <w:rPr>
                <w:sz w:val="19"/>
              </w:rPr>
              <w:t>12 Jan 2007</w:t>
            </w:r>
          </w:p>
        </w:tc>
      </w:tr>
      <w:tr>
        <w:trPr>
          <w:cantSplit/>
        </w:trPr>
        <w:tc>
          <w:tcPr>
            <w:tcW w:w="7088" w:type="dxa"/>
            <w:gridSpan w:val="5"/>
            <w:tcBorders>
              <w:bottom w:val="single" w:sz="8" w:space="0" w:color="auto"/>
            </w:tcBorders>
          </w:tcPr>
          <w:p>
            <w:pPr>
              <w:pStyle w:val="nTable"/>
              <w:spacing w:after="40"/>
              <w:rPr>
                <w:sz w:val="19"/>
              </w:rPr>
            </w:pPr>
            <w:r>
              <w:rPr>
                <w:b/>
                <w:bCs/>
                <w:sz w:val="19"/>
              </w:rPr>
              <w:t xml:space="preserve">Reprint 2:  The </w:t>
            </w:r>
            <w:r>
              <w:rPr>
                <w:b/>
                <w:bCs/>
                <w:i/>
                <w:iCs/>
                <w:sz w:val="19"/>
              </w:rPr>
              <w:t>C</w:t>
            </w:r>
            <w:r>
              <w:rPr>
                <w:b/>
                <w:bCs/>
                <w:i/>
                <w:sz w:val="19"/>
              </w:rPr>
              <w:t xml:space="preserve">redit Regulations 1985 </w:t>
            </w:r>
            <w:r>
              <w:rPr>
                <w:b/>
                <w:bCs/>
                <w:iCs/>
                <w:sz w:val="19"/>
              </w:rPr>
              <w:t>as</w:t>
            </w:r>
            <w:r>
              <w:rPr>
                <w:b/>
                <w:bCs/>
                <w:sz w:val="19"/>
              </w:rPr>
              <w:t xml:space="preserve"> at 9 Feb 2007</w:t>
            </w:r>
            <w:r>
              <w:rPr>
                <w:sz w:val="19"/>
              </w:rPr>
              <w:t xml:space="preserve"> (includes amendments listed above)</w:t>
            </w:r>
          </w:p>
        </w:tc>
      </w:tr>
    </w:tbl>
    <w:p>
      <w:pPr>
        <w:pStyle w:val="nSubsection"/>
        <w:spacing w:before="160"/>
      </w:pPr>
      <w:r>
        <w:rPr>
          <w:vertAlign w:val="superscript"/>
        </w:rPr>
        <w:t>2</w:t>
      </w:r>
      <w:r>
        <w:tab/>
        <w:t xml:space="preserve">Repealed by the </w:t>
      </w:r>
      <w:r>
        <w:rPr>
          <w:i/>
        </w:rPr>
        <w:t>Fish Resources Management Act 1994</w:t>
      </w:r>
      <w:r>
        <w:t>.</w:t>
      </w:r>
    </w:p>
    <w:p>
      <w:pPr>
        <w:pStyle w:val="nSubsection"/>
        <w:spacing w:before="70"/>
      </w:pPr>
      <w:r>
        <w:rPr>
          <w:vertAlign w:val="superscript"/>
        </w:rPr>
        <w:t>3</w:t>
      </w:r>
      <w:r>
        <w:tab/>
        <w:t xml:space="preserve">As at the time of this reprint the person designated as the Commissioner for the purposes of the Act is known as the Commissioner for Consumer Protection (see </w:t>
      </w:r>
      <w:r>
        <w:rPr>
          <w:i/>
          <w:iCs/>
        </w:rPr>
        <w:t>Gazette</w:t>
      </w:r>
      <w:r>
        <w:t xml:space="preserve"> 18 August 2006 p. 3372). </w:t>
      </w:r>
    </w:p>
    <w:p>
      <w:pPr>
        <w:pStyle w:val="nSubsection"/>
      </w:pPr>
      <w:r>
        <w:rPr>
          <w:vertAlign w:val="superscript"/>
        </w:rPr>
        <w:t>4</w:t>
      </w:r>
      <w:r>
        <w:tab/>
        <w:t xml:space="preserve">Repealed by the </w:t>
      </w:r>
      <w:r>
        <w:rPr>
          <w:i/>
        </w:rPr>
        <w:t>Financial Institutions (Western Australia) Act 1992</w:t>
      </w:r>
      <w:r>
        <w:rPr>
          <w:iCs/>
        </w:rPr>
        <w:t>, which</w:t>
      </w:r>
      <w:r>
        <w:t xml:space="preserve"> was repealed by the </w:t>
      </w:r>
      <w:r>
        <w:rPr>
          <w:i/>
          <w:color w:val="000000"/>
        </w:rPr>
        <w:t>Acts Amendment and Repeal (Financial Sector Reform) Act 1999</w:t>
      </w:r>
      <w:r>
        <w: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Credit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D03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A05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B6B4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DAE8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AAB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30FD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D0DB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09E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106A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CF466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CEC8F3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52BF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oleObject" Target="embeddings/oleObject3.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5.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14569</Words>
  <Characters>75031</Characters>
  <Application>Microsoft Office Word</Application>
  <DocSecurity>0</DocSecurity>
  <Lines>2206</Lines>
  <Paragraphs>1518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1985 - 02-a0-06</dc:title>
  <dc:subject/>
  <dc:creator/>
  <cp:keywords/>
  <dc:description/>
  <cp:lastModifiedBy>svcMRProcess</cp:lastModifiedBy>
  <cp:revision>4</cp:revision>
  <cp:lastPrinted>2007-02-06T07:56:00Z</cp:lastPrinted>
  <dcterms:created xsi:type="dcterms:W3CDTF">2020-02-20T07:33:00Z</dcterms:created>
  <dcterms:modified xsi:type="dcterms:W3CDTF">2020-02-20T07:33:00Z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4380</vt:i4>
  </property>
  <property fmtid="{D5CDD505-2E9C-101B-9397-08002B2CF9AE}" pid="6" name="ReprintNo">
    <vt:lpwstr>2</vt:lpwstr>
  </property>
  <property fmtid="{D5CDD505-2E9C-101B-9397-08002B2CF9AE}" pid="7" name="AsAtDate">
    <vt:lpwstr>09 Feb 2007</vt:lpwstr>
  </property>
  <property fmtid="{D5CDD505-2E9C-101B-9397-08002B2CF9AE}" pid="8" name="Suffix">
    <vt:lpwstr>02-a0-06</vt:lpwstr>
  </property>
</Properties>
</file>