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and Health Services (Day Hospital Facility) Determination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and Health Services (Day Hospital Facility) Determination 2005</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_Toc419468705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Services that are “professional attention”</w:t>
      </w:r>
      <w:r>
        <w:tab/>
      </w:r>
      <w:r>
        <w:fldChar w:fldCharType="begin"/>
      </w:r>
      <w:r>
        <w:instrText xml:space="preserve"> PAGEREF _Toc419468706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Determinations revoked</w:t>
      </w:r>
      <w:r>
        <w:tab/>
      </w:r>
      <w:r>
        <w:fldChar w:fldCharType="begin"/>
      </w:r>
      <w:r>
        <w:instrText xml:space="preserve"> PAGEREF _Toc419468707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_Toc419468709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Hospitals and Health Services Act 1927</w:t>
      </w:r>
    </w:p>
    <w:p>
      <w:pPr>
        <w:pStyle w:val="NameofActReg"/>
      </w:pPr>
      <w:r>
        <w:t>Hospitals and Health Services (Day Hospital Facility) Determination 2005</w:t>
      </w:r>
    </w:p>
    <w:p>
      <w:pPr>
        <w:pStyle w:val="Heading5"/>
      </w:pPr>
      <w:bookmarkStart w:id="3" w:name="_Toc117415284"/>
      <w:bookmarkStart w:id="4" w:name="_Toc419468705"/>
      <w:r>
        <w:rPr>
          <w:rStyle w:val="CharSectno"/>
        </w:rPr>
        <w:t>1</w:t>
      </w:r>
      <w:r>
        <w:t>.</w:t>
      </w:r>
      <w:r>
        <w:tab/>
        <w:t>Citation</w:t>
      </w:r>
      <w:bookmarkEnd w:id="3"/>
      <w:bookmarkEnd w:id="4"/>
    </w:p>
    <w:p>
      <w:pPr>
        <w:pStyle w:val="Subsection"/>
        <w:rPr>
          <w:i/>
        </w:rPr>
      </w:pPr>
      <w:r>
        <w:tab/>
      </w:r>
      <w:r>
        <w:tab/>
      </w:r>
      <w:r>
        <w:rPr>
          <w:spacing w:val="-2"/>
        </w:rPr>
        <w:t>This</w:t>
      </w:r>
      <w:r>
        <w:t xml:space="preserve"> </w:t>
      </w:r>
      <w:r>
        <w:rPr>
          <w:spacing w:val="-2"/>
        </w:rPr>
        <w:t>determination</w:t>
      </w:r>
      <w:r>
        <w:t xml:space="preserve"> is the </w:t>
      </w:r>
      <w:r>
        <w:rPr>
          <w:i/>
        </w:rPr>
        <w:t>Hospitals and Health Services (Day Hospital Facility) Determination 2005</w:t>
      </w:r>
      <w:r>
        <w:t>.</w:t>
      </w:r>
    </w:p>
    <w:p>
      <w:pPr>
        <w:pStyle w:val="Heading5"/>
      </w:pPr>
      <w:bookmarkStart w:id="5" w:name="_Toc117415285"/>
      <w:bookmarkStart w:id="6" w:name="_Toc419468706"/>
      <w:r>
        <w:rPr>
          <w:rStyle w:val="CharSectno"/>
        </w:rPr>
        <w:t>2</w:t>
      </w:r>
      <w:r>
        <w:t>.</w:t>
      </w:r>
      <w:r>
        <w:tab/>
        <w:t>Services that are “professional attention”</w:t>
      </w:r>
      <w:bookmarkEnd w:id="5"/>
      <w:bookmarkEnd w:id="6"/>
    </w:p>
    <w:p>
      <w:pPr>
        <w:pStyle w:val="Subsection"/>
      </w:pPr>
      <w:r>
        <w:tab/>
        <w:t>(1)</w:t>
      </w:r>
      <w:r>
        <w:tab/>
        <w:t xml:space="preserve">The following professional medical services are determined to be professional attention for the purposes of the definition of “day hospital facility” in section 2(1) of the Act — </w:t>
      </w:r>
    </w:p>
    <w:p>
      <w:pPr>
        <w:pStyle w:val="Indenta"/>
      </w:pPr>
      <w:r>
        <w:tab/>
        <w:t>(a)</w:t>
      </w:r>
      <w:r>
        <w:tab/>
        <w:t xml:space="preserve">any procedure that involves the administration of a general, spinal or epidural anaesthetic; </w:t>
      </w:r>
    </w:p>
    <w:p>
      <w:pPr>
        <w:pStyle w:val="Indenta"/>
      </w:pPr>
      <w:r>
        <w:tab/>
        <w:t>(b)</w:t>
      </w:r>
      <w:r>
        <w:tab/>
        <w:t>any procedure performed under sedation, plexus blockade or Biers Block;</w:t>
      </w:r>
    </w:p>
    <w:p>
      <w:pPr>
        <w:pStyle w:val="Indenta"/>
      </w:pPr>
      <w:r>
        <w:tab/>
        <w:t>(c)</w:t>
      </w:r>
      <w:r>
        <w:tab/>
        <w:t xml:space="preserve">any procedure that involves the invasion of a sterile body cavity; </w:t>
      </w:r>
    </w:p>
    <w:p>
      <w:pPr>
        <w:pStyle w:val="Indenta"/>
      </w:pPr>
      <w:r>
        <w:tab/>
        <w:t>(d)</w:t>
      </w:r>
      <w:r>
        <w:tab/>
        <w:t>peritoneal dialysis and haemodialysis for the treatment of end stage renal failure.</w:t>
      </w:r>
    </w:p>
    <w:p>
      <w:pPr>
        <w:pStyle w:val="Subsection"/>
      </w:pPr>
      <w:r>
        <w:tab/>
        <w:t>(2)</w:t>
      </w:r>
      <w:r>
        <w:tab/>
        <w:t xml:space="preserve">In this clause — </w:t>
      </w:r>
    </w:p>
    <w:p>
      <w:pPr>
        <w:pStyle w:val="Defstart"/>
      </w:pPr>
      <w:r>
        <w:rPr>
          <w:b/>
        </w:rPr>
        <w:tab/>
      </w:r>
      <w:r>
        <w:rPr>
          <w:rStyle w:val="CharDefText"/>
        </w:rPr>
        <w:t>procedure</w:t>
      </w:r>
      <w:r>
        <w:t xml:space="preserve"> means an elective surgical or medical procedure.</w:t>
      </w:r>
    </w:p>
    <w:p>
      <w:pPr>
        <w:pStyle w:val="Heading5"/>
        <w:rPr>
          <w:snapToGrid w:val="0"/>
        </w:rPr>
      </w:pPr>
      <w:bookmarkStart w:id="7" w:name="_Toc423332724"/>
      <w:bookmarkStart w:id="8" w:name="_Toc425219443"/>
      <w:bookmarkStart w:id="9" w:name="_Toc426249310"/>
      <w:bookmarkStart w:id="10" w:name="_Toc449924706"/>
      <w:bookmarkStart w:id="11" w:name="_Toc449947724"/>
      <w:bookmarkStart w:id="12" w:name="_Toc454185715"/>
      <w:bookmarkStart w:id="13" w:name="_Toc515958688"/>
      <w:bookmarkStart w:id="14" w:name="_Toc117415286"/>
      <w:bookmarkStart w:id="15" w:name="_Toc419468707"/>
      <w:r>
        <w:rPr>
          <w:rStyle w:val="CharSectno"/>
        </w:rPr>
        <w:t>3</w:t>
      </w:r>
      <w:r>
        <w:rPr>
          <w:snapToGrid w:val="0"/>
        </w:rPr>
        <w:t>.</w:t>
      </w:r>
      <w:r>
        <w:rPr>
          <w:snapToGrid w:val="0"/>
        </w:rPr>
        <w:tab/>
        <w:t>Determinations revoked</w:t>
      </w:r>
      <w:bookmarkEnd w:id="7"/>
      <w:bookmarkEnd w:id="8"/>
      <w:bookmarkEnd w:id="9"/>
      <w:bookmarkEnd w:id="10"/>
      <w:bookmarkEnd w:id="11"/>
      <w:bookmarkEnd w:id="12"/>
      <w:bookmarkEnd w:id="13"/>
      <w:bookmarkEnd w:id="14"/>
      <w:bookmarkEnd w:id="15"/>
    </w:p>
    <w:p>
      <w:pPr>
        <w:pStyle w:val="Subsection"/>
        <w:keepNext/>
      </w:pPr>
      <w:r>
        <w:tab/>
      </w:r>
      <w:r>
        <w:tab/>
        <w:t>The following determinations are revoked —</w:t>
      </w:r>
    </w:p>
    <w:p>
      <w:pPr>
        <w:pStyle w:val="Indenta"/>
      </w:pPr>
      <w:r>
        <w:tab/>
        <w:t>(a)</w:t>
      </w:r>
      <w:r>
        <w:tab/>
        <w:t xml:space="preserve">Determination published in the </w:t>
      </w:r>
      <w:r>
        <w:rPr>
          <w:i/>
        </w:rPr>
        <w:t>Gazette</w:t>
      </w:r>
      <w:r>
        <w:t xml:space="preserve"> on 31 December 1993, p. 6887; </w:t>
      </w:r>
    </w:p>
    <w:p>
      <w:pPr>
        <w:pStyle w:val="Indenta"/>
      </w:pPr>
      <w:r>
        <w:tab/>
        <w:t>(b)</w:t>
      </w:r>
      <w:r>
        <w:tab/>
      </w:r>
      <w:r>
        <w:rPr>
          <w:i/>
        </w:rPr>
        <w:t xml:space="preserve">Hospitals and Health Services (Day Hospital Facility) Determination 2002 </w:t>
      </w:r>
      <w:r>
        <w:t xml:space="preserve">published in the </w:t>
      </w:r>
      <w:r>
        <w:rPr>
          <w:i/>
        </w:rPr>
        <w:t>Gazette</w:t>
      </w:r>
      <w:r>
        <w:t xml:space="preserve"> on 26 April 2002, p. 2167.</w:t>
      </w:r>
    </w:p>
    <w:p>
      <w:pPr>
        <w:sectPr>
          <w:headerReference w:type="even" r:id="rId21"/>
          <w:headerReference w:type="default" r:id="rId22"/>
          <w:headerReference w:type="first" r:id="rId23"/>
          <w:pgSz w:w="11907" w:h="16840" w:code="9"/>
          <w:pgMar w:top="2376" w:right="2404" w:bottom="3544" w:left="2404" w:header="720" w:footer="3380" w:gutter="0"/>
          <w:pgNumType w:start="1"/>
          <w:cols w:space="720"/>
          <w:noEndnote/>
          <w:titlePg/>
          <w:docGrid w:linePitch="326"/>
        </w:sectPr>
      </w:pPr>
    </w:p>
    <w:p>
      <w:pPr>
        <w:pStyle w:val="nHeading2"/>
      </w:pPr>
      <w:bookmarkStart w:id="16" w:name="_Toc113695922"/>
      <w:bookmarkStart w:id="17" w:name="_Toc117415140"/>
      <w:bookmarkStart w:id="18" w:name="_Toc117415287"/>
      <w:bookmarkStart w:id="19" w:name="_Toc419468708"/>
      <w:r>
        <w:t>Notes</w:t>
      </w:r>
      <w:bookmarkEnd w:id="16"/>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rPr>
        <w:t>Hospitals and Health Services (Day Hospital Facility) Determination 2005 </w:t>
      </w:r>
      <w:r>
        <w:rPr>
          <w:vertAlign w:val="superscript"/>
        </w:rPr>
        <w:t>1a</w:t>
      </w:r>
      <w:r>
        <w:rPr>
          <w:i/>
        </w:rPr>
        <w:t>.</w:t>
      </w:r>
      <w:r>
        <w:t xml:space="preserve">  </w:t>
      </w:r>
      <w:r>
        <w:rPr>
          <w:snapToGrid w:val="0"/>
        </w:rPr>
        <w:t>The following table contains information about that regulation.</w:t>
      </w:r>
    </w:p>
    <w:p>
      <w:pPr>
        <w:pStyle w:val="nHeading3"/>
      </w:pPr>
      <w:bookmarkStart w:id="20" w:name="_Toc117415288"/>
      <w:bookmarkStart w:id="21" w:name="_Toc419468709"/>
      <w:r>
        <w:t>Compilation table</w:t>
      </w:r>
      <w:bookmarkEnd w:id="20"/>
      <w:bookmarkEnd w:id="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Hospitals and Health Services (Day Hospital Facility) Determination 2005</w:t>
            </w:r>
          </w:p>
        </w:tc>
        <w:tc>
          <w:tcPr>
            <w:tcW w:w="1276" w:type="dxa"/>
            <w:tcBorders>
              <w:top w:val="single" w:sz="8" w:space="0" w:color="auto"/>
              <w:bottom w:val="single" w:sz="8" w:space="0" w:color="auto"/>
            </w:tcBorders>
          </w:tcPr>
          <w:p>
            <w:pPr>
              <w:pStyle w:val="nTable"/>
              <w:spacing w:after="40"/>
            </w:pPr>
            <w:r>
              <w:t>7 Oct 2005 p. 4482</w:t>
            </w:r>
          </w:p>
        </w:tc>
        <w:tc>
          <w:tcPr>
            <w:tcW w:w="2693" w:type="dxa"/>
            <w:tcBorders>
              <w:top w:val="single" w:sz="8" w:space="0" w:color="auto"/>
              <w:bottom w:val="single" w:sz="8" w:space="0" w:color="auto"/>
            </w:tcBorders>
          </w:tcPr>
          <w:p>
            <w:pPr>
              <w:pStyle w:val="nTable"/>
              <w:spacing w:after="40"/>
            </w:pPr>
            <w:r>
              <w:t>7 Oct 2005</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 w:name="_Toc402966387"/>
      <w:bookmarkStart w:id="23" w:name="_Toc436042042"/>
      <w:bookmarkStart w:id="24" w:name="_Toc452373592"/>
      <w:r>
        <w:rPr>
          <w:snapToGrid w:val="0"/>
        </w:rPr>
        <w:t>Provisions that have not come into operation</w:t>
      </w:r>
      <w:bookmarkEnd w:id="22"/>
      <w:bookmarkEnd w:id="23"/>
      <w:bookmarkEnd w:id="24"/>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308(a)</w:t>
            </w:r>
            <w:r>
              <w:rPr>
                <w:snapToGrid w:val="0"/>
                <w:vertAlign w:val="superscript"/>
              </w:rPr>
              <w:t> 2</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200"/>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308(a)</w:t>
      </w:r>
      <w:r>
        <w:rPr>
          <w:i/>
        </w:rPr>
        <w:t xml:space="preserve"> </w:t>
      </w:r>
      <w:r>
        <w:rPr>
          <w:snapToGrid w:val="0"/>
        </w:rPr>
        <w:t>had not come into operation.  It reads as follows:</w:t>
      </w:r>
    </w:p>
    <w:p>
      <w:pPr>
        <w:pStyle w:val="BlankOpen"/>
      </w:pPr>
    </w:p>
    <w:p>
      <w:pPr>
        <w:pStyle w:val="nzHeading5"/>
      </w:pPr>
      <w:bookmarkStart w:id="25" w:name="_Toc451509719"/>
      <w:r>
        <w:rPr>
          <w:rStyle w:val="CharSectno"/>
        </w:rPr>
        <w:t>308</w:t>
      </w:r>
      <w:r>
        <w:t>.</w:t>
      </w:r>
      <w:r>
        <w:tab/>
        <w:t>Determinations revoked</w:t>
      </w:r>
      <w:bookmarkEnd w:id="25"/>
    </w:p>
    <w:p>
      <w:pPr>
        <w:pStyle w:val="nzSubsection"/>
      </w:pPr>
      <w:r>
        <w:tab/>
      </w:r>
      <w:r>
        <w:tab/>
        <w:t>These determinations are revoked:</w:t>
      </w:r>
    </w:p>
    <w:p>
      <w:pPr>
        <w:pStyle w:val="nzIndenta"/>
      </w:pPr>
      <w:r>
        <w:tab/>
        <w:t>(a)</w:t>
      </w:r>
      <w:r>
        <w:tab/>
      </w:r>
      <w:r>
        <w:rPr>
          <w:i/>
        </w:rPr>
        <w:t>Hospitals and Health Services (Day Hospital Facility) Determination 2005</w:t>
      </w:r>
      <w:r>
        <w:t>;</w:t>
      </w:r>
    </w:p>
    <w:p>
      <w:pPr>
        <w:pStyle w:val="BlankClose"/>
        <w:rPr>
          <w:snapToGrid w:val="0"/>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and Health Services (Day Hospital Facility) Determination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(Day Hospital Facility) Determination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(Day Hospital Facility) Determination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and Health Services (Day Hospital Facility) Determination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and Health Services (Day Hospital Facility) Determination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(Day Hospital Facility) Determination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DC2DDC"/>
    <w:lvl w:ilvl="0">
      <w:start w:val="1"/>
      <w:numFmt w:val="decimal"/>
      <w:lvlText w:val="%1."/>
      <w:lvlJc w:val="left"/>
      <w:pPr>
        <w:tabs>
          <w:tab w:val="num" w:pos="1492"/>
        </w:tabs>
        <w:ind w:left="1492" w:hanging="360"/>
      </w:pPr>
    </w:lvl>
  </w:abstractNum>
  <w:abstractNum w:abstractNumId="1">
    <w:nsid w:val="FFFFFF7D"/>
    <w:multiLevelType w:val="singleLevel"/>
    <w:tmpl w:val="FD9E4596"/>
    <w:lvl w:ilvl="0">
      <w:start w:val="1"/>
      <w:numFmt w:val="decimal"/>
      <w:lvlText w:val="%1."/>
      <w:lvlJc w:val="left"/>
      <w:pPr>
        <w:tabs>
          <w:tab w:val="num" w:pos="1209"/>
        </w:tabs>
        <w:ind w:left="1209" w:hanging="360"/>
      </w:pPr>
    </w:lvl>
  </w:abstractNum>
  <w:abstractNum w:abstractNumId="2">
    <w:nsid w:val="FFFFFF7E"/>
    <w:multiLevelType w:val="singleLevel"/>
    <w:tmpl w:val="4100157C"/>
    <w:lvl w:ilvl="0">
      <w:start w:val="1"/>
      <w:numFmt w:val="decimal"/>
      <w:lvlText w:val="%1."/>
      <w:lvlJc w:val="left"/>
      <w:pPr>
        <w:tabs>
          <w:tab w:val="num" w:pos="926"/>
        </w:tabs>
        <w:ind w:left="926" w:hanging="360"/>
      </w:pPr>
    </w:lvl>
  </w:abstractNum>
  <w:abstractNum w:abstractNumId="3">
    <w:nsid w:val="FFFFFF7F"/>
    <w:multiLevelType w:val="singleLevel"/>
    <w:tmpl w:val="03BEEE28"/>
    <w:lvl w:ilvl="0">
      <w:start w:val="1"/>
      <w:numFmt w:val="decimal"/>
      <w:lvlText w:val="%1."/>
      <w:lvlJc w:val="left"/>
      <w:pPr>
        <w:tabs>
          <w:tab w:val="num" w:pos="643"/>
        </w:tabs>
        <w:ind w:left="643" w:hanging="360"/>
      </w:pPr>
    </w:lvl>
  </w:abstractNum>
  <w:abstractNum w:abstractNumId="4">
    <w:nsid w:val="FFFFFF80"/>
    <w:multiLevelType w:val="singleLevel"/>
    <w:tmpl w:val="2B604F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56B5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F428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A673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64101E"/>
    <w:lvl w:ilvl="0">
      <w:start w:val="1"/>
      <w:numFmt w:val="decimal"/>
      <w:lvlText w:val="%1."/>
      <w:lvlJc w:val="left"/>
      <w:pPr>
        <w:tabs>
          <w:tab w:val="num" w:pos="360"/>
        </w:tabs>
        <w:ind w:left="360" w:hanging="360"/>
      </w:pPr>
    </w:lvl>
  </w:abstractNum>
  <w:abstractNum w:abstractNumId="9">
    <w:nsid w:val="FFFFFF89"/>
    <w:multiLevelType w:val="singleLevel"/>
    <w:tmpl w:val="D3C6F40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7E2A0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85851"/>
    <w:docVar w:name="WAFER_20150515153151" w:val="ResetPageSize,UpdateArrangement,UpdateNTable"/>
    <w:docVar w:name="WAFER_20150515153151_GUID" w:val="a3040ba0-7be8-43f4-887c-ac34a5aafd45"/>
    <w:docVar w:name="WAFER_20151106085851" w:val="UpdateStyles,UsedStyles"/>
    <w:docVar w:name="WAFER_20151106085851_GUID" w:val="1979b7fd-2f00-4191-8092-0b7f248c5a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paragraph" w:customStyle="1" w:styleId="Defstart">
    <w:name w:val="Defstart"/>
    <w:pPr>
      <w:spacing w:before="80" w:line="260" w:lineRule="atLeast"/>
      <w:ind w:left="879" w:hanging="879"/>
    </w:pPr>
    <w:rPr>
      <w:snapToGrid w:val="0"/>
      <w:sz w:val="24"/>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link w:val="HeaderChar"/>
    <w:rPr>
      <w:rFonts w:ascii="Arial" w:hAnsi="Arial"/>
      <w:noProof/>
    </w:rPr>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paragraph" w:customStyle="1" w:styleId="Defstart">
    <w:name w:val="Defstart"/>
    <w:pPr>
      <w:spacing w:before="80" w:line="260" w:lineRule="atLeast"/>
      <w:ind w:left="879" w:hanging="879"/>
    </w:pPr>
    <w:rPr>
      <w:snapToGrid w:val="0"/>
      <w:sz w:val="24"/>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link w:val="HeaderChar"/>
    <w:rPr>
      <w:rFonts w:ascii="Arial" w:hAnsi="Arial"/>
      <w:noProof/>
    </w:rPr>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472</Words>
  <Characters>2662</Characters>
  <Application>Microsoft Office Word</Application>
  <DocSecurity>0</DocSecurity>
  <Lines>102</Lines>
  <Paragraphs>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(Day Hospital Facility) Determination 2005 - 00-b0-00</dc:title>
  <dc:subject/>
  <dc:creator/>
  <cp:keywords/>
  <dc:description/>
  <cp:lastModifiedBy>svcMRProcess</cp:lastModifiedBy>
  <cp:revision>4</cp:revision>
  <dcterms:created xsi:type="dcterms:W3CDTF">2016-06-01T08:58:00Z</dcterms:created>
  <dcterms:modified xsi:type="dcterms:W3CDTF">2016-06-01T08:58:00Z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Oct 2005 p 4482</vt:lpwstr>
  </property>
  <property fmtid="{D5CDD505-2E9C-101B-9397-08002B2CF9AE}" pid="3" name="CommencementDate">
    <vt:lpwstr>20160526</vt:lpwstr>
  </property>
  <property fmtid="{D5CDD505-2E9C-101B-9397-08002B2CF9AE}" pid="4" name="DocumentType">
    <vt:lpwstr>Reg</vt:lpwstr>
  </property>
  <property fmtid="{D5CDD505-2E9C-101B-9397-08002B2CF9AE}" pid="5" name="AsAtDate">
    <vt:lpwstr>26 May 2016</vt:lpwstr>
  </property>
  <property fmtid="{D5CDD505-2E9C-101B-9397-08002B2CF9AE}" pid="6" name="Suffix">
    <vt:lpwstr>00-b0-00</vt:lpwstr>
  </property>
</Properties>
</file>