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Queen Elizabeth II Medical Centre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_Toc418765026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_Toc418765027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_Toc418765028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_Toc418765029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_Toc418765030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_Toc418765032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_Toc418765033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_Toc418765034 \h </w:instrText>
      </w:r>
      <w:r>
        <w:fldChar w:fldCharType="separate"/>
      </w:r>
      <w:r>
        <w:t>4</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_Toc418765035 \h </w:instrText>
      </w:r>
      <w:r>
        <w:fldChar w:fldCharType="separate"/>
      </w:r>
      <w:r>
        <w:t>4</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_Toc418765036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_Toc418765037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_Toc418765038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_Toc418765039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_Toc418765040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_Toc418765041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_Toc418765042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_Toc418765043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_Toc418765044 \h </w:instrText>
      </w:r>
      <w:r>
        <w:fldChar w:fldCharType="separate"/>
      </w:r>
      <w:r>
        <w:t>8</w:t>
      </w:r>
      <w:r>
        <w:fldChar w:fldCharType="end"/>
      </w:r>
    </w:p>
    <w:p>
      <w:pPr>
        <w:pStyle w:val="TOC8"/>
        <w:rPr>
          <w:rFonts w:asciiTheme="minorHAnsi" w:eastAsiaTheme="minorEastAsia" w:hAnsiTheme="minorHAnsi" w:cstheme="minorBidi"/>
          <w:szCs w:val="22"/>
        </w:rPr>
      </w:pPr>
      <w:r>
        <w:t>16A.</w:t>
      </w:r>
      <w:r>
        <w:tab/>
        <w:t>Persons may be directed to leave site</w:t>
      </w:r>
      <w:r>
        <w:tab/>
      </w:r>
      <w:r>
        <w:fldChar w:fldCharType="begin"/>
      </w:r>
      <w:r>
        <w:instrText xml:space="preserve"> PAGEREF _Toc418765045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_Toc418765048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Driver to obey reasonable direction</w:t>
      </w:r>
      <w:r>
        <w:tab/>
      </w:r>
      <w:r>
        <w:fldChar w:fldCharType="begin"/>
      </w:r>
      <w:r>
        <w:instrText xml:space="preserve"> PAGEREF _Toc418765049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_Toc418765050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_Toc418765051 \h </w:instrText>
      </w:r>
      <w:r>
        <w:fldChar w:fldCharType="separate"/>
      </w:r>
      <w:r>
        <w:t>10</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_Toc418765052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_Toc418765053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_Toc418765054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_Toc418765056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_Toc418765057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_Toc418765058 \h </w:instrText>
      </w:r>
      <w:r>
        <w:fldChar w:fldCharType="separate"/>
      </w:r>
      <w:r>
        <w:t>12</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_Toc418765059 \h </w:instrText>
      </w:r>
      <w:r>
        <w:fldChar w:fldCharType="separate"/>
      </w:r>
      <w:r>
        <w:t>13</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_Toc418765060 \h </w:instrText>
      </w:r>
      <w:r>
        <w:fldChar w:fldCharType="separate"/>
      </w:r>
      <w:r>
        <w:t>13</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_Toc418765061 \h </w:instrText>
      </w:r>
      <w:r>
        <w:fldChar w:fldCharType="separate"/>
      </w:r>
      <w:r>
        <w:t>14</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_Toc418765062 \h </w:instrText>
      </w:r>
      <w:r>
        <w:fldChar w:fldCharType="separate"/>
      </w:r>
      <w:r>
        <w:t>15</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_Toc418765063 \h </w:instrText>
      </w:r>
      <w:r>
        <w:fldChar w:fldCharType="separate"/>
      </w:r>
      <w:r>
        <w:t>15</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_Toc418765064 \h </w:instrText>
      </w:r>
      <w:r>
        <w:fldChar w:fldCharType="separate"/>
      </w:r>
      <w:r>
        <w:t>16</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_Toc418765065 \h </w:instrText>
      </w:r>
      <w:r>
        <w:fldChar w:fldCharType="separate"/>
      </w:r>
      <w:r>
        <w:t>17</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_Toc418765066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_Toc418765068 \h </w:instrText>
      </w:r>
      <w:r>
        <w:fldChar w:fldCharType="separate"/>
      </w:r>
      <w:r>
        <w:t>19</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_Toc418765069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_Toc418765070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_Toc418765071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_Toc418765072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_Toc418765073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_Toc418765074 \h </w:instrText>
      </w:r>
      <w:r>
        <w:fldChar w:fldCharType="separate"/>
      </w:r>
      <w:r>
        <w:t>21</w:t>
      </w:r>
      <w:r>
        <w:fldChar w:fldCharType="end"/>
      </w:r>
    </w:p>
    <w:p>
      <w:pPr>
        <w:pStyle w:val="TOC8"/>
        <w:rPr>
          <w:rFonts w:asciiTheme="minorHAnsi" w:eastAsiaTheme="minorEastAsia" w:hAnsiTheme="minorHAnsi" w:cstheme="minorBidi"/>
          <w:szCs w:val="22"/>
        </w:rPr>
      </w:pPr>
      <w:r>
        <w:t>33A.</w:t>
      </w:r>
      <w:r>
        <w:tab/>
        <w:t>Authorised persons to produce certificate</w:t>
      </w:r>
      <w:r>
        <w:tab/>
      </w:r>
      <w:r>
        <w:fldChar w:fldCharType="begin"/>
      </w:r>
      <w:r>
        <w:instrText xml:space="preserve"> PAGEREF _Toc418765075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_Toc418765076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_Toc418765077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Responsible person may be treated as driver or person in charge of vehicle</w:t>
      </w:r>
      <w:r>
        <w:tab/>
      </w:r>
      <w:r>
        <w:fldChar w:fldCharType="begin"/>
      </w:r>
      <w:r>
        <w:instrText xml:space="preserve"> PAGEREF _Toc418765079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_Toc418765080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_Toc418765086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3" w:name="_Toc391651376"/>
      <w:bookmarkStart w:id="4" w:name="_Toc411343172"/>
      <w:bookmarkStart w:id="5" w:name="_Toc416945863"/>
      <w:bookmarkStart w:id="6" w:name="_Toc416945924"/>
      <w:bookmarkStart w:id="7" w:name="_Toc417653102"/>
      <w:bookmarkStart w:id="8" w:name="_Toc418764782"/>
      <w:bookmarkStart w:id="9" w:name="_Toc418764962"/>
      <w:bookmarkStart w:id="10" w:name="_Toc41876502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1343173"/>
      <w:bookmarkStart w:id="12" w:name="_Toc418765026"/>
      <w:r>
        <w:rPr>
          <w:rStyle w:val="CharSectno"/>
        </w:rPr>
        <w:t>1</w:t>
      </w:r>
      <w:r>
        <w:rPr>
          <w:snapToGrid w:val="0"/>
        </w:rPr>
        <w:t>.</w:t>
      </w:r>
      <w:r>
        <w:rPr>
          <w:snapToGrid w:val="0"/>
        </w:rPr>
        <w:tab/>
        <w:t>Citation</w:t>
      </w:r>
      <w:bookmarkEnd w:id="11"/>
      <w:bookmarkEnd w:id="12"/>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13" w:name="_Toc411343174"/>
      <w:bookmarkStart w:id="14" w:name="_Toc418765027"/>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5" w:name="_Toc411343175"/>
      <w:bookmarkStart w:id="16" w:name="_Toc418765028"/>
      <w:r>
        <w:rPr>
          <w:rStyle w:val="CharSectno"/>
        </w:rPr>
        <w:t>3</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in Gazette 29 Jun 2001 p. 3112; 22 Jun 2010 p. 2772; 10 Feb 2015 p. 618.]</w:t>
      </w:r>
    </w:p>
    <w:p>
      <w:pPr>
        <w:pStyle w:val="Heading5"/>
      </w:pPr>
      <w:bookmarkStart w:id="17" w:name="_Toc411343176"/>
      <w:bookmarkStart w:id="18" w:name="_Toc418765029"/>
      <w:r>
        <w:rPr>
          <w:rStyle w:val="CharSectno"/>
        </w:rPr>
        <w:t>3A</w:t>
      </w:r>
      <w:r>
        <w:t>.</w:t>
      </w:r>
      <w:r>
        <w:tab/>
        <w:t>Authorised persons</w:t>
      </w:r>
      <w:bookmarkEnd w:id="17"/>
      <w:bookmarkEnd w:id="18"/>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in Gazette 29 Jun 2001 p. 3112; amended in Gazette 8 May 2015 p. 1620.]</w:t>
      </w:r>
    </w:p>
    <w:p>
      <w:pPr>
        <w:pStyle w:val="Heading5"/>
      </w:pPr>
      <w:bookmarkStart w:id="19" w:name="_Toc411343177"/>
      <w:bookmarkStart w:id="20" w:name="_Toc418765030"/>
      <w:r>
        <w:rPr>
          <w:rStyle w:val="CharSectno"/>
        </w:rPr>
        <w:t>3B</w:t>
      </w:r>
      <w:r>
        <w:t>.</w:t>
      </w:r>
      <w:r>
        <w:tab/>
        <w:t>Delegation</w:t>
      </w:r>
      <w:bookmarkEnd w:id="19"/>
      <w:bookmarkEnd w:id="20"/>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21" w:name="_Toc391651382"/>
      <w:bookmarkStart w:id="22" w:name="_Toc411343178"/>
      <w:bookmarkStart w:id="23" w:name="_Toc416945869"/>
      <w:bookmarkStart w:id="24" w:name="_Toc416945930"/>
      <w:bookmarkStart w:id="25" w:name="_Toc417653108"/>
      <w:bookmarkStart w:id="26" w:name="_Toc418764788"/>
      <w:bookmarkStart w:id="27" w:name="_Toc418764968"/>
      <w:bookmarkStart w:id="28" w:name="_Toc418765031"/>
      <w:r>
        <w:rPr>
          <w:rStyle w:val="CharPartNo"/>
        </w:rPr>
        <w:t>Part II</w:t>
      </w:r>
      <w:r>
        <w:rPr>
          <w:rStyle w:val="CharDivNo"/>
        </w:rPr>
        <w:t> </w:t>
      </w:r>
      <w:r>
        <w:t>—</w:t>
      </w:r>
      <w:r>
        <w:rPr>
          <w:rStyle w:val="CharDivText"/>
        </w:rPr>
        <w:t> </w:t>
      </w:r>
      <w:r>
        <w:rPr>
          <w:rStyle w:val="CharPartText"/>
        </w:rPr>
        <w:t>Grounds</w:t>
      </w:r>
      <w:bookmarkEnd w:id="21"/>
      <w:bookmarkEnd w:id="22"/>
      <w:bookmarkEnd w:id="23"/>
      <w:bookmarkEnd w:id="24"/>
      <w:bookmarkEnd w:id="25"/>
      <w:bookmarkEnd w:id="26"/>
      <w:bookmarkEnd w:id="27"/>
      <w:bookmarkEnd w:id="28"/>
      <w:r>
        <w:rPr>
          <w:rStyle w:val="CharPartText"/>
        </w:rPr>
        <w:t xml:space="preserve"> </w:t>
      </w:r>
    </w:p>
    <w:p>
      <w:pPr>
        <w:pStyle w:val="Heading5"/>
      </w:pPr>
      <w:bookmarkStart w:id="29" w:name="_Toc418765032"/>
      <w:bookmarkStart w:id="30" w:name="_Toc411343179"/>
      <w:r>
        <w:rPr>
          <w:rStyle w:val="CharSectno"/>
        </w:rPr>
        <w:t>4</w:t>
      </w:r>
      <w:r>
        <w:t>.</w:t>
      </w:r>
      <w:r>
        <w:tab/>
        <w:t>No entry without cause</w:t>
      </w:r>
      <w:bookmarkEnd w:id="29"/>
    </w:p>
    <w:p>
      <w:pPr>
        <w:pStyle w:val="Subsection"/>
      </w:pPr>
      <w:r>
        <w:tab/>
      </w:r>
      <w:r>
        <w:tab/>
        <w:t>A person who enters or remains on the site without a reasonable excuse commits an offence.</w:t>
      </w:r>
    </w:p>
    <w:p>
      <w:pPr>
        <w:pStyle w:val="Footnotesection"/>
      </w:pPr>
      <w:r>
        <w:tab/>
        <w:t>[By-law 4 inserted in Gazette 8 May 2015 p. 1620.]</w:t>
      </w:r>
    </w:p>
    <w:p>
      <w:pPr>
        <w:pStyle w:val="Heading5"/>
        <w:rPr>
          <w:snapToGrid w:val="0"/>
        </w:rPr>
      </w:pPr>
      <w:bookmarkStart w:id="31" w:name="_Toc411343180"/>
      <w:bookmarkStart w:id="32" w:name="_Toc418765033"/>
      <w:bookmarkEnd w:id="30"/>
      <w:r>
        <w:rPr>
          <w:rStyle w:val="CharSectno"/>
        </w:rPr>
        <w:t>5</w:t>
      </w:r>
      <w:r>
        <w:rPr>
          <w:snapToGrid w:val="0"/>
        </w:rPr>
        <w:t>.</w:t>
      </w:r>
      <w:r>
        <w:rPr>
          <w:snapToGrid w:val="0"/>
        </w:rPr>
        <w:tab/>
        <w:t>Bill sticking</w:t>
      </w:r>
      <w:bookmarkEnd w:id="31"/>
      <w:bookmarkEnd w:id="3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33" w:name="_Toc411343181"/>
      <w:bookmarkStart w:id="34" w:name="_Toc418765034"/>
      <w:r>
        <w:rPr>
          <w:rStyle w:val="CharSectno"/>
        </w:rPr>
        <w:t>6</w:t>
      </w:r>
      <w:r>
        <w:rPr>
          <w:snapToGrid w:val="0"/>
        </w:rPr>
        <w:t>.</w:t>
      </w:r>
      <w:r>
        <w:rPr>
          <w:snapToGrid w:val="0"/>
        </w:rPr>
        <w:tab/>
        <w:t>Litter</w:t>
      </w:r>
      <w:bookmarkEnd w:id="33"/>
      <w:bookmarkEnd w:id="34"/>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35" w:name="_Toc418765035"/>
      <w:bookmarkStart w:id="36" w:name="_Toc411343182"/>
      <w:r>
        <w:rPr>
          <w:rStyle w:val="CharSectno"/>
        </w:rPr>
        <w:t>7</w:t>
      </w:r>
      <w:r>
        <w:t>.</w:t>
      </w:r>
      <w:r>
        <w:tab/>
        <w:t>Prohibited items</w:t>
      </w:r>
      <w:bookmarkEnd w:id="35"/>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in Gazette 8 May 2015 p. 1620.]</w:t>
      </w:r>
    </w:p>
    <w:p>
      <w:pPr>
        <w:pStyle w:val="Heading5"/>
      </w:pPr>
      <w:bookmarkStart w:id="37" w:name="_Toc411343183"/>
      <w:bookmarkStart w:id="38" w:name="_Toc418765036"/>
      <w:bookmarkEnd w:id="36"/>
      <w:r>
        <w:rPr>
          <w:rStyle w:val="CharSectno"/>
        </w:rPr>
        <w:t>8A</w:t>
      </w:r>
      <w:r>
        <w:t>.</w:t>
      </w:r>
      <w:r>
        <w:tab/>
        <w:t>Smoking</w:t>
      </w:r>
      <w:bookmarkEnd w:id="37"/>
      <w:bookmarkEnd w:id="38"/>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39" w:name="_Toc411343184"/>
      <w:bookmarkStart w:id="40" w:name="_Toc418765037"/>
      <w:r>
        <w:rPr>
          <w:rStyle w:val="CharSectno"/>
        </w:rPr>
        <w:t>8</w:t>
      </w:r>
      <w:r>
        <w:rPr>
          <w:snapToGrid w:val="0"/>
        </w:rPr>
        <w:t>.</w:t>
      </w:r>
      <w:r>
        <w:rPr>
          <w:snapToGrid w:val="0"/>
        </w:rPr>
        <w:tab/>
        <w:t>Protection of trees, buildings etc.</w:t>
      </w:r>
      <w:bookmarkEnd w:id="39"/>
      <w:bookmarkEnd w:id="40"/>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 or</w:t>
      </w:r>
    </w:p>
    <w:p>
      <w:pPr>
        <w:pStyle w:val="Indenta"/>
        <w:rPr>
          <w:snapToGrid w:val="0"/>
        </w:rPr>
      </w:pPr>
      <w:r>
        <w:rPr>
          <w:snapToGrid w:val="0"/>
        </w:rPr>
        <w:tab/>
        <w:t>(b)</w:t>
      </w:r>
      <w:r>
        <w:rPr>
          <w:snapToGrid w:val="0"/>
        </w:rPr>
        <w:tab/>
        <w:t>damages, removes or interferes with any stake or label on or near any tree, shrub, plant, flower, garden or lawn on the site; or</w:t>
      </w:r>
    </w:p>
    <w:p>
      <w:pPr>
        <w:pStyle w:val="Indenta"/>
        <w:rPr>
          <w:snapToGrid w:val="0"/>
        </w:rPr>
      </w:pPr>
      <w:r>
        <w:rPr>
          <w:snapToGrid w:val="0"/>
        </w:rPr>
        <w:tab/>
        <w:t>(c)</w:t>
      </w:r>
      <w:r>
        <w:rPr>
          <w:snapToGrid w:val="0"/>
        </w:rPr>
        <w:tab/>
        <w:t>walks on or causes damage to any area on the site containing or being prepared for shrubs or flowers; or</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41" w:name="_Toc411343185"/>
      <w:bookmarkStart w:id="42" w:name="_Toc418765038"/>
      <w:r>
        <w:rPr>
          <w:rStyle w:val="CharSectno"/>
        </w:rPr>
        <w:t>9</w:t>
      </w:r>
      <w:r>
        <w:rPr>
          <w:snapToGrid w:val="0"/>
        </w:rPr>
        <w:t>.</w:t>
      </w:r>
      <w:r>
        <w:rPr>
          <w:snapToGrid w:val="0"/>
        </w:rPr>
        <w:tab/>
        <w:t>Dangerous activities</w:t>
      </w:r>
      <w:bookmarkEnd w:id="41"/>
      <w:bookmarkEnd w:id="42"/>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bookmarkStart w:id="43" w:name="_Toc411343186"/>
      <w:r>
        <w:tab/>
        <w:t>[By-law 9 amended in Gazette 8 May 2015 p. 1620.]</w:t>
      </w:r>
    </w:p>
    <w:p>
      <w:pPr>
        <w:pStyle w:val="Heading5"/>
        <w:rPr>
          <w:snapToGrid w:val="0"/>
        </w:rPr>
      </w:pPr>
      <w:bookmarkStart w:id="44" w:name="_Toc418765039"/>
      <w:r>
        <w:rPr>
          <w:rStyle w:val="CharSectno"/>
        </w:rPr>
        <w:t>10</w:t>
      </w:r>
      <w:r>
        <w:rPr>
          <w:snapToGrid w:val="0"/>
        </w:rPr>
        <w:t>.</w:t>
      </w:r>
      <w:r>
        <w:rPr>
          <w:snapToGrid w:val="0"/>
        </w:rPr>
        <w:tab/>
        <w:t>Animals</w:t>
      </w:r>
      <w:bookmarkEnd w:id="43"/>
      <w:bookmarkEnd w:id="4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45" w:name="_Toc411343187"/>
      <w:bookmarkStart w:id="46" w:name="_Toc418765040"/>
      <w:r>
        <w:rPr>
          <w:rStyle w:val="CharSectno"/>
        </w:rPr>
        <w:t>11</w:t>
      </w:r>
      <w:r>
        <w:rPr>
          <w:snapToGrid w:val="0"/>
        </w:rPr>
        <w:t>.</w:t>
      </w:r>
      <w:r>
        <w:rPr>
          <w:snapToGrid w:val="0"/>
        </w:rPr>
        <w:tab/>
        <w:t>Selling, distributing or hiring</w:t>
      </w:r>
      <w:bookmarkEnd w:id="45"/>
      <w:bookmarkEnd w:id="46"/>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7" w:name="_Toc411343188"/>
      <w:bookmarkStart w:id="48" w:name="_Toc418765041"/>
      <w:r>
        <w:rPr>
          <w:rStyle w:val="CharSectno"/>
        </w:rPr>
        <w:t>12</w:t>
      </w:r>
      <w:r>
        <w:rPr>
          <w:snapToGrid w:val="0"/>
        </w:rPr>
        <w:t>.</w:t>
      </w:r>
      <w:r>
        <w:rPr>
          <w:snapToGrid w:val="0"/>
        </w:rPr>
        <w:tab/>
        <w:t>Removal of property</w:t>
      </w:r>
      <w:bookmarkEnd w:id="47"/>
      <w:bookmarkEnd w:id="48"/>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49" w:name="_Toc411343189"/>
      <w:bookmarkStart w:id="50" w:name="_Toc418765042"/>
      <w:r>
        <w:rPr>
          <w:rStyle w:val="CharSectno"/>
        </w:rPr>
        <w:t>13</w:t>
      </w:r>
      <w:r>
        <w:rPr>
          <w:snapToGrid w:val="0"/>
        </w:rPr>
        <w:t>.</w:t>
      </w:r>
      <w:r>
        <w:rPr>
          <w:snapToGrid w:val="0"/>
        </w:rPr>
        <w:tab/>
        <w:t>Public performances etc.</w:t>
      </w:r>
      <w:bookmarkEnd w:id="49"/>
      <w:bookmarkEnd w:id="50"/>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51" w:name="_Toc411343190"/>
      <w:bookmarkStart w:id="52" w:name="_Toc418765043"/>
      <w:r>
        <w:rPr>
          <w:rStyle w:val="CharSectno"/>
        </w:rPr>
        <w:t>14</w:t>
      </w:r>
      <w:r>
        <w:rPr>
          <w:snapToGrid w:val="0"/>
        </w:rPr>
        <w:t>.</w:t>
      </w:r>
      <w:r>
        <w:rPr>
          <w:snapToGrid w:val="0"/>
        </w:rPr>
        <w:tab/>
        <w:t>Gambling</w:t>
      </w:r>
      <w:bookmarkEnd w:id="51"/>
      <w:bookmarkEnd w:id="52"/>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53" w:name="_Toc411343191"/>
      <w:bookmarkStart w:id="54" w:name="_Toc418765044"/>
      <w:r>
        <w:rPr>
          <w:rStyle w:val="CharSectno"/>
        </w:rPr>
        <w:t>15</w:t>
      </w:r>
      <w:r>
        <w:rPr>
          <w:snapToGrid w:val="0"/>
        </w:rPr>
        <w:t>.</w:t>
      </w:r>
      <w:r>
        <w:rPr>
          <w:snapToGrid w:val="0"/>
        </w:rPr>
        <w:tab/>
        <w:t>Directions concerning use of certain areas</w:t>
      </w:r>
      <w:bookmarkEnd w:id="53"/>
      <w:bookmarkEnd w:id="54"/>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55" w:name="_Toc418765045"/>
      <w:bookmarkStart w:id="56" w:name="_Toc391651396"/>
      <w:bookmarkStart w:id="57" w:name="_Toc411343192"/>
      <w:bookmarkStart w:id="58" w:name="_Toc416945883"/>
      <w:bookmarkStart w:id="59" w:name="_Toc416945944"/>
      <w:bookmarkStart w:id="60" w:name="_Toc417653122"/>
      <w:r>
        <w:rPr>
          <w:rStyle w:val="CharSectno"/>
        </w:rPr>
        <w:t>16A</w:t>
      </w:r>
      <w:r>
        <w:t>.</w:t>
      </w:r>
      <w:r>
        <w:tab/>
        <w:t>Persons may be directed to leave site</w:t>
      </w:r>
      <w:bookmarkEnd w:id="55"/>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in Gazette 8 May 2015 p. 1621.]</w:t>
      </w:r>
    </w:p>
    <w:p>
      <w:pPr>
        <w:pStyle w:val="Heading2"/>
      </w:pPr>
      <w:bookmarkStart w:id="61" w:name="_Toc418764803"/>
      <w:bookmarkStart w:id="62" w:name="_Toc418764983"/>
      <w:bookmarkStart w:id="63" w:name="_Toc418765046"/>
      <w:r>
        <w:rPr>
          <w:rStyle w:val="CharPartNo"/>
        </w:rPr>
        <w:t>Part III</w:t>
      </w:r>
      <w:r>
        <w:t> — </w:t>
      </w:r>
      <w:r>
        <w:rPr>
          <w:rStyle w:val="CharPartText"/>
        </w:rPr>
        <w:t>Traffic control</w:t>
      </w:r>
      <w:bookmarkEnd w:id="56"/>
      <w:bookmarkEnd w:id="57"/>
      <w:bookmarkEnd w:id="58"/>
      <w:bookmarkEnd w:id="59"/>
      <w:bookmarkEnd w:id="60"/>
      <w:bookmarkEnd w:id="61"/>
      <w:bookmarkEnd w:id="62"/>
      <w:bookmarkEnd w:id="63"/>
      <w:r>
        <w:rPr>
          <w:rStyle w:val="CharPartText"/>
        </w:rPr>
        <w:t xml:space="preserve"> </w:t>
      </w:r>
    </w:p>
    <w:p>
      <w:pPr>
        <w:pStyle w:val="Heading3"/>
        <w:rPr>
          <w:snapToGrid w:val="0"/>
        </w:rPr>
      </w:pPr>
      <w:bookmarkStart w:id="64" w:name="_Toc391651397"/>
      <w:bookmarkStart w:id="65" w:name="_Toc411343193"/>
      <w:bookmarkStart w:id="66" w:name="_Toc416945884"/>
      <w:bookmarkStart w:id="67" w:name="_Toc416945945"/>
      <w:bookmarkStart w:id="68" w:name="_Toc417653123"/>
      <w:bookmarkStart w:id="69" w:name="_Toc418764804"/>
      <w:bookmarkStart w:id="70" w:name="_Toc418764984"/>
      <w:bookmarkStart w:id="71" w:name="_Toc418765047"/>
      <w:r>
        <w:rPr>
          <w:rStyle w:val="CharDivNo"/>
        </w:rPr>
        <w:t>Division 1</w:t>
      </w:r>
      <w:r>
        <w:rPr>
          <w:snapToGrid w:val="0"/>
        </w:rPr>
        <w:t> — </w:t>
      </w:r>
      <w:r>
        <w:rPr>
          <w:rStyle w:val="CharDivText"/>
        </w:rPr>
        <w:t>General</w:t>
      </w:r>
      <w:bookmarkEnd w:id="64"/>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411343194"/>
      <w:bookmarkStart w:id="73" w:name="_Toc418765048"/>
      <w:r>
        <w:rPr>
          <w:rStyle w:val="CharSectno"/>
        </w:rPr>
        <w:t>16</w:t>
      </w:r>
      <w:r>
        <w:rPr>
          <w:snapToGrid w:val="0"/>
        </w:rPr>
        <w:t>.</w:t>
      </w:r>
      <w:r>
        <w:rPr>
          <w:snapToGrid w:val="0"/>
        </w:rPr>
        <w:tab/>
        <w:t>Driving of vehicles</w:t>
      </w:r>
      <w:bookmarkEnd w:id="72"/>
      <w:bookmarkEnd w:id="73"/>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74" w:name="_Toc411343195"/>
      <w:bookmarkStart w:id="75" w:name="_Toc418765049"/>
      <w:r>
        <w:rPr>
          <w:rStyle w:val="CharSectno"/>
        </w:rPr>
        <w:t>17</w:t>
      </w:r>
      <w:r>
        <w:rPr>
          <w:snapToGrid w:val="0"/>
        </w:rPr>
        <w:t>.</w:t>
      </w:r>
      <w:r>
        <w:rPr>
          <w:snapToGrid w:val="0"/>
        </w:rPr>
        <w:tab/>
        <w:t>Driver to obey reasonable direction</w:t>
      </w:r>
      <w:bookmarkEnd w:id="74"/>
      <w:bookmarkEnd w:id="75"/>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76" w:name="_Toc411343196"/>
      <w:bookmarkStart w:id="77" w:name="_Toc418765050"/>
      <w:r>
        <w:rPr>
          <w:rStyle w:val="CharSectno"/>
        </w:rPr>
        <w:t>18</w:t>
      </w:r>
      <w:r>
        <w:rPr>
          <w:snapToGrid w:val="0"/>
        </w:rPr>
        <w:t>.</w:t>
      </w:r>
      <w:r>
        <w:rPr>
          <w:snapToGrid w:val="0"/>
        </w:rPr>
        <w:tab/>
        <w:t xml:space="preserve">Application of </w:t>
      </w:r>
      <w:r>
        <w:rPr>
          <w:i/>
          <w:iCs/>
          <w:snapToGrid w:val="0"/>
        </w:rPr>
        <w:t>Road Traffic Code 2000</w:t>
      </w:r>
      <w:bookmarkEnd w:id="76"/>
      <w:bookmarkEnd w:id="77"/>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78" w:name="_Toc411343197"/>
      <w:bookmarkStart w:id="79" w:name="_Toc418765051"/>
      <w:r>
        <w:rPr>
          <w:rStyle w:val="CharSectno"/>
        </w:rPr>
        <w:t>19</w:t>
      </w:r>
      <w:r>
        <w:rPr>
          <w:snapToGrid w:val="0"/>
        </w:rPr>
        <w:t>.</w:t>
      </w:r>
      <w:r>
        <w:rPr>
          <w:snapToGrid w:val="0"/>
        </w:rPr>
        <w:tab/>
        <w:t>Speed limits</w:t>
      </w:r>
      <w:bookmarkEnd w:id="78"/>
      <w:bookmarkEnd w:id="79"/>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80" w:name="_Toc411343198"/>
      <w:bookmarkStart w:id="81" w:name="_Toc418765052"/>
      <w:r>
        <w:rPr>
          <w:rStyle w:val="CharSectno"/>
        </w:rPr>
        <w:t>20</w:t>
      </w:r>
      <w:r>
        <w:t>.</w:t>
      </w:r>
      <w:r>
        <w:tab/>
        <w:t>Use of roads on site</w:t>
      </w:r>
      <w:bookmarkEnd w:id="80"/>
      <w:bookmarkEnd w:id="81"/>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82" w:name="_Toc411343199"/>
      <w:bookmarkStart w:id="83" w:name="_Toc418765053"/>
      <w:r>
        <w:rPr>
          <w:rStyle w:val="CharSectno"/>
        </w:rPr>
        <w:t>21</w:t>
      </w:r>
      <w:r>
        <w:rPr>
          <w:snapToGrid w:val="0"/>
        </w:rPr>
        <w:t>.</w:t>
      </w:r>
      <w:r>
        <w:rPr>
          <w:snapToGrid w:val="0"/>
        </w:rPr>
        <w:tab/>
        <w:t>Give way</w:t>
      </w:r>
      <w:bookmarkEnd w:id="82"/>
      <w:bookmarkEnd w:id="83"/>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84" w:name="_Toc411343200"/>
      <w:bookmarkStart w:id="85" w:name="_Toc418765054"/>
      <w:r>
        <w:rPr>
          <w:rStyle w:val="CharSectno"/>
        </w:rPr>
        <w:t>22</w:t>
      </w:r>
      <w:r>
        <w:rPr>
          <w:snapToGrid w:val="0"/>
        </w:rPr>
        <w:t>.</w:t>
      </w:r>
      <w:r>
        <w:rPr>
          <w:snapToGrid w:val="0"/>
        </w:rPr>
        <w:tab/>
        <w:t>Roadway not to be used for instructions or repairs</w:t>
      </w:r>
      <w:bookmarkEnd w:id="84"/>
      <w:bookmarkEnd w:id="85"/>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86" w:name="_Toc391651405"/>
      <w:bookmarkStart w:id="87" w:name="_Toc411343201"/>
      <w:bookmarkStart w:id="88" w:name="_Toc416945892"/>
      <w:bookmarkStart w:id="89" w:name="_Toc416945953"/>
      <w:bookmarkStart w:id="90" w:name="_Toc417653131"/>
      <w:bookmarkStart w:id="91" w:name="_Toc418764812"/>
      <w:bookmarkStart w:id="92" w:name="_Toc418764992"/>
      <w:bookmarkStart w:id="93" w:name="_Toc418765055"/>
      <w:r>
        <w:rPr>
          <w:rStyle w:val="CharDivNo"/>
        </w:rPr>
        <w:t>Division 2</w:t>
      </w:r>
      <w:r>
        <w:rPr>
          <w:snapToGrid w:val="0"/>
        </w:rPr>
        <w:t> — </w:t>
      </w:r>
      <w:r>
        <w:rPr>
          <w:rStyle w:val="CharDivText"/>
        </w:rPr>
        <w:t>Parking</w:t>
      </w:r>
      <w:bookmarkEnd w:id="86"/>
      <w:bookmarkEnd w:id="87"/>
      <w:bookmarkEnd w:id="88"/>
      <w:bookmarkEnd w:id="89"/>
      <w:bookmarkEnd w:id="90"/>
      <w:bookmarkEnd w:id="91"/>
      <w:bookmarkEnd w:id="92"/>
      <w:bookmarkEnd w:id="93"/>
      <w:r>
        <w:rPr>
          <w:rStyle w:val="CharDivText"/>
        </w:rPr>
        <w:t xml:space="preserve"> </w:t>
      </w:r>
    </w:p>
    <w:p>
      <w:pPr>
        <w:pStyle w:val="Heading5"/>
        <w:spacing w:before="180"/>
        <w:rPr>
          <w:snapToGrid w:val="0"/>
        </w:rPr>
      </w:pPr>
      <w:bookmarkStart w:id="94" w:name="_Toc411343202"/>
      <w:bookmarkStart w:id="95" w:name="_Toc418765056"/>
      <w:r>
        <w:rPr>
          <w:rStyle w:val="CharSectno"/>
        </w:rPr>
        <w:t>23</w:t>
      </w:r>
      <w:r>
        <w:rPr>
          <w:snapToGrid w:val="0"/>
        </w:rPr>
        <w:t>.</w:t>
      </w:r>
      <w:r>
        <w:rPr>
          <w:snapToGrid w:val="0"/>
        </w:rPr>
        <w:tab/>
        <w:t>Parking only in parking spaces</w:t>
      </w:r>
      <w:bookmarkEnd w:id="94"/>
      <w:bookmarkEnd w:id="95"/>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96" w:name="_Toc411343203"/>
      <w:bookmarkStart w:id="97" w:name="_Toc418765057"/>
      <w:r>
        <w:rPr>
          <w:rStyle w:val="CharSectno"/>
        </w:rPr>
        <w:t>24</w:t>
      </w:r>
      <w:r>
        <w:rPr>
          <w:snapToGrid w:val="0"/>
        </w:rPr>
        <w:t>.</w:t>
      </w:r>
      <w:r>
        <w:rPr>
          <w:snapToGrid w:val="0"/>
        </w:rPr>
        <w:tab/>
        <w:t>Signs to be obeyed</w:t>
      </w:r>
      <w:bookmarkEnd w:id="96"/>
      <w:bookmarkEnd w:id="97"/>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98" w:name="_Toc411343204"/>
      <w:bookmarkStart w:id="99" w:name="_Toc418765058"/>
      <w:r>
        <w:rPr>
          <w:rStyle w:val="CharSectno"/>
        </w:rPr>
        <w:t>25</w:t>
      </w:r>
      <w:r>
        <w:rPr>
          <w:snapToGrid w:val="0"/>
        </w:rPr>
        <w:t>.</w:t>
      </w:r>
      <w:r>
        <w:rPr>
          <w:snapToGrid w:val="0"/>
        </w:rPr>
        <w:tab/>
        <w:t>Parking in parking spaces</w:t>
      </w:r>
      <w:bookmarkEnd w:id="98"/>
      <w:bookmarkEnd w:id="99"/>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100" w:name="_Toc411343205"/>
      <w:bookmarkStart w:id="101" w:name="_Toc418765059"/>
      <w:r>
        <w:rPr>
          <w:rStyle w:val="CharSectno"/>
        </w:rPr>
        <w:t>26</w:t>
      </w:r>
      <w:r>
        <w:t>.</w:t>
      </w:r>
      <w:r>
        <w:tab/>
        <w:t>Types of parking areas</w:t>
      </w:r>
      <w:bookmarkEnd w:id="100"/>
      <w:bookmarkEnd w:id="101"/>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102" w:name="_Toc411343206"/>
      <w:bookmarkStart w:id="103" w:name="_Toc418765060"/>
      <w:r>
        <w:rPr>
          <w:rStyle w:val="CharSectno"/>
        </w:rPr>
        <w:t>26AA</w:t>
      </w:r>
      <w:r>
        <w:t>.</w:t>
      </w:r>
      <w:r>
        <w:tab/>
        <w:t>Parking in ticket parking area or boom gate controlled ticket parking area</w:t>
      </w:r>
      <w:bookmarkEnd w:id="102"/>
      <w:bookmarkEnd w:id="103"/>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104" w:name="_Toc411343207"/>
      <w:bookmarkStart w:id="105" w:name="_Toc418765061"/>
      <w:r>
        <w:rPr>
          <w:rStyle w:val="CharSectno"/>
        </w:rPr>
        <w:t>26AB</w:t>
      </w:r>
      <w:r>
        <w:t>.</w:t>
      </w:r>
      <w:r>
        <w:tab/>
        <w:t>Parking in paid staff parking area</w:t>
      </w:r>
      <w:bookmarkEnd w:id="104"/>
      <w:bookmarkEnd w:id="105"/>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106" w:name="_Toc411343208"/>
      <w:bookmarkStart w:id="107" w:name="_Toc418765062"/>
      <w:r>
        <w:rPr>
          <w:rStyle w:val="CharSectno"/>
        </w:rPr>
        <w:t>26AC</w:t>
      </w:r>
      <w:r>
        <w:t>.</w:t>
      </w:r>
      <w:r>
        <w:tab/>
        <w:t>Parking in permit parking area</w:t>
      </w:r>
      <w:bookmarkEnd w:id="106"/>
      <w:bookmarkEnd w:id="107"/>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108" w:name="_Toc411343209"/>
      <w:bookmarkStart w:id="109" w:name="_Toc418765063"/>
      <w:r>
        <w:rPr>
          <w:rStyle w:val="CharSectno"/>
        </w:rPr>
        <w:t>26AD</w:t>
      </w:r>
      <w:r>
        <w:t>.</w:t>
      </w:r>
      <w:r>
        <w:tab/>
        <w:t>Parking permits</w:t>
      </w:r>
      <w:bookmarkEnd w:id="108"/>
      <w:bookmarkEnd w:id="109"/>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110" w:name="_Toc411343210"/>
      <w:bookmarkStart w:id="111" w:name="_Toc418765064"/>
      <w:r>
        <w:rPr>
          <w:rStyle w:val="CharSectno"/>
        </w:rPr>
        <w:t>26AE</w:t>
      </w:r>
      <w:r>
        <w:t>.</w:t>
      </w:r>
      <w:r>
        <w:tab/>
        <w:t>Application for parking permit</w:t>
      </w:r>
      <w:bookmarkEnd w:id="110"/>
      <w:bookmarkEnd w:id="111"/>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Ednotesection"/>
        <w:spacing w:before="180"/>
      </w:pPr>
      <w:r>
        <w:t>[</w:t>
      </w:r>
      <w:r>
        <w:rPr>
          <w:b/>
        </w:rPr>
        <w:t>26AF.</w:t>
      </w:r>
      <w:r>
        <w:tab/>
        <w:t>Deleted in Gazette 28 Jun 2013 p. 2755.]</w:t>
      </w:r>
    </w:p>
    <w:p>
      <w:pPr>
        <w:pStyle w:val="Heading5"/>
        <w:spacing w:before="180"/>
      </w:pPr>
      <w:bookmarkStart w:id="112" w:name="_Toc411343211"/>
      <w:bookmarkStart w:id="113" w:name="_Toc418765065"/>
      <w:r>
        <w:rPr>
          <w:rStyle w:val="CharSectno"/>
        </w:rPr>
        <w:t>26AG</w:t>
      </w:r>
      <w:r>
        <w:t>.</w:t>
      </w:r>
      <w:r>
        <w:tab/>
        <w:t>Cancellation of parking permit</w:t>
      </w:r>
      <w:bookmarkEnd w:id="112"/>
      <w:bookmarkEnd w:id="113"/>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114" w:name="_Toc411343212"/>
      <w:bookmarkStart w:id="115" w:name="_Toc418765066"/>
      <w:r>
        <w:rPr>
          <w:rStyle w:val="CharSectno"/>
        </w:rPr>
        <w:t>26B</w:t>
      </w:r>
      <w:r>
        <w:rPr>
          <w:snapToGrid w:val="0"/>
        </w:rPr>
        <w:t>.</w:t>
      </w:r>
      <w:r>
        <w:rPr>
          <w:snapToGrid w:val="0"/>
        </w:rPr>
        <w:tab/>
        <w:t>Removal of vehicles</w:t>
      </w:r>
      <w:bookmarkEnd w:id="114"/>
      <w:bookmarkEnd w:id="115"/>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 xml:space="preserve">law until the </w:t>
      </w:r>
      <w:r>
        <w:t>responsible person for</w:t>
      </w:r>
      <w:r>
        <w:rPr>
          <w:snapToGrid w:val="0"/>
        </w:rPr>
        <w:t xml:space="preserve"> that vehicle has paid to the Board</w:t>
      </w:r>
      <w:r>
        <w:t xml:space="preserve"> the prescribed fee.</w:t>
      </w:r>
    </w:p>
    <w:p>
      <w:pPr>
        <w:pStyle w:val="Footnotesection"/>
        <w:keepLines w:val="0"/>
      </w:pPr>
      <w:r>
        <w:tab/>
        <w:t>[By</w:t>
      </w:r>
      <w:r>
        <w:noBreakHyphen/>
        <w:t xml:space="preserve">law 26B inserted in Gazette 9 Dec 1988 p. 4821; amended in Gazette 29 Jun 2001 p. 3113; 22 Jun 2010 p. 2778; 10 Feb 2015 p. 618.] </w:t>
      </w:r>
    </w:p>
    <w:p>
      <w:pPr>
        <w:pStyle w:val="Heading2"/>
      </w:pPr>
      <w:bookmarkStart w:id="116" w:name="_Toc391651417"/>
      <w:bookmarkStart w:id="117" w:name="_Toc411343213"/>
      <w:bookmarkStart w:id="118" w:name="_Toc416945904"/>
      <w:bookmarkStart w:id="119" w:name="_Toc416945965"/>
      <w:bookmarkStart w:id="120" w:name="_Toc417653143"/>
      <w:bookmarkStart w:id="121" w:name="_Toc418764824"/>
      <w:bookmarkStart w:id="122" w:name="_Toc418765004"/>
      <w:bookmarkStart w:id="123" w:name="_Toc418765067"/>
      <w:r>
        <w:rPr>
          <w:rStyle w:val="CharPartNo"/>
        </w:rPr>
        <w:t>Part V</w:t>
      </w:r>
      <w:r>
        <w:rPr>
          <w:rStyle w:val="CharDivNo"/>
        </w:rPr>
        <w:t> </w:t>
      </w:r>
      <w:r>
        <w:t>—</w:t>
      </w:r>
      <w:r>
        <w:rPr>
          <w:rStyle w:val="CharDivText"/>
        </w:rPr>
        <w:t> </w:t>
      </w:r>
      <w:r>
        <w:rPr>
          <w:rStyle w:val="CharPartText"/>
        </w:rPr>
        <w:t>Offences and penalties</w:t>
      </w:r>
      <w:bookmarkEnd w:id="116"/>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411343214"/>
      <w:bookmarkStart w:id="125" w:name="_Toc418765068"/>
      <w:r>
        <w:rPr>
          <w:rStyle w:val="CharSectno"/>
        </w:rPr>
        <w:t>27</w:t>
      </w:r>
      <w:r>
        <w:rPr>
          <w:snapToGrid w:val="0"/>
        </w:rPr>
        <w:t>.</w:t>
      </w:r>
      <w:r>
        <w:rPr>
          <w:snapToGrid w:val="0"/>
        </w:rPr>
        <w:tab/>
        <w:t>Terms used</w:t>
      </w:r>
      <w:bookmarkEnd w:id="124"/>
      <w:bookmarkEnd w:id="12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26" w:name="endcomma"/>
      <w:bookmarkEnd w:id="126"/>
      <w:r>
        <w:rPr>
          <w:rStyle w:val="CharDefText"/>
        </w:rPr>
        <w:t>modified penalty</w:t>
      </w:r>
      <w:r>
        <w:t xml:space="preserve"> </w:t>
      </w:r>
      <w:bookmarkStart w:id="127" w:name="comma"/>
      <w:bookmarkEnd w:id="127"/>
      <w:r>
        <w:t>means modified penalty prescribed in Schedule 2 for an offence under these by</w:t>
      </w:r>
      <w:r>
        <w:noBreakHyphen/>
        <w:t>laws.</w:t>
      </w:r>
    </w:p>
    <w:p>
      <w:pPr>
        <w:pStyle w:val="Footnotesection"/>
      </w:pPr>
      <w:r>
        <w:tab/>
        <w:t>[By-law 27 amended in Gazette 29 Jun 2001 p. 3113; 22 Jun 2010 p. 2778; 10 Feb 2015 p. 619.]</w:t>
      </w:r>
    </w:p>
    <w:p>
      <w:pPr>
        <w:pStyle w:val="Heading5"/>
        <w:spacing w:before="240"/>
        <w:rPr>
          <w:snapToGrid w:val="0"/>
        </w:rPr>
      </w:pPr>
      <w:bookmarkStart w:id="128" w:name="_Toc411343215"/>
      <w:bookmarkStart w:id="129" w:name="_Toc418765069"/>
      <w:r>
        <w:rPr>
          <w:rStyle w:val="CharSectno"/>
        </w:rPr>
        <w:t>27A</w:t>
      </w:r>
      <w:r>
        <w:rPr>
          <w:snapToGrid w:val="0"/>
        </w:rPr>
        <w:t>.</w:t>
      </w:r>
      <w:r>
        <w:rPr>
          <w:snapToGrid w:val="0"/>
        </w:rPr>
        <w:tab/>
        <w:t>Offences</w:t>
      </w:r>
      <w:bookmarkEnd w:id="128"/>
      <w:bookmarkEnd w:id="129"/>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130" w:name="_Toc411343216"/>
      <w:bookmarkStart w:id="131" w:name="_Toc418765070"/>
      <w:r>
        <w:rPr>
          <w:rStyle w:val="CharSectno"/>
        </w:rPr>
        <w:t>28</w:t>
      </w:r>
      <w:r>
        <w:rPr>
          <w:snapToGrid w:val="0"/>
        </w:rPr>
        <w:t>.</w:t>
      </w:r>
      <w:r>
        <w:rPr>
          <w:snapToGrid w:val="0"/>
        </w:rPr>
        <w:tab/>
        <w:t>General penalty</w:t>
      </w:r>
      <w:bookmarkEnd w:id="130"/>
      <w:bookmarkEnd w:id="131"/>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spacing w:before="240"/>
        <w:rPr>
          <w:snapToGrid w:val="0"/>
        </w:rPr>
      </w:pPr>
      <w:bookmarkStart w:id="132" w:name="_Toc411343217"/>
      <w:bookmarkStart w:id="133" w:name="_Toc418765071"/>
      <w:r>
        <w:rPr>
          <w:rStyle w:val="CharSectno"/>
        </w:rPr>
        <w:t>29</w:t>
      </w:r>
      <w:r>
        <w:rPr>
          <w:snapToGrid w:val="0"/>
        </w:rPr>
        <w:t>.</w:t>
      </w:r>
      <w:r>
        <w:rPr>
          <w:snapToGrid w:val="0"/>
        </w:rPr>
        <w:tab/>
        <w:t>Modified penalties</w:t>
      </w:r>
      <w:bookmarkEnd w:id="132"/>
      <w:bookmarkEnd w:id="133"/>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34" w:name="_Toc411343218"/>
      <w:bookmarkStart w:id="135" w:name="_Toc418765072"/>
      <w:r>
        <w:rPr>
          <w:rStyle w:val="CharSectno"/>
        </w:rPr>
        <w:t>30</w:t>
      </w:r>
      <w:r>
        <w:rPr>
          <w:snapToGrid w:val="0"/>
        </w:rPr>
        <w:t>.</w:t>
      </w:r>
      <w:r>
        <w:rPr>
          <w:snapToGrid w:val="0"/>
        </w:rPr>
        <w:tab/>
        <w:t>Infringement notices</w:t>
      </w:r>
      <w:bookmarkEnd w:id="134"/>
      <w:bookmarkEnd w:id="135"/>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136" w:name="_Toc411343219"/>
      <w:bookmarkStart w:id="137" w:name="_Toc418765073"/>
      <w:r>
        <w:rPr>
          <w:rStyle w:val="CharSectno"/>
        </w:rPr>
        <w:t>31</w:t>
      </w:r>
      <w:r>
        <w:rPr>
          <w:snapToGrid w:val="0"/>
        </w:rPr>
        <w:t>.</w:t>
      </w:r>
      <w:r>
        <w:rPr>
          <w:snapToGrid w:val="0"/>
        </w:rPr>
        <w:tab/>
        <w:t>Modified penalties</w:t>
      </w:r>
      <w:bookmarkEnd w:id="136"/>
      <w:bookmarkEnd w:id="137"/>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38" w:name="_Toc411343220"/>
      <w:bookmarkStart w:id="139" w:name="_Toc418765074"/>
      <w:r>
        <w:rPr>
          <w:rStyle w:val="CharSectno"/>
        </w:rPr>
        <w:t>32</w:t>
      </w:r>
      <w:r>
        <w:rPr>
          <w:snapToGrid w:val="0"/>
        </w:rPr>
        <w:t>.</w:t>
      </w:r>
      <w:r>
        <w:rPr>
          <w:snapToGrid w:val="0"/>
        </w:rPr>
        <w:tab/>
        <w:t>Withdrawal of infringement notice</w:t>
      </w:r>
      <w:bookmarkEnd w:id="138"/>
      <w:bookmarkEnd w:id="139"/>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pPr>
      <w:bookmarkStart w:id="140" w:name="_Toc418765075"/>
      <w:bookmarkStart w:id="141" w:name="_Toc411343221"/>
      <w:r>
        <w:rPr>
          <w:rStyle w:val="CharSectno"/>
        </w:rPr>
        <w:t>33A</w:t>
      </w:r>
      <w:r>
        <w:t>.</w:t>
      </w:r>
      <w:r>
        <w:tab/>
        <w:t>Authorised persons to produce certificate</w:t>
      </w:r>
      <w:bookmarkEnd w:id="140"/>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in Gazette 8 May 2015 p. 1621.]</w:t>
      </w:r>
    </w:p>
    <w:p>
      <w:pPr>
        <w:pStyle w:val="Heading5"/>
        <w:rPr>
          <w:snapToGrid w:val="0"/>
        </w:rPr>
      </w:pPr>
      <w:bookmarkStart w:id="142" w:name="_Toc418765076"/>
      <w:r>
        <w:rPr>
          <w:rStyle w:val="CharSectno"/>
        </w:rPr>
        <w:t>33</w:t>
      </w:r>
      <w:r>
        <w:rPr>
          <w:snapToGrid w:val="0"/>
        </w:rPr>
        <w:t>.</w:t>
      </w:r>
      <w:r>
        <w:rPr>
          <w:snapToGrid w:val="0"/>
        </w:rPr>
        <w:tab/>
        <w:t>Removal and endorsement of infringement notices</w:t>
      </w:r>
      <w:bookmarkEnd w:id="141"/>
      <w:bookmarkEnd w:id="142"/>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 10 Feb 2015 p. 619.]</w:t>
      </w:r>
    </w:p>
    <w:p>
      <w:pPr>
        <w:pStyle w:val="Heading5"/>
        <w:rPr>
          <w:snapToGrid w:val="0"/>
        </w:rPr>
      </w:pPr>
      <w:bookmarkStart w:id="143" w:name="_Toc411343222"/>
      <w:bookmarkStart w:id="144" w:name="_Toc418765077"/>
      <w:r>
        <w:rPr>
          <w:rStyle w:val="CharSectno"/>
        </w:rPr>
        <w:t>34</w:t>
      </w:r>
      <w:r>
        <w:rPr>
          <w:snapToGrid w:val="0"/>
        </w:rPr>
        <w:t>.</w:t>
      </w:r>
      <w:r>
        <w:rPr>
          <w:snapToGrid w:val="0"/>
        </w:rPr>
        <w:tab/>
        <w:t>Prosecutions</w:t>
      </w:r>
      <w:bookmarkEnd w:id="143"/>
      <w:bookmarkEnd w:id="144"/>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145" w:name="_Toc391651427"/>
      <w:bookmarkStart w:id="146" w:name="_Toc411343223"/>
      <w:bookmarkStart w:id="147" w:name="_Toc416945914"/>
      <w:bookmarkStart w:id="148" w:name="_Toc416945975"/>
      <w:bookmarkStart w:id="149" w:name="_Toc417653153"/>
      <w:bookmarkStart w:id="150" w:name="_Toc418764835"/>
      <w:bookmarkStart w:id="151" w:name="_Toc418765015"/>
      <w:bookmarkStart w:id="152" w:name="_Toc418765078"/>
      <w:r>
        <w:rPr>
          <w:rStyle w:val="CharPartNo"/>
        </w:rPr>
        <w:t>Part VI</w:t>
      </w:r>
      <w:r>
        <w:rPr>
          <w:rStyle w:val="CharDivNo"/>
        </w:rPr>
        <w:t> </w:t>
      </w:r>
      <w:r>
        <w:t>—</w:t>
      </w:r>
      <w:r>
        <w:rPr>
          <w:rStyle w:val="CharDivText"/>
        </w:rPr>
        <w:t> </w:t>
      </w:r>
      <w:r>
        <w:rPr>
          <w:rStyle w:val="CharPartText"/>
        </w:rPr>
        <w:t>General</w:t>
      </w:r>
      <w:bookmarkEnd w:id="145"/>
      <w:bookmarkEnd w:id="146"/>
      <w:bookmarkEnd w:id="147"/>
      <w:bookmarkEnd w:id="148"/>
      <w:bookmarkEnd w:id="149"/>
      <w:bookmarkEnd w:id="150"/>
      <w:bookmarkEnd w:id="151"/>
      <w:bookmarkEnd w:id="152"/>
      <w:r>
        <w:rPr>
          <w:rStyle w:val="CharPartText"/>
        </w:rPr>
        <w:t xml:space="preserve"> </w:t>
      </w:r>
    </w:p>
    <w:p>
      <w:pPr>
        <w:pStyle w:val="Heading5"/>
        <w:spacing w:before="180"/>
        <w:rPr>
          <w:snapToGrid w:val="0"/>
        </w:rPr>
      </w:pPr>
      <w:bookmarkStart w:id="153" w:name="_Toc411343224"/>
      <w:bookmarkStart w:id="154" w:name="_Toc418765079"/>
      <w:r>
        <w:rPr>
          <w:rStyle w:val="CharSectno"/>
        </w:rPr>
        <w:t>35</w:t>
      </w:r>
      <w:r>
        <w:rPr>
          <w:snapToGrid w:val="0"/>
        </w:rPr>
        <w:t>.</w:t>
      </w:r>
      <w:r>
        <w:rPr>
          <w:snapToGrid w:val="0"/>
        </w:rPr>
        <w:tab/>
        <w:t>Responsible person may be treated as driver or person in charge of vehicle</w:t>
      </w:r>
      <w:bookmarkEnd w:id="153"/>
      <w:bookmarkEnd w:id="154"/>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10 Feb 2015 p. 619.] </w:t>
      </w:r>
    </w:p>
    <w:p>
      <w:pPr>
        <w:pStyle w:val="Heading5"/>
        <w:spacing w:before="180"/>
        <w:rPr>
          <w:snapToGrid w:val="0"/>
        </w:rPr>
      </w:pPr>
      <w:bookmarkStart w:id="155" w:name="_Toc411343225"/>
      <w:bookmarkStart w:id="156" w:name="_Toc418765080"/>
      <w:r>
        <w:rPr>
          <w:rStyle w:val="CharSectno"/>
        </w:rPr>
        <w:t>36</w:t>
      </w:r>
      <w:r>
        <w:rPr>
          <w:snapToGrid w:val="0"/>
        </w:rPr>
        <w:t>.</w:t>
      </w:r>
      <w:r>
        <w:rPr>
          <w:snapToGrid w:val="0"/>
        </w:rPr>
        <w:tab/>
        <w:t>Other offences</w:t>
      </w:r>
      <w:bookmarkEnd w:id="155"/>
      <w:bookmarkEnd w:id="15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rPr>
          <w:rStyle w:val="CharDivText"/>
        </w:rPr>
        <w:sectPr>
          <w:headerReference w:type="even" r:id="rId21"/>
          <w:headerReference w:type="default" r:id="rId22"/>
          <w:footerReference w:type="even" r:id="rId23"/>
          <w:headerReference w:type="first" r:id="rId24"/>
          <w:pgSz w:w="11907" w:h="16840" w:code="9"/>
          <w:pgMar w:top="2381" w:right="2410" w:bottom="3544" w:left="2410" w:header="720" w:footer="3380" w:gutter="0"/>
          <w:pgNumType w:start="1"/>
          <w:cols w:space="720"/>
          <w:noEndnote/>
          <w:titlePg/>
          <w:docGrid w:linePitch="326"/>
        </w:sectPr>
      </w:pPr>
    </w:p>
    <w:p>
      <w:pPr>
        <w:pStyle w:val="yScheduleHeading"/>
      </w:pPr>
      <w:bookmarkStart w:id="157" w:name="_Toc391651430"/>
      <w:bookmarkStart w:id="158" w:name="_Toc411343226"/>
      <w:bookmarkStart w:id="159" w:name="_Toc416945917"/>
      <w:bookmarkStart w:id="160" w:name="_Toc416945978"/>
      <w:bookmarkStart w:id="161" w:name="_Toc417653156"/>
      <w:bookmarkStart w:id="162" w:name="_Toc418764838"/>
      <w:bookmarkStart w:id="163" w:name="_Toc418765018"/>
      <w:bookmarkStart w:id="164" w:name="_Toc418765081"/>
      <w:r>
        <w:rPr>
          <w:rStyle w:val="CharSchNo"/>
        </w:rPr>
        <w:t>Schedule 1</w:t>
      </w:r>
      <w:r>
        <w:rPr>
          <w:rStyle w:val="CharSDivNo"/>
        </w:rPr>
        <w:t> </w:t>
      </w:r>
      <w:r>
        <w:t>—</w:t>
      </w:r>
      <w:r>
        <w:rPr>
          <w:rStyle w:val="CharSDivText"/>
        </w:rPr>
        <w:t> </w:t>
      </w:r>
      <w:r>
        <w:rPr>
          <w:rStyle w:val="CharSchText"/>
        </w:rPr>
        <w:t>Fees</w:t>
      </w:r>
    </w:p>
    <w:p>
      <w:pPr>
        <w:pStyle w:val="yShoulderClause"/>
      </w:pPr>
      <w:r>
        <w:t>[bl. 3]</w:t>
      </w:r>
    </w:p>
    <w:p>
      <w:pPr>
        <w:pStyle w:val="yFootnoteheading"/>
        <w:spacing w:after="120"/>
      </w:pPr>
      <w:r>
        <w:tab/>
        <w:t>[Heading inserted in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t>$3.30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1 hour = $3.30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2 hours = $6.60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3 hours = $9.90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4 hours = $13.20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5 hours = $16.50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6 hours = $19.80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More than 6 hours = $23.10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t>$5.90 per day, to a maximum of $29.50 per week</w:t>
            </w:r>
          </w:p>
        </w:tc>
      </w:tr>
      <w:tr>
        <w:tc>
          <w:tcPr>
            <w:tcW w:w="992" w:type="dxa"/>
            <w:tcBorders>
              <w:bottom w:val="single" w:sz="4" w:space="0" w:color="auto"/>
            </w:tcBorders>
            <w:tcMar>
              <w:left w:w="57" w:type="dxa"/>
              <w:right w:w="57" w:type="dxa"/>
            </w:tcMar>
          </w:tcPr>
          <w:p>
            <w:pPr>
              <w:pStyle w:val="yTableNAm"/>
            </w:pPr>
            <w:r>
              <w:t>26B(3)</w:t>
            </w:r>
          </w:p>
        </w:tc>
        <w:tc>
          <w:tcPr>
            <w:tcW w:w="2552" w:type="dxa"/>
            <w:tcBorders>
              <w:bottom w:val="single" w:sz="4" w:space="0" w:color="auto"/>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single" w:sz="4" w:space="0" w:color="auto"/>
            </w:tcBorders>
          </w:tcPr>
          <w:p>
            <w:pPr>
              <w:pStyle w:val="yTableNAm"/>
            </w:pPr>
            <w:r>
              <w:br/>
            </w:r>
          </w:p>
          <w:p>
            <w:pPr>
              <w:pStyle w:val="yTableNAm"/>
            </w:pPr>
            <w:r>
              <w:t>$200</w:t>
            </w:r>
          </w:p>
          <w:p>
            <w:pPr>
              <w:pStyle w:val="yTableNAm"/>
            </w:pPr>
          </w:p>
        </w:tc>
      </w:tr>
      <w:tr>
        <w:tc>
          <w:tcPr>
            <w:tcW w:w="992" w:type="dxa"/>
            <w:tcBorders>
              <w:top w:val="single" w:sz="4" w:space="0" w:color="auto"/>
              <w:bottom w:val="single" w:sz="4" w:space="0" w:color="auto"/>
            </w:tcBorders>
            <w:tcMar>
              <w:left w:w="57" w:type="dxa"/>
              <w:right w:w="57" w:type="dxa"/>
            </w:tcMar>
          </w:tcPr>
          <w:p>
            <w:pPr>
              <w:pStyle w:val="zyTableNAm"/>
              <w:keepNext/>
            </w:pPr>
          </w:p>
        </w:tc>
        <w:tc>
          <w:tcPr>
            <w:tcW w:w="2552" w:type="dxa"/>
            <w:tcBorders>
              <w:top w:val="single" w:sz="4" w:space="0" w:color="auto"/>
              <w:bottom w:val="single" w:sz="4" w:space="0" w:color="auto"/>
            </w:tcBorders>
          </w:tcPr>
          <w:p>
            <w:pPr>
              <w:pStyle w:val="yTableNAm"/>
              <w:tabs>
                <w:tab w:val="right" w:leader="dot" w:pos="2302"/>
              </w:tabs>
              <w:ind w:right="34"/>
            </w:pPr>
            <w:r>
              <w:t>(b)</w:t>
            </w:r>
            <w:r>
              <w:tab/>
              <w:t xml:space="preserve">if vehicle is stored for more than 24 hours — for each 7 days or part of 7 days for which vehicle is stored after first 24 hours </w:t>
            </w:r>
          </w:p>
        </w:tc>
        <w:tc>
          <w:tcPr>
            <w:tcW w:w="2835" w:type="dxa"/>
            <w:tcBorders>
              <w:top w:val="single" w:sz="4" w:space="0" w:color="auto"/>
              <w:bottom w:val="single" w:sz="4" w:space="0" w:color="auto"/>
            </w:tcBorders>
          </w:tcPr>
          <w:p>
            <w:pPr>
              <w:pStyle w:val="yTableNAm"/>
            </w:pPr>
            <w:r>
              <w:br/>
            </w:r>
            <w:r>
              <w:br/>
            </w:r>
            <w:r>
              <w:br/>
            </w:r>
            <w:r>
              <w:br/>
            </w:r>
            <w:r>
              <w:br/>
              <w:t>$20</w:t>
            </w:r>
          </w:p>
        </w:tc>
      </w:tr>
    </w:tbl>
    <w:p>
      <w:pPr>
        <w:pStyle w:val="yFootnotesection"/>
      </w:pPr>
      <w:r>
        <w:tab/>
        <w:t>[Schedule 1 inserted in Gazette 30 Jun 2015 p. 2336.]</w:t>
      </w:r>
    </w:p>
    <w:bookmarkEnd w:id="157"/>
    <w:bookmarkEnd w:id="158"/>
    <w:bookmarkEnd w:id="159"/>
    <w:bookmarkEnd w:id="160"/>
    <w:bookmarkEnd w:id="161"/>
    <w:bookmarkEnd w:id="162"/>
    <w:bookmarkEnd w:id="163"/>
    <w:bookmarkEnd w:id="164"/>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166" w:name="_Toc391651431"/>
      <w:bookmarkStart w:id="167" w:name="_Toc411343227"/>
      <w:bookmarkStart w:id="168" w:name="_Toc416945918"/>
      <w:bookmarkStart w:id="169" w:name="_Toc416945979"/>
      <w:bookmarkStart w:id="170" w:name="_Toc417653157"/>
      <w:bookmarkStart w:id="171" w:name="_Toc418764839"/>
      <w:bookmarkStart w:id="172" w:name="_Toc418765019"/>
      <w:bookmarkStart w:id="173" w:name="_Toc418765082"/>
      <w:r>
        <w:rPr>
          <w:rStyle w:val="CharSchNo"/>
        </w:rPr>
        <w:t>Schedule 2</w:t>
      </w:r>
      <w:bookmarkEnd w:id="166"/>
      <w:bookmarkEnd w:id="167"/>
      <w:bookmarkEnd w:id="168"/>
      <w:bookmarkEnd w:id="169"/>
      <w:bookmarkEnd w:id="170"/>
      <w:bookmarkEnd w:id="171"/>
      <w:bookmarkEnd w:id="172"/>
      <w:bookmarkEnd w:id="173"/>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Lines w:val="0"/>
        <w:widowControl w:val="0"/>
      </w:pPr>
      <w:r>
        <w:tab/>
        <w:t>[Schedule 2 inserted in Gazette 22 Feb 1991 p. 881</w:t>
      </w:r>
      <w:r>
        <w:noBreakHyphen/>
        <w:t>2; amended in Gazette 29 Jun 2001 p. 3114; 22 Jun 2010 p. 2779-80; 17 Dec 2010 p. 6355; 17 Jun 2014 p. 1981.]</w:t>
      </w:r>
    </w:p>
    <w:p>
      <w:pPr>
        <w:pStyle w:val="yScheduleHeading"/>
        <w:rPr>
          <w:rStyle w:val="CharSchNo"/>
        </w:rPr>
        <w:sectPr>
          <w:headerReference w:type="default" r:id="rId28"/>
          <w:pgSz w:w="11907" w:h="16840" w:code="9"/>
          <w:pgMar w:top="2381" w:right="2410" w:bottom="3544" w:left="2410" w:header="720" w:footer="3380" w:gutter="0"/>
          <w:cols w:space="720"/>
          <w:noEndnote/>
          <w:docGrid w:linePitch="326"/>
        </w:sectPr>
      </w:pPr>
    </w:p>
    <w:p>
      <w:pPr>
        <w:pStyle w:val="yScheduleHeading"/>
      </w:pPr>
      <w:bookmarkStart w:id="174" w:name="_Toc391651432"/>
      <w:bookmarkStart w:id="175" w:name="_Toc411343228"/>
      <w:bookmarkStart w:id="176" w:name="_Toc416945919"/>
      <w:bookmarkStart w:id="177" w:name="_Toc416945980"/>
      <w:bookmarkStart w:id="178" w:name="_Toc417653158"/>
      <w:bookmarkStart w:id="179" w:name="_Toc418764840"/>
      <w:bookmarkStart w:id="180" w:name="_Toc418765020"/>
      <w:bookmarkStart w:id="181" w:name="_Toc418765083"/>
      <w:r>
        <w:rPr>
          <w:rStyle w:val="CharSchNo"/>
        </w:rPr>
        <w:t>Schedule 3</w:t>
      </w:r>
      <w:bookmarkEnd w:id="174"/>
      <w:bookmarkEnd w:id="175"/>
      <w:bookmarkEnd w:id="176"/>
      <w:bookmarkEnd w:id="177"/>
      <w:bookmarkEnd w:id="178"/>
      <w:bookmarkEnd w:id="179"/>
      <w:bookmarkEnd w:id="180"/>
      <w:bookmarkEnd w:id="181"/>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182" w:name="_Toc391651433"/>
      <w:bookmarkStart w:id="183" w:name="_Toc411343229"/>
      <w:bookmarkStart w:id="184" w:name="_Toc416945920"/>
      <w:bookmarkStart w:id="185" w:name="_Toc416945981"/>
      <w:bookmarkStart w:id="186" w:name="_Toc417653159"/>
      <w:bookmarkStart w:id="187" w:name="_Toc418764841"/>
      <w:bookmarkStart w:id="188" w:name="_Toc418765021"/>
      <w:bookmarkStart w:id="189" w:name="_Toc418765084"/>
      <w:r>
        <w:rPr>
          <w:rStyle w:val="CharSchText"/>
        </w:rPr>
        <w:t>Forms</w:t>
      </w:r>
      <w:bookmarkEnd w:id="182"/>
      <w:bookmarkEnd w:id="183"/>
      <w:bookmarkEnd w:id="184"/>
      <w:bookmarkEnd w:id="185"/>
      <w:bookmarkEnd w:id="186"/>
      <w:bookmarkEnd w:id="187"/>
      <w:bookmarkEnd w:id="188"/>
      <w:bookmarkEnd w:id="189"/>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90" w:name="_Toc391651434"/>
      <w:bookmarkStart w:id="191" w:name="_Toc411343230"/>
      <w:bookmarkStart w:id="192" w:name="_Toc416945921"/>
      <w:bookmarkStart w:id="193" w:name="_Toc416945982"/>
      <w:bookmarkStart w:id="194" w:name="_Toc417653160"/>
      <w:bookmarkStart w:id="195" w:name="_Toc418764842"/>
      <w:bookmarkStart w:id="196" w:name="_Toc418765022"/>
      <w:bookmarkStart w:id="197" w:name="_Toc418765085"/>
      <w:r>
        <w:t>Notes</w:t>
      </w:r>
      <w:bookmarkEnd w:id="190"/>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8" w:name="_Toc411343231"/>
      <w:bookmarkStart w:id="199" w:name="_Toc418765086"/>
      <w:r>
        <w:rPr>
          <w:snapToGrid w:val="0"/>
        </w:rPr>
        <w:t>Compilation table</w:t>
      </w:r>
      <w:bookmarkEnd w:id="198"/>
      <w:bookmarkEnd w:id="1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w:t>
            </w:r>
            <w:r>
              <w:br/>
              <w:t>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Borders>
              <w:bottom w:val="single" w:sz="4" w:space="0" w:color="auto"/>
            </w:tcBorders>
          </w:tcPr>
          <w:p>
            <w:pPr>
              <w:pStyle w:val="nTable"/>
              <w:spacing w:after="40"/>
              <w:ind w:right="170"/>
              <w:rPr>
                <w:i/>
              </w:rPr>
            </w:pPr>
            <w:r>
              <w:rPr>
                <w:i/>
              </w:rPr>
              <w:t>Queen Elizabeth II Medical Centre (Delegated Site) Amendment By</w:t>
            </w:r>
            <w:r>
              <w:rPr>
                <w:i/>
              </w:rPr>
              <w:noBreakHyphen/>
              <w:t>laws (No. 3) 2015</w:t>
            </w:r>
          </w:p>
        </w:tc>
        <w:tc>
          <w:tcPr>
            <w:tcW w:w="1276" w:type="dxa"/>
            <w:tcBorders>
              <w:bottom w:val="single" w:sz="4" w:space="0" w:color="auto"/>
            </w:tcBorders>
          </w:tcPr>
          <w:p>
            <w:pPr>
              <w:pStyle w:val="nTable"/>
              <w:keepLines/>
              <w:spacing w:after="40"/>
            </w:pPr>
            <w:r>
              <w:t>30 Jun 2015 p. 2335</w:t>
            </w:r>
            <w:r>
              <w:noBreakHyphen/>
              <w:t>6</w:t>
            </w:r>
          </w:p>
        </w:tc>
        <w:tc>
          <w:tcPr>
            <w:tcW w:w="2693" w:type="dxa"/>
            <w:tcBorders>
              <w:bottom w:val="single" w:sz="4" w:space="0" w:color="auto"/>
            </w:tcBorders>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0" w:name="_Toc402966387"/>
      <w:bookmarkStart w:id="201" w:name="_Toc436042042"/>
      <w:bookmarkStart w:id="202" w:name="_Toc452373592"/>
      <w:r>
        <w:rPr>
          <w:snapToGrid w:val="0"/>
        </w:rPr>
        <w:t>Provisions that have not come into operation</w:t>
      </w:r>
      <w:bookmarkEnd w:id="200"/>
      <w:bookmarkEnd w:id="201"/>
      <w:bookmarkEnd w:id="202"/>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307(j)</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307(j)</w:t>
      </w:r>
      <w:r>
        <w:rPr>
          <w:i/>
        </w:rPr>
        <w:t xml:space="preserve"> </w:t>
      </w:r>
      <w:r>
        <w:rPr>
          <w:snapToGrid w:val="0"/>
        </w:rPr>
        <w:t>had not come into operation.  It reads as follows:</w:t>
      </w:r>
    </w:p>
    <w:p>
      <w:pPr>
        <w:pStyle w:val="BlankOpen"/>
      </w:pPr>
    </w:p>
    <w:p>
      <w:pPr>
        <w:pStyle w:val="nzHeading5"/>
      </w:pPr>
      <w:bookmarkStart w:id="203" w:name="_Toc451509718"/>
      <w:r>
        <w:rPr>
          <w:rStyle w:val="CharSectno"/>
        </w:rPr>
        <w:t>307</w:t>
      </w:r>
      <w:r>
        <w:t>.</w:t>
      </w:r>
      <w:r>
        <w:tab/>
        <w:t>By</w:t>
      </w:r>
      <w:r>
        <w:noBreakHyphen/>
        <w:t>laws and regulations repealed</w:t>
      </w:r>
      <w:bookmarkEnd w:id="203"/>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204" w:name="_Toc418764844"/>
      <w:bookmarkStart w:id="205" w:name="_Toc418765024"/>
      <w:bookmarkStart w:id="206" w:name="_Toc418765087"/>
      <w:r>
        <w:rPr>
          <w:sz w:val="28"/>
        </w:rPr>
        <w:t>Defined terms</w:t>
      </w:r>
      <w:bookmarkEnd w:id="204"/>
      <w:bookmarkEnd w:id="205"/>
      <w:bookmarkEnd w:id="2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prohibited item</w:t>
      </w:r>
      <w:r>
        <w:tab/>
        <w:t>7(1)</w:t>
      </w:r>
    </w:p>
    <w:p>
      <w:pPr>
        <w:pStyle w:val="DefinedTerms"/>
      </w:pPr>
      <w:r>
        <w:t>responsible person</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May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ab/>
          </w:r>
          <w:r>
            <w:rPr>
              <w:b/>
            </w:rPr>
            <w:tab/>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65" w:name="Schedule"/>
    <w:bookmarkEnd w:id="1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7" w:name="DefinedTerms"/>
    <w:bookmarkEnd w:id="20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8" w:name="Coversheet"/>
    <w:bookmarkEnd w:id="2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216"/>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7649</Words>
  <Characters>37557</Characters>
  <Application>Microsoft Office Word</Application>
  <DocSecurity>0</DocSecurity>
  <Lines>1295</Lines>
  <Paragraphs>869</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1986 - 02-g0-00</dc:title>
  <dc:subject/>
  <dc:creator/>
  <cp:keywords/>
  <dc:description/>
  <cp:lastModifiedBy>svcMRProcess</cp:lastModifiedBy>
  <cp:revision>4</cp:revision>
  <cp:lastPrinted>2014-05-01T08:25:00Z</cp:lastPrinted>
  <dcterms:created xsi:type="dcterms:W3CDTF">2018-09-13T09:01:00Z</dcterms:created>
  <dcterms:modified xsi:type="dcterms:W3CDTF">2018-09-13T09:02:00Z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No">
    <vt:lpwstr>2</vt:lpwstr>
  </property>
  <property fmtid="{D5CDD505-2E9C-101B-9397-08002B2CF9AE}" pid="6" name="ReprintedAsAt">
    <vt:filetime>2014-04-17T16:00:00Z</vt:filetime>
  </property>
  <property fmtid="{D5CDD505-2E9C-101B-9397-08002B2CF9AE}" pid="7" name="AsAtDate">
    <vt:lpwstr>26 May 2016</vt:lpwstr>
  </property>
  <property fmtid="{D5CDD505-2E9C-101B-9397-08002B2CF9AE}" pid="8" name="Suffix">
    <vt:lpwstr>02-g0-00</vt:lpwstr>
  </property>
  <property fmtid="{D5CDD505-2E9C-101B-9397-08002B2CF9AE}" pid="9" name="CommencementDate">
    <vt:lpwstr>20160526</vt:lpwstr>
  </property>
</Properties>
</file>