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Perth Hospital By-laws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_Toc525024842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_Toc525024843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_Toc525024844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_Toc525024845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_Toc525024847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_Toc525024848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_Toc525024849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_Toc525024850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_Toc525024851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_Toc525024854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_Toc525024855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_Toc525024856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_Toc525024857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_Toc525024858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_Toc525024860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_Toc525024861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_Toc525024862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_Toc525024863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_Toc525024864 \h </w:instrText>
      </w:r>
      <w:r>
        <w:fldChar w:fldCharType="separate"/>
      </w:r>
      <w:r>
        <w:t>8</w:t>
      </w:r>
      <w:r>
        <w:fldChar w:fldCharType="end"/>
      </w:r>
    </w:p>
    <w:p>
      <w:pPr>
        <w:pStyle w:val="TOC8"/>
        <w:rPr>
          <w:rFonts w:asciiTheme="minorHAnsi" w:eastAsiaTheme="minorEastAsia" w:hAnsiTheme="minorHAnsi" w:cstheme="minorBidi"/>
          <w:szCs w:val="22"/>
        </w:rPr>
      </w:pPr>
      <w:r>
        <w:t>19A.</w:t>
      </w:r>
      <w:r>
        <w:tab/>
        <w:t>Parking in paid staff parking area</w:t>
      </w:r>
      <w:r>
        <w:tab/>
      </w:r>
      <w:r>
        <w:fldChar w:fldCharType="begin"/>
      </w:r>
      <w:r>
        <w:instrText xml:space="preserve"> PAGEREF _Toc525024865 \h </w:instrText>
      </w:r>
      <w:r>
        <w:fldChar w:fldCharType="separate"/>
      </w:r>
      <w:r>
        <w:t>10</w:t>
      </w:r>
      <w:r>
        <w:fldChar w:fldCharType="end"/>
      </w:r>
    </w:p>
    <w:p>
      <w:pPr>
        <w:pStyle w:val="TOC8"/>
        <w:rPr>
          <w:rFonts w:asciiTheme="minorHAnsi" w:eastAsiaTheme="minorEastAsia" w:hAnsiTheme="minorHAnsi" w:cstheme="minorBidi"/>
          <w:szCs w:val="22"/>
        </w:rPr>
      </w:pPr>
      <w:r>
        <w:t>19B.</w:t>
      </w:r>
      <w:r>
        <w:tab/>
        <w:t>Parking in permit parking area</w:t>
      </w:r>
      <w:r>
        <w:tab/>
      </w:r>
      <w:r>
        <w:fldChar w:fldCharType="begin"/>
      </w:r>
      <w:r>
        <w:instrText xml:space="preserve"> PAGEREF _Toc525024866 \h </w:instrText>
      </w:r>
      <w:r>
        <w:fldChar w:fldCharType="separate"/>
      </w:r>
      <w:r>
        <w:t>10</w:t>
      </w:r>
      <w:r>
        <w:fldChar w:fldCharType="end"/>
      </w:r>
    </w:p>
    <w:p>
      <w:pPr>
        <w:pStyle w:val="TOC8"/>
        <w:rPr>
          <w:rFonts w:asciiTheme="minorHAnsi" w:eastAsiaTheme="minorEastAsia" w:hAnsiTheme="minorHAnsi" w:cstheme="minorBidi"/>
          <w:szCs w:val="22"/>
        </w:rPr>
      </w:pPr>
      <w:r>
        <w:t>19C.</w:t>
      </w:r>
      <w:r>
        <w:tab/>
        <w:t>Parking permits</w:t>
      </w:r>
      <w:r>
        <w:tab/>
      </w:r>
      <w:r>
        <w:fldChar w:fldCharType="begin"/>
      </w:r>
      <w:r>
        <w:instrText xml:space="preserve"> PAGEREF _Toc525024867 \h </w:instrText>
      </w:r>
      <w:r>
        <w:fldChar w:fldCharType="separate"/>
      </w:r>
      <w:r>
        <w:t>11</w:t>
      </w:r>
      <w:r>
        <w:fldChar w:fldCharType="end"/>
      </w:r>
    </w:p>
    <w:p>
      <w:pPr>
        <w:pStyle w:val="TOC8"/>
        <w:rPr>
          <w:rFonts w:asciiTheme="minorHAnsi" w:eastAsiaTheme="minorEastAsia" w:hAnsiTheme="minorHAnsi" w:cstheme="minorBidi"/>
          <w:szCs w:val="22"/>
        </w:rPr>
      </w:pPr>
      <w:r>
        <w:t>19D.</w:t>
      </w:r>
      <w:r>
        <w:tab/>
        <w:t>Application for parking permit</w:t>
      </w:r>
      <w:r>
        <w:tab/>
      </w:r>
      <w:r>
        <w:fldChar w:fldCharType="begin"/>
      </w:r>
      <w:r>
        <w:instrText xml:space="preserve"> PAGEREF _Toc525024868 \h </w:instrText>
      </w:r>
      <w:r>
        <w:fldChar w:fldCharType="separate"/>
      </w:r>
      <w:r>
        <w:t>12</w:t>
      </w:r>
      <w:r>
        <w:fldChar w:fldCharType="end"/>
      </w:r>
    </w:p>
    <w:p>
      <w:pPr>
        <w:pStyle w:val="TOC8"/>
        <w:rPr>
          <w:rFonts w:asciiTheme="minorHAnsi" w:eastAsiaTheme="minorEastAsia" w:hAnsiTheme="minorHAnsi" w:cstheme="minorBidi"/>
          <w:szCs w:val="22"/>
        </w:rPr>
      </w:pPr>
      <w:r>
        <w:t>19E.</w:t>
      </w:r>
      <w:r>
        <w:tab/>
        <w:t>Fees for parking permits</w:t>
      </w:r>
      <w:r>
        <w:tab/>
      </w:r>
      <w:r>
        <w:fldChar w:fldCharType="begin"/>
      </w:r>
      <w:r>
        <w:instrText xml:space="preserve"> PAGEREF _Toc525024869 \h </w:instrText>
      </w:r>
      <w:r>
        <w:fldChar w:fldCharType="separate"/>
      </w:r>
      <w:r>
        <w:t>12</w:t>
      </w:r>
      <w:r>
        <w:fldChar w:fldCharType="end"/>
      </w:r>
    </w:p>
    <w:p>
      <w:pPr>
        <w:pStyle w:val="TOC8"/>
        <w:rPr>
          <w:rFonts w:asciiTheme="minorHAnsi" w:eastAsiaTheme="minorEastAsia" w:hAnsiTheme="minorHAnsi" w:cstheme="minorBidi"/>
          <w:szCs w:val="22"/>
        </w:rPr>
      </w:pPr>
      <w:r>
        <w:t>19F.</w:t>
      </w:r>
      <w:r>
        <w:tab/>
        <w:t>Cancellation of parking permit</w:t>
      </w:r>
      <w:r>
        <w:tab/>
      </w:r>
      <w:r>
        <w:fldChar w:fldCharType="begin"/>
      </w:r>
      <w:r>
        <w:instrText xml:space="preserve"> PAGEREF _Toc525024870 \h </w:instrText>
      </w:r>
      <w:r>
        <w:fldChar w:fldCharType="separate"/>
      </w:r>
      <w:r>
        <w:t>13</w:t>
      </w:r>
      <w:r>
        <w:fldChar w:fldCharType="end"/>
      </w:r>
    </w:p>
    <w:p>
      <w:pPr>
        <w:pStyle w:val="TOC8"/>
        <w:rPr>
          <w:rFonts w:asciiTheme="minorHAnsi" w:eastAsiaTheme="minorEastAsia" w:hAnsiTheme="minorHAnsi" w:cstheme="minorBidi"/>
          <w:szCs w:val="22"/>
        </w:rPr>
      </w:pPr>
      <w:r>
        <w:t>19G.</w:t>
      </w:r>
      <w:r>
        <w:tab/>
        <w:t>Refund of parking permit fees</w:t>
      </w:r>
      <w:r>
        <w:tab/>
      </w:r>
      <w:r>
        <w:fldChar w:fldCharType="begin"/>
      </w:r>
      <w:r>
        <w:instrText xml:space="preserve"> PAGEREF _Toc525024871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_Toc525024873 \h </w:instrText>
      </w:r>
      <w:r>
        <w:fldChar w:fldCharType="separate"/>
      </w:r>
      <w:r>
        <w:t>15</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_Toc525024874 \h </w:instrText>
      </w:r>
      <w:r>
        <w:fldChar w:fldCharType="separate"/>
      </w:r>
      <w:r>
        <w:t>15</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_Toc525024875 \h </w:instrText>
      </w:r>
      <w:r>
        <w:fldChar w:fldCharType="separate"/>
      </w:r>
      <w:r>
        <w:t>16</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_Toc525024876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_Toc525024877 \h </w:instrText>
      </w:r>
      <w:r>
        <w:fldChar w:fldCharType="separate"/>
      </w:r>
      <w:r>
        <w:t>17</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_Toc525024878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_Toc525024880 \h </w:instrText>
      </w:r>
      <w:r>
        <w:fldChar w:fldCharType="separate"/>
      </w:r>
      <w:r>
        <w:t>18</w:t>
      </w:r>
      <w:r>
        <w:fldChar w:fldCharType="end"/>
      </w:r>
    </w:p>
    <w:p>
      <w:pPr>
        <w:pStyle w:val="TOC8"/>
        <w:rPr>
          <w:rFonts w:asciiTheme="minorHAnsi" w:eastAsiaTheme="minorEastAsia" w:hAnsiTheme="minorHAnsi" w:cstheme="minorBidi"/>
          <w:szCs w:val="22"/>
        </w:rPr>
      </w:pPr>
      <w:r>
        <w:t>26.</w:t>
      </w:r>
      <w:r>
        <w:tab/>
        <w:t>Responsible person may be treated as driver or person in charge of vehicle</w:t>
      </w:r>
      <w:r>
        <w:tab/>
      </w:r>
      <w:r>
        <w:fldChar w:fldCharType="begin"/>
      </w:r>
      <w:r>
        <w:instrText xml:space="preserve"> PAGEREF _Toc525024881 \h </w:instrText>
      </w:r>
      <w:r>
        <w:fldChar w:fldCharType="separate"/>
      </w:r>
      <w:r>
        <w:t>19</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_Toc525024882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_Toc525024888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_Toc525024889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408568986"/>
      <w:bookmarkStart w:id="4" w:name="_Toc416692906"/>
      <w:bookmarkStart w:id="5" w:name="_Toc416692947"/>
      <w:bookmarkStart w:id="6" w:name="_Toc416783086"/>
      <w:bookmarkStart w:id="7" w:name="_Toc416788710"/>
      <w:bookmarkStart w:id="8" w:name="_Toc417653775"/>
      <w:bookmarkStart w:id="9" w:name="_Toc423442245"/>
      <w:bookmarkStart w:id="10" w:name="_Toc423442301"/>
      <w:bookmarkStart w:id="11" w:name="_Toc5250248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8987"/>
      <w:bookmarkStart w:id="13" w:name="_Toc525024842"/>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5" w:name="_Toc408568988"/>
      <w:bookmarkStart w:id="16" w:name="_Toc525024843"/>
      <w:r>
        <w:rPr>
          <w:rStyle w:val="CharSectno"/>
        </w:rPr>
        <w:t>2</w:t>
      </w:r>
      <w:r>
        <w:t>.</w:t>
      </w:r>
      <w:r>
        <w:tab/>
        <w:t>Commencement</w:t>
      </w:r>
      <w:bookmarkEnd w:id="15"/>
      <w:bookmarkEnd w:id="16"/>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7" w:name="_Toc408568989"/>
      <w:bookmarkStart w:id="18" w:name="_Toc525024844"/>
      <w:r>
        <w:rPr>
          <w:rStyle w:val="CharSectno"/>
        </w:rPr>
        <w:t>3</w:t>
      </w:r>
      <w:r>
        <w:t>.</w:t>
      </w:r>
      <w:r>
        <w:tab/>
        <w:t>Terms used</w:t>
      </w:r>
      <w:bookmarkEnd w:id="17"/>
      <w:bookmarkEnd w:id="1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pPr>
      <w:r>
        <w:rPr>
          <w:b/>
          <w:i/>
        </w:rPr>
        <w:tab/>
      </w:r>
      <w:r>
        <w:rPr>
          <w:rStyle w:val="CharDefText"/>
        </w:rPr>
        <w:t>parking permit</w:t>
      </w:r>
      <w:r>
        <w:t xml:space="preserve"> means a permit granted under by</w:t>
      </w:r>
      <w:r>
        <w:noBreakHyphen/>
        <w:t>law 19C(2);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rPr>
          <w:b/>
          <w:i/>
        </w:rPr>
        <w:tab/>
      </w:r>
      <w:r>
        <w:rPr>
          <w:rStyle w:val="CharDefText"/>
        </w:rPr>
        <w:t>prescribed fee</w:t>
      </w:r>
      <w:r>
        <w:t>, in relation to a matter, means the fee specified for that matter in Schedule 2A;</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Indenta"/>
      </w:pPr>
      <w:r>
        <w:tab/>
        <w:t>(b)</w:t>
      </w:r>
      <w:r>
        <w:tab/>
        <w:t>the time of issue or expiry, or the time of issue and expiry, of the ticket;</w:t>
      </w:r>
    </w:p>
    <w:p>
      <w:pPr>
        <w:pStyle w:val="Defstart"/>
      </w:pPr>
      <w:r>
        <w:tab/>
      </w:r>
      <w:r>
        <w:rPr>
          <w:rStyle w:val="CharDefText"/>
        </w:rPr>
        <w:t>ticket vending machine</w:t>
      </w:r>
      <w:r>
        <w:t xml:space="preserve"> means a machine situated in a parking facility which issues a ticket;</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 19 Jun 2015 p. 2101</w:t>
      </w:r>
      <w:r>
        <w:noBreakHyphen/>
        <w:t>2.]</w:t>
      </w:r>
    </w:p>
    <w:p>
      <w:pPr>
        <w:pStyle w:val="Heading5"/>
      </w:pPr>
      <w:bookmarkStart w:id="19" w:name="_Toc408568990"/>
      <w:bookmarkStart w:id="20" w:name="_Toc416692910"/>
      <w:bookmarkStart w:id="21" w:name="_Toc416692951"/>
      <w:bookmarkStart w:id="22" w:name="_Toc525024845"/>
      <w:r>
        <w:rPr>
          <w:rStyle w:val="CharSectno"/>
        </w:rPr>
        <w:t>4A</w:t>
      </w:r>
      <w:r>
        <w:t>.</w:t>
      </w:r>
      <w:r>
        <w:tab/>
        <w:t>Appointment of authorised persons</w:t>
      </w:r>
      <w:bookmarkEnd w:id="2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23" w:name="_Toc416783091"/>
      <w:bookmarkStart w:id="24" w:name="_Toc416788715"/>
      <w:bookmarkStart w:id="25" w:name="_Toc417653780"/>
      <w:bookmarkStart w:id="26" w:name="_Toc423442250"/>
      <w:bookmarkStart w:id="27" w:name="_Toc423442306"/>
      <w:bookmarkStart w:id="28" w:name="_Toc525024846"/>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3"/>
      <w:bookmarkEnd w:id="24"/>
      <w:bookmarkEnd w:id="25"/>
      <w:bookmarkEnd w:id="26"/>
      <w:bookmarkEnd w:id="27"/>
      <w:bookmarkEnd w:id="28"/>
    </w:p>
    <w:p>
      <w:pPr>
        <w:pStyle w:val="Heading5"/>
        <w:rPr>
          <w:snapToGrid w:val="0"/>
        </w:rPr>
      </w:pPr>
      <w:bookmarkStart w:id="29" w:name="_Toc408568991"/>
      <w:bookmarkStart w:id="30" w:name="_Toc525024847"/>
      <w:r>
        <w:rPr>
          <w:rStyle w:val="CharSectno"/>
        </w:rPr>
        <w:t>4</w:t>
      </w:r>
      <w:r>
        <w:t>.</w:t>
      </w:r>
      <w:r>
        <w:tab/>
        <w:t>No entry without cause</w:t>
      </w:r>
      <w:bookmarkEnd w:id="29"/>
      <w:bookmarkEnd w:id="30"/>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1" w:name="_Toc408568992"/>
      <w:bookmarkStart w:id="32" w:name="_Toc525024848"/>
      <w:r>
        <w:rPr>
          <w:rStyle w:val="CharSectno"/>
        </w:rPr>
        <w:t>5</w:t>
      </w:r>
      <w:r>
        <w:t>.</w:t>
      </w:r>
      <w:r>
        <w:tab/>
      </w:r>
      <w:r>
        <w:rPr>
          <w:snapToGrid w:val="0"/>
        </w:rPr>
        <w:t>Directions as to use of certain areas</w:t>
      </w:r>
      <w:bookmarkEnd w:id="31"/>
      <w:bookmarkEnd w:id="32"/>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3" w:name="_Toc408568993"/>
      <w:bookmarkStart w:id="34" w:name="_Toc525024849"/>
      <w:r>
        <w:rPr>
          <w:rStyle w:val="CharSectno"/>
        </w:rPr>
        <w:t>6</w:t>
      </w:r>
      <w:r>
        <w:t>.</w:t>
      </w:r>
      <w:r>
        <w:tab/>
        <w:t>Prohibited items</w:t>
      </w:r>
      <w:bookmarkEnd w:id="3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35" w:name="_Toc408568994"/>
      <w:bookmarkStart w:id="36" w:name="_Toc525024850"/>
      <w:bookmarkEnd w:id="33"/>
      <w:r>
        <w:rPr>
          <w:rStyle w:val="CharSectno"/>
        </w:rPr>
        <w:t>7</w:t>
      </w:r>
      <w:r>
        <w:t>.</w:t>
      </w:r>
      <w:r>
        <w:tab/>
        <w:t>Smoking</w:t>
      </w:r>
      <w:bookmarkEnd w:id="35"/>
      <w:bookmarkEnd w:id="36"/>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7" w:name="_Toc408568995"/>
      <w:bookmarkStart w:id="38" w:name="_Toc525024851"/>
      <w:r>
        <w:rPr>
          <w:rStyle w:val="CharSectno"/>
        </w:rPr>
        <w:t>8</w:t>
      </w:r>
      <w:r>
        <w:t>.</w:t>
      </w:r>
      <w:r>
        <w:tab/>
        <w:t>Persons may be directed to leave site</w:t>
      </w:r>
      <w:bookmarkEnd w:id="3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39" w:name="_Toc408568996"/>
      <w:bookmarkStart w:id="40" w:name="_Toc416692916"/>
      <w:bookmarkStart w:id="41" w:name="_Toc416692957"/>
      <w:bookmarkEnd w:id="37"/>
      <w:r>
        <w:tab/>
        <w:t>[By-law 8 inserted in Gazette 14 Apr 2015 p. 1348</w:t>
      </w:r>
      <w:r>
        <w:noBreakHyphen/>
        <w:t>9.]</w:t>
      </w:r>
    </w:p>
    <w:p>
      <w:pPr>
        <w:pStyle w:val="Heading2"/>
      </w:pPr>
      <w:bookmarkStart w:id="42" w:name="_Toc416783097"/>
      <w:bookmarkStart w:id="43" w:name="_Toc416788721"/>
      <w:bookmarkStart w:id="44" w:name="_Toc417653786"/>
      <w:bookmarkStart w:id="45" w:name="_Toc423442256"/>
      <w:bookmarkStart w:id="46" w:name="_Toc423442312"/>
      <w:bookmarkStart w:id="47" w:name="_Toc525024852"/>
      <w:r>
        <w:rPr>
          <w:rStyle w:val="CharPartNo"/>
        </w:rPr>
        <w:t>Part 3</w:t>
      </w:r>
      <w:r>
        <w:t> — </w:t>
      </w:r>
      <w:r>
        <w:rPr>
          <w:rStyle w:val="CharPartText"/>
        </w:rPr>
        <w:t>Traffic control</w:t>
      </w:r>
      <w:bookmarkEnd w:id="39"/>
      <w:bookmarkEnd w:id="40"/>
      <w:bookmarkEnd w:id="41"/>
      <w:bookmarkEnd w:id="42"/>
      <w:bookmarkEnd w:id="43"/>
      <w:bookmarkEnd w:id="44"/>
      <w:bookmarkEnd w:id="45"/>
      <w:bookmarkEnd w:id="46"/>
      <w:bookmarkEnd w:id="47"/>
    </w:p>
    <w:p>
      <w:pPr>
        <w:pStyle w:val="Heading3"/>
      </w:pPr>
      <w:bookmarkStart w:id="48" w:name="_Toc408568997"/>
      <w:bookmarkStart w:id="49" w:name="_Toc416692917"/>
      <w:bookmarkStart w:id="50" w:name="_Toc416692958"/>
      <w:bookmarkStart w:id="51" w:name="_Toc416783098"/>
      <w:bookmarkStart w:id="52" w:name="_Toc416788722"/>
      <w:bookmarkStart w:id="53" w:name="_Toc417653787"/>
      <w:bookmarkStart w:id="54" w:name="_Toc423442257"/>
      <w:bookmarkStart w:id="55" w:name="_Toc423442313"/>
      <w:bookmarkStart w:id="56" w:name="_Toc525024853"/>
      <w:r>
        <w:rPr>
          <w:rStyle w:val="CharDivNo"/>
        </w:rPr>
        <w:t>Division 1</w:t>
      </w:r>
      <w:r>
        <w:t> — </w:t>
      </w:r>
      <w:r>
        <w:rPr>
          <w:rStyle w:val="CharDivText"/>
        </w:rPr>
        <w:t>Driving and use of vehicles</w:t>
      </w:r>
      <w:bookmarkEnd w:id="48"/>
      <w:bookmarkEnd w:id="49"/>
      <w:bookmarkEnd w:id="50"/>
      <w:bookmarkEnd w:id="51"/>
      <w:bookmarkEnd w:id="52"/>
      <w:bookmarkEnd w:id="53"/>
      <w:bookmarkEnd w:id="54"/>
      <w:bookmarkEnd w:id="55"/>
      <w:bookmarkEnd w:id="56"/>
    </w:p>
    <w:p>
      <w:pPr>
        <w:pStyle w:val="Heading5"/>
      </w:pPr>
      <w:bookmarkStart w:id="57" w:name="_Toc408568998"/>
      <w:bookmarkStart w:id="58" w:name="_Toc525024854"/>
      <w:r>
        <w:rPr>
          <w:rStyle w:val="CharSectno"/>
        </w:rPr>
        <w:t>9</w:t>
      </w:r>
      <w:r>
        <w:t>.</w:t>
      </w:r>
      <w:r>
        <w:tab/>
        <w:t>Driving of vehicles</w:t>
      </w:r>
      <w:bookmarkEnd w:id="57"/>
      <w:bookmarkEnd w:id="58"/>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9" w:name="_Toc408568999"/>
      <w:bookmarkStart w:id="60" w:name="_Toc525024855"/>
      <w:r>
        <w:rPr>
          <w:rStyle w:val="CharSectno"/>
        </w:rPr>
        <w:t>10</w:t>
      </w:r>
      <w:r>
        <w:t>.</w:t>
      </w:r>
      <w:r>
        <w:tab/>
        <w:t>Driver to obey reasonable direction</w:t>
      </w:r>
      <w:bookmarkEnd w:id="59"/>
      <w:bookmarkEnd w:id="6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1" w:name="_Toc408569000"/>
      <w:bookmarkStart w:id="62" w:name="_Toc525024856"/>
      <w:r>
        <w:rPr>
          <w:rStyle w:val="CharSectno"/>
        </w:rPr>
        <w:t>11</w:t>
      </w:r>
      <w:r>
        <w:t>.</w:t>
      </w:r>
      <w:r>
        <w:tab/>
        <w:t>Speed limits</w:t>
      </w:r>
      <w:bookmarkEnd w:id="61"/>
      <w:bookmarkEnd w:id="6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63" w:name="_Toc408569001"/>
      <w:bookmarkStart w:id="64" w:name="_Toc525024857"/>
      <w:r>
        <w:rPr>
          <w:rStyle w:val="CharSectno"/>
        </w:rPr>
        <w:t>12</w:t>
      </w:r>
      <w:r>
        <w:t>.</w:t>
      </w:r>
      <w:r>
        <w:tab/>
        <w:t>Giving way</w:t>
      </w:r>
      <w:bookmarkEnd w:id="63"/>
      <w:bookmarkEnd w:id="6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5" w:name="_Toc408569002"/>
      <w:bookmarkStart w:id="66" w:name="_Toc525024858"/>
      <w:r>
        <w:rPr>
          <w:rStyle w:val="CharSectno"/>
        </w:rPr>
        <w:t>13</w:t>
      </w:r>
      <w:r>
        <w:t>.</w:t>
      </w:r>
      <w:r>
        <w:tab/>
      </w:r>
      <w:r>
        <w:rPr>
          <w:snapToGrid w:val="0"/>
        </w:rPr>
        <w:t>No instruction or repairs on site</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7" w:name="_Toc408569003"/>
      <w:bookmarkStart w:id="68" w:name="_Toc416692923"/>
      <w:bookmarkStart w:id="69" w:name="_Toc416692964"/>
      <w:bookmarkStart w:id="70" w:name="_Toc416783104"/>
      <w:bookmarkStart w:id="71" w:name="_Toc416788728"/>
      <w:bookmarkStart w:id="72" w:name="_Toc417653793"/>
      <w:bookmarkStart w:id="73" w:name="_Toc423442263"/>
      <w:bookmarkStart w:id="74" w:name="_Toc423442319"/>
      <w:bookmarkStart w:id="75" w:name="_Toc525024859"/>
      <w:r>
        <w:rPr>
          <w:rStyle w:val="CharDivNo"/>
        </w:rPr>
        <w:t>Division 2</w:t>
      </w:r>
      <w:r>
        <w:t> — </w:t>
      </w:r>
      <w:r>
        <w:rPr>
          <w:rStyle w:val="CharDivText"/>
        </w:rPr>
        <w:t>Parking</w:t>
      </w:r>
      <w:bookmarkEnd w:id="67"/>
      <w:bookmarkEnd w:id="68"/>
      <w:bookmarkEnd w:id="69"/>
      <w:bookmarkEnd w:id="70"/>
      <w:bookmarkEnd w:id="71"/>
      <w:bookmarkEnd w:id="72"/>
      <w:bookmarkEnd w:id="73"/>
      <w:bookmarkEnd w:id="74"/>
      <w:bookmarkEnd w:id="75"/>
    </w:p>
    <w:p>
      <w:pPr>
        <w:pStyle w:val="Heading5"/>
      </w:pPr>
      <w:bookmarkStart w:id="76" w:name="_Toc408569004"/>
      <w:bookmarkStart w:id="77" w:name="_Toc525024860"/>
      <w:r>
        <w:rPr>
          <w:rStyle w:val="CharSectno"/>
        </w:rPr>
        <w:t>14</w:t>
      </w:r>
      <w:r>
        <w:t>.</w:t>
      </w:r>
      <w:r>
        <w:tab/>
        <w:t>Parking to be in parking spaces only</w:t>
      </w:r>
      <w:bookmarkEnd w:id="76"/>
      <w:bookmarkEnd w:id="7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8" w:name="_Toc408569005"/>
      <w:bookmarkStart w:id="79" w:name="_Toc525024861"/>
      <w:r>
        <w:rPr>
          <w:rStyle w:val="CharSectno"/>
        </w:rPr>
        <w:t>15</w:t>
      </w:r>
      <w:r>
        <w:t>.</w:t>
      </w:r>
      <w:r>
        <w:tab/>
        <w:t>Signs to be obeyed</w:t>
      </w:r>
      <w:bookmarkEnd w:id="78"/>
      <w:bookmarkEnd w:id="7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0" w:name="_Toc408569006"/>
      <w:bookmarkStart w:id="81" w:name="_Toc525024862"/>
      <w:r>
        <w:rPr>
          <w:rStyle w:val="CharSectno"/>
        </w:rPr>
        <w:t>16</w:t>
      </w:r>
      <w:r>
        <w:t>.</w:t>
      </w:r>
      <w:r>
        <w:tab/>
        <w:t>Parking in parking spaces</w:t>
      </w:r>
      <w:bookmarkEnd w:id="80"/>
      <w:bookmarkEnd w:id="81"/>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2" w:name="_Toc525024863"/>
      <w:r>
        <w:rPr>
          <w:rStyle w:val="CharSectno"/>
        </w:rPr>
        <w:t>17</w:t>
      </w:r>
      <w:r>
        <w:t>.</w:t>
      </w:r>
      <w:r>
        <w:tab/>
        <w:t>Types of parking areas</w:t>
      </w:r>
      <w:bookmarkEnd w:id="82"/>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19A; or</w:t>
      </w:r>
    </w:p>
    <w:p>
      <w:pPr>
        <w:pStyle w:val="Indenta"/>
      </w:pPr>
      <w:r>
        <w:tab/>
        <w:t>(c)</w:t>
      </w:r>
      <w:r>
        <w:tab/>
        <w:t>a permit parking area for the purposes of by</w:t>
      </w:r>
      <w:r>
        <w:noBreakHyphen/>
        <w:t>law 19B.</w:t>
      </w:r>
    </w:p>
    <w:p>
      <w:pPr>
        <w:pStyle w:val="Subsection"/>
      </w:pPr>
      <w:r>
        <w:tab/>
        <w:t>(2)</w:t>
      </w:r>
      <w:r>
        <w:tab/>
        <w:t>An area set aside under sub</w:t>
      </w:r>
      <w:r>
        <w:noBreakHyphen/>
        <w:t>bylaw (1) must be identified as such by a sign or signs.</w:t>
      </w:r>
    </w:p>
    <w:p>
      <w:pPr>
        <w:pStyle w:val="Footnotesection"/>
      </w:pPr>
      <w:r>
        <w:tab/>
        <w:t>[By-law 17 inserted in Gazette 19 Jun 2015 p. 2102.]</w:t>
      </w:r>
    </w:p>
    <w:p>
      <w:pPr>
        <w:pStyle w:val="Heading5"/>
      </w:pPr>
      <w:bookmarkStart w:id="83" w:name="_Toc525024864"/>
      <w:r>
        <w:rPr>
          <w:rStyle w:val="CharSectno"/>
        </w:rPr>
        <w:t>18</w:t>
      </w:r>
      <w:r>
        <w:t>.</w:t>
      </w:r>
      <w:r>
        <w:tab/>
        <w:t>Parking in ticket parking area or boom gate controlled ticket parking area</w:t>
      </w:r>
      <w:bookmarkEnd w:id="8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rPr>
          <w:snapToGrid/>
        </w:rPr>
      </w:pPr>
      <w:r>
        <w:tab/>
      </w:r>
      <w:r>
        <w:rPr>
          <w:rStyle w:val="CharDefText"/>
        </w:rPr>
        <w:t>ticket parking area</w:t>
      </w:r>
      <w:r>
        <w:t xml:space="preserve"> </w:t>
      </w:r>
      <w:r>
        <w:rPr>
          <w:snapToGrid/>
        </w:rPr>
        <w:t>means a ticket parking area set aside under by</w:t>
      </w:r>
      <w:r>
        <w:rPr>
          <w:snapToGrid/>
        </w:rP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pPr>
      <w:r>
        <w:tab/>
        <w:t>Penalty for an offence under this sub</w:t>
      </w:r>
      <w:r>
        <w:noBreakHyphen/>
        <w:t>bylaw: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where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pPr>
      <w:r>
        <w:tab/>
        <w:t>Penalty for an offence under this sub</w:t>
      </w:r>
      <w:r>
        <w:noBreakHyphen/>
        <w:t>bylaw: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pPr>
      <w:r>
        <w:tab/>
        <w:t>Penalty for an offence under this sub</w:t>
      </w:r>
      <w:r>
        <w:noBreakHyphen/>
        <w:t>bylaw: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pPr>
      <w:r>
        <w:tab/>
        <w:t>Penalty for an offence under this sub</w:t>
      </w:r>
      <w:r>
        <w:noBreakHyphen/>
        <w:t>bylaw: a fine of $50.</w:t>
      </w:r>
    </w:p>
    <w:p>
      <w:pPr>
        <w:pStyle w:val="Footnotesection"/>
      </w:pPr>
      <w:r>
        <w:tab/>
        <w:t>[By-law 18 inserted in Gazette 19 Jun 2015 p. 2102</w:t>
      </w:r>
      <w:r>
        <w:noBreakHyphen/>
        <w:t>3.]</w:t>
      </w:r>
    </w:p>
    <w:p>
      <w:pPr>
        <w:pStyle w:val="Heading5"/>
      </w:pPr>
      <w:bookmarkStart w:id="84" w:name="_Toc525024865"/>
      <w:r>
        <w:rPr>
          <w:rStyle w:val="CharSectno"/>
        </w:rPr>
        <w:t>19A</w:t>
      </w:r>
      <w:r>
        <w:t>.</w:t>
      </w:r>
      <w:r>
        <w:tab/>
        <w:t>Parking in paid staff parking area</w:t>
      </w:r>
      <w:bookmarkEnd w:id="84"/>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pPr>
      <w:r>
        <w:tab/>
        <w:t>Penalty for an offence under this sub</w:t>
      </w:r>
      <w:r>
        <w:noBreakHyphen/>
        <w:t>bylaw: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pPr>
      <w:r>
        <w:tab/>
        <w:t>Penalty for an offence under this sub</w:t>
      </w:r>
      <w:r>
        <w:noBreakHyphen/>
        <w:t>bylaw: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Footnotesection"/>
      </w:pPr>
      <w:r>
        <w:tab/>
        <w:t>[By-law 19A inserted in Gazette 19 Jun 2015 p. 2103</w:t>
      </w:r>
      <w:r>
        <w:noBreakHyphen/>
        <w:t>4.]</w:t>
      </w:r>
    </w:p>
    <w:p>
      <w:pPr>
        <w:pStyle w:val="Heading5"/>
      </w:pPr>
      <w:bookmarkStart w:id="85" w:name="_Toc525024866"/>
      <w:r>
        <w:rPr>
          <w:rStyle w:val="CharSectno"/>
        </w:rPr>
        <w:t>19B</w:t>
      </w:r>
      <w:r>
        <w:t>.</w:t>
      </w:r>
      <w:r>
        <w:tab/>
        <w:t>Parking in permit parking area</w:t>
      </w:r>
      <w:bookmarkEnd w:id="85"/>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pPr>
      <w:r>
        <w:tab/>
        <w:t>Penalty for an offence under this sub</w:t>
      </w:r>
      <w:r>
        <w:noBreakHyphen/>
        <w:t>bylaw: a fine of $50.</w:t>
      </w:r>
    </w:p>
    <w:p>
      <w:pPr>
        <w:pStyle w:val="Footnotesection"/>
      </w:pPr>
      <w:r>
        <w:tab/>
        <w:t>[By-law 19B inserted in Gazette 19 Jun 2015 p. 2104.]</w:t>
      </w:r>
    </w:p>
    <w:p>
      <w:pPr>
        <w:pStyle w:val="Heading5"/>
      </w:pPr>
      <w:bookmarkStart w:id="86" w:name="_Toc525024867"/>
      <w:r>
        <w:rPr>
          <w:rStyle w:val="CharSectno"/>
        </w:rPr>
        <w:t>19C</w:t>
      </w:r>
      <w:r>
        <w:t>.</w:t>
      </w:r>
      <w:r>
        <w:tab/>
        <w:t>Parking permits</w:t>
      </w:r>
      <w:bookmarkEnd w:id="8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for an offence under this sub</w:t>
      </w:r>
      <w:r>
        <w:noBreakHyphen/>
        <w:t>bylaw: a fine of $50.</w:t>
      </w:r>
    </w:p>
    <w:p>
      <w:pPr>
        <w:pStyle w:val="Footnotesection"/>
      </w:pPr>
      <w:r>
        <w:tab/>
        <w:t>[By-law 19C inserted in Gazette 19 Jun 2015 p. 2104</w:t>
      </w:r>
      <w:r>
        <w:noBreakHyphen/>
        <w:t>5.]</w:t>
      </w:r>
    </w:p>
    <w:p>
      <w:pPr>
        <w:pStyle w:val="Heading5"/>
      </w:pPr>
      <w:bookmarkStart w:id="87" w:name="_Toc525024868"/>
      <w:r>
        <w:rPr>
          <w:rStyle w:val="CharSectno"/>
        </w:rPr>
        <w:t>19D</w:t>
      </w:r>
      <w:r>
        <w:t>.</w:t>
      </w:r>
      <w:r>
        <w:tab/>
        <w:t>Application for parking permit</w:t>
      </w:r>
      <w:bookmarkEnd w:id="87"/>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 xml:space="preserve">An applicant or other person must not give information in relation to an application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Footnotesection"/>
      </w:pPr>
      <w:r>
        <w:tab/>
        <w:t>[By-law 19D inserted in Gazette 19 Jun 2015 p. 2105.]</w:t>
      </w:r>
    </w:p>
    <w:p>
      <w:pPr>
        <w:pStyle w:val="Heading5"/>
      </w:pPr>
      <w:bookmarkStart w:id="88" w:name="_Toc525024869"/>
      <w:r>
        <w:rPr>
          <w:rStyle w:val="CharSectno"/>
        </w:rPr>
        <w:t>19E</w:t>
      </w:r>
      <w:r>
        <w:t>.</w:t>
      </w:r>
      <w:r>
        <w:tab/>
        <w:t>Fees for parking permits</w:t>
      </w:r>
      <w:bookmarkEnd w:id="88"/>
    </w:p>
    <w:p>
      <w:pPr>
        <w:pStyle w:val="Subsection"/>
      </w:pPr>
      <w:r>
        <w:tab/>
        <w:t>(1)</w:t>
      </w:r>
      <w:r>
        <w:tab/>
        <w:t>The prescribed fee is payable for a parking permit.</w:t>
      </w:r>
    </w:p>
    <w:p>
      <w:pPr>
        <w:pStyle w:val="Subsection"/>
      </w:pPr>
      <w:r>
        <w:tab/>
        <w:t>(2)</w:t>
      </w:r>
      <w:r>
        <w:tab/>
        <w:t>The chief executive officer may waive the prescribed fee for a parking permit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Footnotesection"/>
      </w:pPr>
      <w:r>
        <w:tab/>
        <w:t>[By-law 19E inserted in Gazette 19 Jun 2015 p. 2105</w:t>
      </w:r>
      <w:r>
        <w:noBreakHyphen/>
        <w:t>6.]</w:t>
      </w:r>
    </w:p>
    <w:p>
      <w:pPr>
        <w:pStyle w:val="Heading5"/>
      </w:pPr>
      <w:bookmarkStart w:id="89" w:name="_Toc525024870"/>
      <w:r>
        <w:rPr>
          <w:rStyle w:val="CharSectno"/>
        </w:rPr>
        <w:t>19F</w:t>
      </w:r>
      <w:r>
        <w:t>.</w:t>
      </w:r>
      <w:r>
        <w:tab/>
        <w:t>Cancellation of parking permit</w:t>
      </w:r>
      <w:bookmarkEnd w:id="8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19E(3)(b)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19D(5);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19F inserted in Gazette 19 Jun 2015 p. 2106</w:t>
      </w:r>
      <w:r>
        <w:noBreakHyphen/>
        <w:t>7.]</w:t>
      </w:r>
    </w:p>
    <w:p>
      <w:pPr>
        <w:pStyle w:val="Heading5"/>
      </w:pPr>
      <w:bookmarkStart w:id="90" w:name="_Toc525024871"/>
      <w:r>
        <w:rPr>
          <w:rStyle w:val="CharSectno"/>
        </w:rPr>
        <w:t>19G</w:t>
      </w:r>
      <w:r>
        <w:t>.</w:t>
      </w:r>
      <w:r>
        <w:tab/>
        <w:t>Refund of parking permit fees</w:t>
      </w:r>
      <w:bookmarkEnd w:id="90"/>
    </w:p>
    <w:p>
      <w:pPr>
        <w:pStyle w:val="Subsection"/>
      </w:pPr>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19G inserted in Gazette 19 Jun 2015 p. 2107.]</w:t>
      </w:r>
    </w:p>
    <w:p>
      <w:pPr>
        <w:pStyle w:val="Heading2"/>
      </w:pPr>
      <w:bookmarkStart w:id="91" w:name="_Toc408569009"/>
      <w:bookmarkStart w:id="92" w:name="_Toc416692929"/>
      <w:bookmarkStart w:id="93" w:name="_Toc416692970"/>
      <w:bookmarkStart w:id="94" w:name="_Toc416783110"/>
      <w:bookmarkStart w:id="95" w:name="_Toc416788734"/>
      <w:bookmarkStart w:id="96" w:name="_Toc417653799"/>
      <w:bookmarkStart w:id="97" w:name="_Toc423442278"/>
      <w:bookmarkStart w:id="98" w:name="_Toc423442334"/>
      <w:bookmarkStart w:id="99" w:name="_Toc525024872"/>
      <w:r>
        <w:rPr>
          <w:rStyle w:val="CharPartNo"/>
        </w:rPr>
        <w:t>Part 4</w:t>
      </w:r>
      <w:r>
        <w:rPr>
          <w:rStyle w:val="CharDivNo"/>
        </w:rPr>
        <w:t> </w:t>
      </w:r>
      <w:r>
        <w:t>—</w:t>
      </w:r>
      <w:r>
        <w:rPr>
          <w:rStyle w:val="CharDivText"/>
        </w:rPr>
        <w:t> </w:t>
      </w:r>
      <w:r>
        <w:rPr>
          <w:rStyle w:val="CharPartText"/>
        </w:rPr>
        <w:t>Infringement notices</w:t>
      </w:r>
      <w:bookmarkEnd w:id="91"/>
      <w:bookmarkEnd w:id="92"/>
      <w:bookmarkEnd w:id="93"/>
      <w:bookmarkEnd w:id="94"/>
      <w:bookmarkEnd w:id="95"/>
      <w:bookmarkEnd w:id="96"/>
      <w:bookmarkEnd w:id="97"/>
      <w:bookmarkEnd w:id="98"/>
      <w:bookmarkEnd w:id="99"/>
    </w:p>
    <w:p>
      <w:pPr>
        <w:pStyle w:val="Heading5"/>
        <w:rPr>
          <w:snapToGrid w:val="0"/>
        </w:rPr>
      </w:pPr>
      <w:bookmarkStart w:id="100" w:name="_Toc408569010"/>
      <w:bookmarkStart w:id="101" w:name="_Toc525024873"/>
      <w:r>
        <w:rPr>
          <w:rStyle w:val="CharSectno"/>
        </w:rPr>
        <w:t>19</w:t>
      </w:r>
      <w:r>
        <w:t>.</w:t>
      </w:r>
      <w:r>
        <w:tab/>
        <w:t>Terms used</w:t>
      </w:r>
      <w:bookmarkEnd w:id="100"/>
      <w:bookmarkEnd w:id="10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2" w:name="_Toc408569011"/>
      <w:r>
        <w:tab/>
        <w:t>[By-law 19 amended in Gazette 8 Jan 2015 p. 194.]</w:t>
      </w:r>
    </w:p>
    <w:p>
      <w:pPr>
        <w:pStyle w:val="Heading5"/>
      </w:pPr>
      <w:bookmarkStart w:id="103" w:name="_Toc525024874"/>
      <w:r>
        <w:rPr>
          <w:rStyle w:val="CharSectno"/>
        </w:rPr>
        <w:t>20</w:t>
      </w:r>
      <w:r>
        <w:t>.</w:t>
      </w:r>
      <w:r>
        <w:tab/>
        <w:t>Infringement notices</w:t>
      </w:r>
      <w:bookmarkEnd w:id="102"/>
      <w:bookmarkEnd w:id="103"/>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04" w:name="_Toc408569012"/>
      <w:bookmarkStart w:id="105" w:name="_Toc525024875"/>
      <w:r>
        <w:rPr>
          <w:rStyle w:val="CharSectno"/>
        </w:rPr>
        <w:t>21</w:t>
      </w:r>
      <w:r>
        <w:t>.</w:t>
      </w:r>
      <w:r>
        <w:tab/>
        <w:t>Withdrawal of infringement notice</w:t>
      </w:r>
      <w:bookmarkEnd w:id="104"/>
      <w:bookmarkEnd w:id="105"/>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6" w:name="_Toc408569013"/>
      <w:bookmarkStart w:id="107" w:name="_Toc525024876"/>
      <w:r>
        <w:rPr>
          <w:rStyle w:val="CharSectno"/>
        </w:rPr>
        <w:t>22</w:t>
      </w:r>
      <w:r>
        <w:t>.</w:t>
      </w:r>
      <w:r>
        <w:tab/>
        <w:t>Authorised persons to produce certificate</w:t>
      </w:r>
      <w:bookmarkEnd w:id="107"/>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108" w:name="_Toc408569014"/>
      <w:bookmarkStart w:id="109" w:name="_Toc525024877"/>
      <w:bookmarkEnd w:id="106"/>
      <w:r>
        <w:rPr>
          <w:rStyle w:val="CharSectno"/>
        </w:rPr>
        <w:t>23</w:t>
      </w:r>
      <w:r>
        <w:t>.</w:t>
      </w:r>
      <w:r>
        <w:tab/>
        <w:t>Authorised persons only to endorse and alter infringement notices</w:t>
      </w:r>
      <w:bookmarkEnd w:id="108"/>
      <w:bookmarkEnd w:id="10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10" w:name="_Toc408569015"/>
      <w:bookmarkStart w:id="111" w:name="_Toc525024878"/>
      <w:r>
        <w:rPr>
          <w:rStyle w:val="CharSectno"/>
        </w:rPr>
        <w:t>24</w:t>
      </w:r>
      <w:r>
        <w:t>.</w:t>
      </w:r>
      <w:r>
        <w:tab/>
        <w:t>Restriction on removal of infringement notices</w:t>
      </w:r>
      <w:bookmarkEnd w:id="110"/>
      <w:bookmarkEnd w:id="11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112" w:name="_Toc408569016"/>
      <w:bookmarkStart w:id="113" w:name="_Toc416692936"/>
      <w:bookmarkStart w:id="114" w:name="_Toc416692977"/>
      <w:bookmarkStart w:id="115" w:name="_Toc416783117"/>
      <w:bookmarkStart w:id="116" w:name="_Toc416788741"/>
      <w:r>
        <w:tab/>
        <w:t>[By-law 24 amended in Gazette 8 Jan 2015 p. 194.]</w:t>
      </w:r>
    </w:p>
    <w:p>
      <w:pPr>
        <w:pStyle w:val="Heading2"/>
      </w:pPr>
      <w:bookmarkStart w:id="117" w:name="_Toc417653806"/>
      <w:bookmarkStart w:id="118" w:name="_Toc423442285"/>
      <w:bookmarkStart w:id="119" w:name="_Toc423442341"/>
      <w:bookmarkStart w:id="120" w:name="_Toc525024879"/>
      <w:r>
        <w:rPr>
          <w:rStyle w:val="CharPartNo"/>
        </w:rPr>
        <w:t>Part 5</w:t>
      </w:r>
      <w:r>
        <w:rPr>
          <w:rStyle w:val="CharDivNo"/>
        </w:rPr>
        <w:t> </w:t>
      </w:r>
      <w:r>
        <w:t>—</w:t>
      </w:r>
      <w:r>
        <w:rPr>
          <w:rStyle w:val="CharDivText"/>
        </w:rPr>
        <w:t> </w:t>
      </w:r>
      <w:r>
        <w:rPr>
          <w:rStyle w:val="CharPartText"/>
        </w:rPr>
        <w:t>General</w:t>
      </w:r>
      <w:bookmarkEnd w:id="112"/>
      <w:bookmarkEnd w:id="113"/>
      <w:bookmarkEnd w:id="114"/>
      <w:bookmarkEnd w:id="115"/>
      <w:bookmarkEnd w:id="116"/>
      <w:bookmarkEnd w:id="117"/>
      <w:bookmarkEnd w:id="118"/>
      <w:bookmarkEnd w:id="119"/>
      <w:bookmarkEnd w:id="120"/>
    </w:p>
    <w:p>
      <w:pPr>
        <w:pStyle w:val="Heading5"/>
      </w:pPr>
      <w:bookmarkStart w:id="121" w:name="_Toc408569017"/>
      <w:bookmarkStart w:id="122" w:name="_Toc525024880"/>
      <w:r>
        <w:rPr>
          <w:rStyle w:val="CharSectno"/>
        </w:rPr>
        <w:t>25</w:t>
      </w:r>
      <w:r>
        <w:t>.</w:t>
      </w:r>
      <w:r>
        <w:tab/>
        <w:t>Removal of vehicles</w:t>
      </w:r>
      <w:bookmarkEnd w:id="121"/>
      <w:bookmarkEnd w:id="122"/>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 the responsible person for the vehicle has paid the prescribed fee.</w:t>
      </w:r>
    </w:p>
    <w:p>
      <w:pPr>
        <w:pStyle w:val="Subsection"/>
      </w:pPr>
      <w:r>
        <w:tab/>
        <w:t>(5)</w:t>
      </w:r>
      <w:r>
        <w:tab/>
        <w:t>Payment under sub</w:t>
      </w:r>
      <w:r>
        <w:noBreakHyphen/>
        <w:t xml:space="preserve">bylaw (4)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 19 Jun 2015 p. 2107.]</w:t>
      </w:r>
    </w:p>
    <w:p>
      <w:pPr>
        <w:pStyle w:val="Heading5"/>
      </w:pPr>
      <w:bookmarkStart w:id="123" w:name="_Toc408569018"/>
      <w:bookmarkStart w:id="124" w:name="_Toc525024881"/>
      <w:r>
        <w:rPr>
          <w:rStyle w:val="CharSectno"/>
        </w:rPr>
        <w:t>26</w:t>
      </w:r>
      <w:r>
        <w:t>.</w:t>
      </w:r>
      <w:r>
        <w:tab/>
        <w:t>Responsible person may be treated as driver or person in charge of vehicle</w:t>
      </w:r>
      <w:bookmarkEnd w:id="123"/>
      <w:bookmarkEnd w:id="12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25" w:name="_Toc408569019"/>
      <w:r>
        <w:tab/>
        <w:t>[By-law 26 amended in Gazette 8 Jan 2015 p. 195.]</w:t>
      </w:r>
    </w:p>
    <w:p>
      <w:pPr>
        <w:pStyle w:val="Heading5"/>
      </w:pPr>
      <w:bookmarkStart w:id="126" w:name="_Toc525024882"/>
      <w:r>
        <w:rPr>
          <w:rStyle w:val="CharSectno"/>
        </w:rPr>
        <w:t>27</w:t>
      </w:r>
      <w:r>
        <w:t>.</w:t>
      </w:r>
      <w:r>
        <w:tab/>
        <w:t>Other offences</w:t>
      </w:r>
      <w:bookmarkEnd w:id="125"/>
      <w:bookmarkEnd w:id="12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7" w:name="_Toc408569020"/>
      <w:bookmarkStart w:id="128" w:name="_Toc416692940"/>
      <w:bookmarkStart w:id="129" w:name="_Toc416692981"/>
      <w:bookmarkStart w:id="130" w:name="_Toc416783121"/>
      <w:bookmarkStart w:id="131" w:name="_Toc416788745"/>
      <w:bookmarkStart w:id="132" w:name="_Toc417653810"/>
      <w:bookmarkStart w:id="133" w:name="_Toc423442289"/>
      <w:bookmarkStart w:id="134" w:name="_Toc423442345"/>
      <w:bookmarkStart w:id="135" w:name="_Toc525024883"/>
      <w:r>
        <w:rPr>
          <w:rStyle w:val="CharSchNo"/>
        </w:rPr>
        <w:t>Schedule 1</w:t>
      </w:r>
      <w:r>
        <w:rPr>
          <w:rStyle w:val="CharSDivNo"/>
        </w:rPr>
        <w:t> </w:t>
      </w:r>
      <w:r>
        <w:t>—</w:t>
      </w:r>
      <w:r>
        <w:rPr>
          <w:rStyle w:val="CharSDivText"/>
        </w:rPr>
        <w:t> </w:t>
      </w:r>
      <w:r>
        <w:rPr>
          <w:rStyle w:val="CharSchText"/>
        </w:rPr>
        <w:t>Hospital sites</w:t>
      </w:r>
      <w:bookmarkEnd w:id="127"/>
      <w:bookmarkEnd w:id="128"/>
      <w:bookmarkEnd w:id="129"/>
      <w:bookmarkEnd w:id="130"/>
      <w:bookmarkEnd w:id="131"/>
      <w:bookmarkEnd w:id="132"/>
      <w:bookmarkEnd w:id="133"/>
      <w:bookmarkEnd w:id="134"/>
      <w:bookmarkEnd w:id="135"/>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36" w:name="_Toc423442290"/>
      <w:bookmarkStart w:id="137" w:name="_Toc423442346"/>
      <w:bookmarkStart w:id="138" w:name="_Toc408569021"/>
      <w:bookmarkStart w:id="139" w:name="_Toc416692941"/>
      <w:bookmarkStart w:id="140" w:name="_Toc416692982"/>
      <w:bookmarkStart w:id="141" w:name="_Toc416783122"/>
      <w:bookmarkStart w:id="142" w:name="_Toc416788746"/>
      <w:bookmarkStart w:id="143" w:name="_Toc417653811"/>
      <w:bookmarkStart w:id="144" w:name="_Toc525024884"/>
      <w:r>
        <w:rPr>
          <w:rStyle w:val="CharSchNo"/>
        </w:rPr>
        <w:t>Schedule 2A</w:t>
      </w:r>
      <w:r>
        <w:rPr>
          <w:rStyle w:val="CharSDivNo"/>
        </w:rPr>
        <w:t> </w:t>
      </w:r>
      <w:r>
        <w:t>—</w:t>
      </w:r>
      <w:r>
        <w:rPr>
          <w:rStyle w:val="CharSDivText"/>
        </w:rPr>
        <w:t> </w:t>
      </w:r>
      <w:r>
        <w:rPr>
          <w:rStyle w:val="CharSchText"/>
        </w:rPr>
        <w:t>Fees</w:t>
      </w:r>
      <w:bookmarkEnd w:id="136"/>
      <w:bookmarkEnd w:id="137"/>
      <w:bookmarkEnd w:id="144"/>
    </w:p>
    <w:p>
      <w:pPr>
        <w:pStyle w:val="yShoulderClause"/>
      </w:pPr>
      <w:r>
        <w:t>[bl. 18, 19A, 19E and 25(4)]</w:t>
      </w:r>
    </w:p>
    <w:p>
      <w:pPr>
        <w:pStyle w:val="yFootnoteheading"/>
        <w:spacing w:after="120"/>
      </w:pPr>
      <w:r>
        <w:tab/>
        <w:t>[Heading inserted in Gazette 19 Jun 2015 p. 2107.]</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tcPr>
          <w:p>
            <w:pPr>
              <w:pStyle w:val="yTableNAm"/>
            </w:pPr>
            <w:r>
              <w:t>18(2) or (5)</w:t>
            </w:r>
          </w:p>
        </w:tc>
        <w:tc>
          <w:tcPr>
            <w:tcW w:w="3544" w:type="dxa"/>
          </w:tcPr>
          <w:p>
            <w:pPr>
              <w:pStyle w:val="yTableNAm"/>
            </w:pPr>
            <w:r>
              <w:t>Ticket parking</w:t>
            </w:r>
          </w:p>
        </w:tc>
        <w:tc>
          <w:tcPr>
            <w:tcW w:w="1701" w:type="dxa"/>
          </w:tcPr>
          <w:p>
            <w:pPr>
              <w:pStyle w:val="yTableNAm"/>
            </w:pPr>
            <w:r>
              <w:t>$3.50 per hour up to a maximum of $14.50 per day</w:t>
            </w:r>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19A(3)</w:t>
            </w:r>
          </w:p>
        </w:tc>
        <w:tc>
          <w:tcPr>
            <w:tcW w:w="3544" w:type="dxa"/>
            <w:tcBorders>
              <w:top w:val="single" w:sz="4" w:space="0" w:color="auto"/>
              <w:left w:val="single" w:sz="4" w:space="0" w:color="auto"/>
              <w:bottom w:val="single" w:sz="4" w:space="0" w:color="auto"/>
              <w:right w:val="single" w:sz="4" w:space="0" w:color="auto"/>
            </w:tcBorders>
          </w:tcPr>
          <w:p>
            <w:pPr>
              <w:pStyle w:val="yTableNAm"/>
            </w:pPr>
            <w:r>
              <w:t>Paid staff parking</w:t>
            </w:r>
          </w:p>
        </w:tc>
        <w:tc>
          <w:tcPr>
            <w:tcW w:w="1701" w:type="dxa"/>
            <w:tcBorders>
              <w:top w:val="single" w:sz="4" w:space="0" w:color="auto"/>
              <w:left w:val="single" w:sz="4" w:space="0" w:color="auto"/>
              <w:bottom w:val="single" w:sz="4" w:space="0" w:color="auto"/>
              <w:right w:val="single" w:sz="4" w:space="0" w:color="auto"/>
            </w:tcBorders>
          </w:tcPr>
          <w:p>
            <w:pPr>
              <w:pStyle w:val="yTableNAm"/>
            </w:pPr>
            <w:r>
              <w:t>$5.90 per day, up to a maximum of $29.50 per week</w:t>
            </w:r>
          </w:p>
        </w:tc>
      </w:tr>
      <w:tr>
        <w:trPr>
          <w:cantSplit/>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pPr>
            <w:r>
              <w:t>19E(1)</w:t>
            </w:r>
          </w:p>
        </w:tc>
        <w:tc>
          <w:tcPr>
            <w:tcW w:w="3544" w:type="dxa"/>
            <w:tcBorders>
              <w:top w:val="single" w:sz="4" w:space="0" w:color="auto"/>
              <w:left w:val="single" w:sz="4" w:space="0" w:color="auto"/>
              <w:bottom w:val="nil"/>
              <w:right w:val="single" w:sz="4" w:space="0" w:color="auto"/>
            </w:tcBorders>
          </w:tcPr>
          <w:p>
            <w:pPr>
              <w:pStyle w:val="yTableNAm"/>
            </w:pPr>
            <w:r>
              <w:t>Parking permit</w:t>
            </w:r>
          </w:p>
        </w:tc>
        <w:tc>
          <w:tcPr>
            <w:tcW w:w="1701" w:type="dxa"/>
            <w:tcBorders>
              <w:top w:val="single" w:sz="4" w:space="0" w:color="auto"/>
              <w:left w:val="single" w:sz="4" w:space="0" w:color="auto"/>
              <w:bottom w:val="nil"/>
              <w:right w:val="single" w:sz="4" w:space="0" w:color="auto"/>
            </w:tcBorders>
          </w:tcPr>
          <w:p>
            <w:pPr>
              <w:pStyle w:val="yTableNAm"/>
            </w:pPr>
            <w:r>
              <w:t>No fee</w:t>
            </w:r>
          </w:p>
        </w:tc>
      </w:tr>
      <w:tr>
        <w:trPr>
          <w:cantSplit/>
        </w:trPr>
        <w:tc>
          <w:tcPr>
            <w:tcW w:w="992" w:type="dxa"/>
            <w:tcBorders>
              <w:bottom w:val="single" w:sz="4" w:space="0" w:color="auto"/>
            </w:tcBorders>
            <w:tcMar>
              <w:left w:w="57" w:type="dxa"/>
              <w:right w:w="57" w:type="dxa"/>
            </w:tcMar>
          </w:tcPr>
          <w:p>
            <w:pPr>
              <w:pStyle w:val="yTableNAm"/>
            </w:pPr>
            <w:r>
              <w:t>25(4)</w:t>
            </w:r>
          </w:p>
        </w:tc>
        <w:tc>
          <w:tcPr>
            <w:tcW w:w="3544" w:type="dxa"/>
            <w:tcBorders>
              <w:bottom w:val="single" w:sz="4" w:space="0" w:color="auto"/>
            </w:tcBorders>
          </w:tcPr>
          <w:p>
            <w:pPr>
              <w:pStyle w:val="yTableNAm"/>
            </w:pPr>
            <w:r>
              <w:t xml:space="preserve">Removal and storage of vehicle — </w:t>
            </w:r>
          </w:p>
          <w:p>
            <w:pPr>
              <w:pStyle w:val="yTableNAm"/>
              <w:tabs>
                <w:tab w:val="clear" w:pos="567"/>
              </w:tabs>
              <w:ind w:left="459" w:hanging="425"/>
            </w:pPr>
            <w:r>
              <w:t>(a)</w:t>
            </w:r>
            <w:r>
              <w:tab/>
              <w:t>basic fee</w:t>
            </w:r>
          </w:p>
          <w:p>
            <w:pPr>
              <w:pStyle w:val="yTableNAm"/>
              <w:tabs>
                <w:tab w:val="clear" w:pos="567"/>
              </w:tabs>
              <w:ind w:left="459" w:hanging="425"/>
            </w:pPr>
            <w:r>
              <w:tab/>
              <w:t>plus</w:t>
            </w:r>
          </w:p>
        </w:tc>
        <w:tc>
          <w:tcPr>
            <w:tcW w:w="1701" w:type="dxa"/>
            <w:tcBorders>
              <w:bottom w:val="single" w:sz="4" w:space="0" w:color="auto"/>
            </w:tcBorders>
          </w:tcPr>
          <w:p>
            <w:pPr>
              <w:pStyle w:val="yTableNAm"/>
            </w:pPr>
          </w:p>
          <w:p>
            <w:pPr>
              <w:pStyle w:val="yTableNAm"/>
            </w:pPr>
            <w:r>
              <w:t>$50.00</w:t>
            </w:r>
          </w:p>
          <w:p>
            <w:pPr>
              <w:pStyle w:val="yTableNAm"/>
            </w:pPr>
          </w:p>
        </w:tc>
      </w:tr>
      <w:tr>
        <w:trPr>
          <w:cantSplit/>
        </w:trPr>
        <w:tc>
          <w:tcPr>
            <w:tcW w:w="992" w:type="dxa"/>
            <w:tcBorders>
              <w:top w:val="single" w:sz="4" w:space="0" w:color="auto"/>
            </w:tcBorders>
            <w:tcMar>
              <w:left w:w="57" w:type="dxa"/>
              <w:right w:w="57" w:type="dxa"/>
            </w:tcMar>
          </w:tcPr>
          <w:p>
            <w:pPr>
              <w:pStyle w:val="zyTableNAm"/>
            </w:pPr>
          </w:p>
        </w:tc>
        <w:tc>
          <w:tcPr>
            <w:tcW w:w="3544" w:type="dxa"/>
            <w:tcBorders>
              <w:top w:val="single" w:sz="4" w:space="0" w:color="auto"/>
            </w:tcBorders>
          </w:tcPr>
          <w:p>
            <w:pPr>
              <w:pStyle w:val="yTableNAm"/>
              <w:tabs>
                <w:tab w:val="clear" w:pos="567"/>
              </w:tabs>
              <w:ind w:left="459" w:hanging="459"/>
            </w:pPr>
            <w:r>
              <w:t>(b)</w:t>
            </w:r>
            <w:r>
              <w:tab/>
              <w:t>if vehicle is stored for more than 24 hours — for each 7 days or part of 7 days for which vehicle is stored after first 24 hours</w:t>
            </w:r>
          </w:p>
        </w:tc>
        <w:tc>
          <w:tcPr>
            <w:tcW w:w="1701" w:type="dxa"/>
            <w:tcBorders>
              <w:top w:val="single" w:sz="4" w:space="0" w:color="auto"/>
            </w:tcBorders>
          </w:tcPr>
          <w:p>
            <w:pPr>
              <w:pStyle w:val="yTableNAm"/>
            </w:pPr>
            <w:r>
              <w:t>$5.00</w:t>
            </w:r>
          </w:p>
        </w:tc>
      </w:tr>
    </w:tbl>
    <w:p>
      <w:pPr>
        <w:pStyle w:val="yFootnotesection"/>
        <w:rPr>
          <w:rStyle w:val="CharSchNo"/>
          <w:b/>
          <w:snapToGrid/>
        </w:rPr>
      </w:pPr>
      <w:r>
        <w:tab/>
        <w:t>[Schedule 2A inserted in Gazette 19 Jun 2015 p. 2107</w:t>
      </w:r>
      <w:r>
        <w:noBreakHyphen/>
        <w:t>8.]</w:t>
      </w:r>
    </w:p>
    <w:p>
      <w:pPr>
        <w:pStyle w:val="yScheduleHeading"/>
        <w:outlineLvl w:val="0"/>
      </w:pPr>
      <w:bookmarkStart w:id="145" w:name="_Toc408569022"/>
      <w:bookmarkStart w:id="146" w:name="_Toc416692942"/>
      <w:bookmarkStart w:id="147" w:name="_Toc416692983"/>
      <w:bookmarkStart w:id="148" w:name="_Toc416783123"/>
      <w:bookmarkStart w:id="149" w:name="_Toc416788747"/>
      <w:bookmarkStart w:id="150" w:name="_Toc417653812"/>
      <w:bookmarkStart w:id="151" w:name="_Toc423442291"/>
      <w:bookmarkStart w:id="152" w:name="_Toc423442347"/>
      <w:bookmarkStart w:id="153" w:name="_Toc525024885"/>
      <w:bookmarkEnd w:id="138"/>
      <w:bookmarkEnd w:id="139"/>
      <w:bookmarkEnd w:id="140"/>
      <w:bookmarkEnd w:id="141"/>
      <w:bookmarkEnd w:id="142"/>
      <w:bookmarkEnd w:id="143"/>
      <w:r>
        <w:rPr>
          <w:rStyle w:val="CharSchNo"/>
        </w:rPr>
        <w:t>Schedule 2</w:t>
      </w:r>
      <w:r>
        <w:t> — </w:t>
      </w:r>
      <w:r>
        <w:rPr>
          <w:rStyle w:val="CharSchText"/>
        </w:rPr>
        <w:t>Infringement notices and modified penalties</w:t>
      </w:r>
      <w:bookmarkEnd w:id="145"/>
      <w:bookmarkEnd w:id="146"/>
      <w:bookmarkEnd w:id="147"/>
      <w:bookmarkEnd w:id="148"/>
      <w:bookmarkEnd w:id="149"/>
      <w:bookmarkEnd w:id="150"/>
      <w:bookmarkEnd w:id="151"/>
      <w:bookmarkEnd w:id="152"/>
      <w:bookmarkEnd w:id="153"/>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r>
              <w:tab/>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r>
              <w:tab/>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r>
              <w:tab/>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r>
              <w:tab/>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r>
              <w:rPr>
                <w:snapToGrid w:val="0"/>
              </w:rPr>
              <w:tab/>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r>
              <w:tab/>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r>
              <w:tab/>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r>
              <w:tab/>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r>
              <w:tab/>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r>
              <w:tab/>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r>
              <w:tab/>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r>
              <w:tab/>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r>
              <w:tab/>
            </w:r>
          </w:p>
        </w:tc>
        <w:tc>
          <w:tcPr>
            <w:tcW w:w="1208" w:type="dxa"/>
          </w:tcPr>
          <w:p>
            <w:pPr>
              <w:pStyle w:val="yTableNAm"/>
            </w:pPr>
            <w:r>
              <w:br/>
            </w:r>
            <w:r>
              <w:br/>
            </w:r>
            <w:r>
              <w:br/>
              <w:t>40</w:t>
            </w:r>
          </w:p>
        </w:tc>
      </w:tr>
      <w:tr>
        <w:trPr>
          <w:cantSplit/>
        </w:trPr>
        <w:tc>
          <w:tcPr>
            <w:tcW w:w="1080" w:type="dxa"/>
          </w:tcPr>
          <w:p>
            <w:pPr>
              <w:pStyle w:val="yTableNAm"/>
            </w:pPr>
            <w:r>
              <w:t>18(2)(a)</w:t>
            </w:r>
          </w:p>
        </w:tc>
        <w:tc>
          <w:tcPr>
            <w:tcW w:w="4800" w:type="dxa"/>
          </w:tcPr>
          <w:p>
            <w:pPr>
              <w:pStyle w:val="yTableNAm"/>
              <w:tabs>
                <w:tab w:val="right" w:leader="dot" w:pos="4448"/>
              </w:tabs>
            </w:pPr>
            <w:r>
              <w:t xml:space="preserve">Parking in ticket parking area without purchasing ticket for required period </w:t>
            </w:r>
            <w:r>
              <w:tab/>
            </w:r>
          </w:p>
        </w:tc>
        <w:tc>
          <w:tcPr>
            <w:tcW w:w="1208" w:type="dxa"/>
          </w:tcPr>
          <w:p>
            <w:pPr>
              <w:pStyle w:val="yTableNAm"/>
            </w:pPr>
            <w:r>
              <w:br/>
              <w:t>30</w:t>
            </w:r>
          </w:p>
        </w:tc>
      </w:tr>
      <w:tr>
        <w:trPr>
          <w:cantSplit/>
        </w:trPr>
        <w:tc>
          <w:tcPr>
            <w:tcW w:w="1080" w:type="dxa"/>
          </w:tcPr>
          <w:p>
            <w:pPr>
              <w:pStyle w:val="yTableNAm"/>
            </w:pPr>
            <w:r>
              <w:t>18(2)(b)</w:t>
            </w:r>
          </w:p>
        </w:tc>
        <w:tc>
          <w:tcPr>
            <w:tcW w:w="4800" w:type="dxa"/>
          </w:tcPr>
          <w:p>
            <w:pPr>
              <w:pStyle w:val="yTableNAm"/>
              <w:tabs>
                <w:tab w:val="right" w:leader="dot" w:pos="4448"/>
              </w:tabs>
            </w:pPr>
            <w:r>
              <w:t xml:space="preserve">Parking in ticket parking area without displaying ticket </w:t>
            </w:r>
            <w:r>
              <w:tab/>
            </w:r>
            <w:r>
              <w:tab/>
            </w:r>
          </w:p>
        </w:tc>
        <w:tc>
          <w:tcPr>
            <w:tcW w:w="1208" w:type="dxa"/>
          </w:tcPr>
          <w:p>
            <w:pPr>
              <w:pStyle w:val="yTableNAm"/>
            </w:pPr>
            <w:r>
              <w:br/>
              <w:t>30</w:t>
            </w:r>
          </w:p>
        </w:tc>
      </w:tr>
      <w:tr>
        <w:trPr>
          <w:cantSplit/>
        </w:trPr>
        <w:tc>
          <w:tcPr>
            <w:tcW w:w="1080" w:type="dxa"/>
          </w:tcPr>
          <w:p>
            <w:pPr>
              <w:pStyle w:val="yTableNAm"/>
            </w:pPr>
            <w:r>
              <w:t>18(4)</w:t>
            </w:r>
          </w:p>
        </w:tc>
        <w:tc>
          <w:tcPr>
            <w:tcW w:w="4800" w:type="dxa"/>
          </w:tcPr>
          <w:p>
            <w:pPr>
              <w:pStyle w:val="yTableNAm"/>
              <w:tabs>
                <w:tab w:val="right" w:leader="dot" w:pos="4448"/>
              </w:tabs>
            </w:pPr>
            <w:r>
              <w:t xml:space="preserve">Parking in boom gate controlled ticket parking area without ticket </w:t>
            </w:r>
            <w:r>
              <w:tab/>
            </w:r>
          </w:p>
        </w:tc>
        <w:tc>
          <w:tcPr>
            <w:tcW w:w="1208" w:type="dxa"/>
          </w:tcPr>
          <w:p>
            <w:pPr>
              <w:pStyle w:val="yTableNAm"/>
            </w:pPr>
            <w:r>
              <w:br/>
              <w:t>30</w:t>
            </w:r>
          </w:p>
        </w:tc>
      </w:tr>
      <w:tr>
        <w:trPr>
          <w:cantSplit/>
        </w:trPr>
        <w:tc>
          <w:tcPr>
            <w:tcW w:w="1080" w:type="dxa"/>
          </w:tcPr>
          <w:p>
            <w:pPr>
              <w:pStyle w:val="yTableNAm"/>
            </w:pPr>
            <w:r>
              <w:t>18(5)</w:t>
            </w:r>
          </w:p>
        </w:tc>
        <w:tc>
          <w:tcPr>
            <w:tcW w:w="4800" w:type="dxa"/>
          </w:tcPr>
          <w:p>
            <w:pPr>
              <w:pStyle w:val="yTableNAm"/>
              <w:tabs>
                <w:tab w:val="right" w:leader="dot" w:pos="4448"/>
              </w:tabs>
            </w:pPr>
            <w:r>
              <w:t xml:space="preserve">Removing vehicle from boom gate controlled ticket parking area without paying prescribed fee </w:t>
            </w:r>
            <w:r>
              <w:tab/>
            </w:r>
          </w:p>
        </w:tc>
        <w:tc>
          <w:tcPr>
            <w:tcW w:w="1208" w:type="dxa"/>
          </w:tcPr>
          <w:p>
            <w:pPr>
              <w:pStyle w:val="yTableNAm"/>
            </w:pPr>
            <w:r>
              <w:br/>
              <w:t>30</w:t>
            </w:r>
          </w:p>
        </w:tc>
      </w:tr>
      <w:tr>
        <w:trPr>
          <w:cantSplit/>
        </w:trPr>
        <w:tc>
          <w:tcPr>
            <w:tcW w:w="1080" w:type="dxa"/>
          </w:tcPr>
          <w:p>
            <w:pPr>
              <w:pStyle w:val="yTableNAm"/>
            </w:pPr>
            <w:r>
              <w:t>18(7)</w:t>
            </w:r>
          </w:p>
        </w:tc>
        <w:tc>
          <w:tcPr>
            <w:tcW w:w="4800" w:type="dxa"/>
          </w:tcPr>
          <w:p>
            <w:pPr>
              <w:pStyle w:val="yTableNAm"/>
              <w:tabs>
                <w:tab w:val="right" w:leader="dot" w:pos="4448"/>
              </w:tabs>
            </w:pPr>
            <w:r>
              <w:t xml:space="preserve">Parking vehicle in ticket parking area or boom gate controlled ticket parking area and leaving site while vehicle is parked there </w:t>
            </w:r>
            <w:r>
              <w:tab/>
            </w:r>
          </w:p>
        </w:tc>
        <w:tc>
          <w:tcPr>
            <w:tcW w:w="1208" w:type="dxa"/>
          </w:tcPr>
          <w:p>
            <w:pPr>
              <w:pStyle w:val="yTableNAm"/>
            </w:pPr>
            <w:r>
              <w:br/>
            </w:r>
            <w:r>
              <w:br/>
              <w:t>30</w:t>
            </w:r>
          </w:p>
        </w:tc>
      </w:tr>
      <w:tr>
        <w:trPr>
          <w:cantSplit/>
        </w:trPr>
        <w:tc>
          <w:tcPr>
            <w:tcW w:w="1080" w:type="dxa"/>
          </w:tcPr>
          <w:p>
            <w:pPr>
              <w:pStyle w:val="yTableNAm"/>
            </w:pPr>
            <w:r>
              <w:t>19A(2)</w:t>
            </w:r>
          </w:p>
        </w:tc>
        <w:tc>
          <w:tcPr>
            <w:tcW w:w="4800" w:type="dxa"/>
          </w:tcPr>
          <w:p>
            <w:pPr>
              <w:pStyle w:val="yTableNAm"/>
              <w:tabs>
                <w:tab w:val="right" w:leader="dot" w:pos="4448"/>
              </w:tabs>
            </w:pPr>
            <w:r>
              <w:t xml:space="preserve">Parking in paid staff parking area when not an eligible staff member </w:t>
            </w:r>
            <w:r>
              <w:tab/>
            </w:r>
          </w:p>
        </w:tc>
        <w:tc>
          <w:tcPr>
            <w:tcW w:w="1208" w:type="dxa"/>
          </w:tcPr>
          <w:p>
            <w:pPr>
              <w:pStyle w:val="yTableNAm"/>
            </w:pPr>
            <w:r>
              <w:br/>
              <w:t>45</w:t>
            </w:r>
          </w:p>
        </w:tc>
      </w:tr>
      <w:tr>
        <w:trPr>
          <w:cantSplit/>
        </w:trPr>
        <w:tc>
          <w:tcPr>
            <w:tcW w:w="1080" w:type="dxa"/>
          </w:tcPr>
          <w:p>
            <w:pPr>
              <w:pStyle w:val="yTableNAm"/>
            </w:pPr>
            <w:r>
              <w:t>19A(3)</w:t>
            </w:r>
          </w:p>
        </w:tc>
        <w:tc>
          <w:tcPr>
            <w:tcW w:w="4800" w:type="dxa"/>
          </w:tcPr>
          <w:p>
            <w:pPr>
              <w:pStyle w:val="yTableNAm"/>
              <w:tabs>
                <w:tab w:val="right" w:leader="dot" w:pos="4448"/>
              </w:tabs>
            </w:pPr>
            <w:r>
              <w:t xml:space="preserve">Failing to pay before leaving paid staff parking area </w:t>
            </w:r>
            <w:r>
              <w:tab/>
            </w:r>
            <w:r>
              <w:tab/>
            </w:r>
          </w:p>
        </w:tc>
        <w:tc>
          <w:tcPr>
            <w:tcW w:w="1208" w:type="dxa"/>
          </w:tcPr>
          <w:p>
            <w:pPr>
              <w:pStyle w:val="yTableNAm"/>
            </w:pPr>
            <w:r>
              <w:br/>
              <w:t>20</w:t>
            </w:r>
          </w:p>
        </w:tc>
      </w:tr>
      <w:tr>
        <w:trPr>
          <w:cantSplit/>
        </w:trPr>
        <w:tc>
          <w:tcPr>
            <w:tcW w:w="1080" w:type="dxa"/>
          </w:tcPr>
          <w:p>
            <w:pPr>
              <w:pStyle w:val="yTableNAm"/>
            </w:pPr>
            <w:r>
              <w:t>19B(2)</w:t>
            </w:r>
          </w:p>
        </w:tc>
        <w:tc>
          <w:tcPr>
            <w:tcW w:w="4800" w:type="dxa"/>
          </w:tcPr>
          <w:p>
            <w:pPr>
              <w:pStyle w:val="yTableNAm"/>
              <w:tabs>
                <w:tab w:val="right" w:leader="dot" w:pos="4448"/>
              </w:tabs>
            </w:pPr>
            <w:r>
              <w:t xml:space="preserve">Unlawfully parking in permit parking area </w:t>
            </w:r>
            <w:r>
              <w:tab/>
            </w:r>
          </w:p>
        </w:tc>
        <w:tc>
          <w:tcPr>
            <w:tcW w:w="1208" w:type="dxa"/>
          </w:tcPr>
          <w:p>
            <w:pPr>
              <w:pStyle w:val="yTableNAm"/>
            </w:pPr>
            <w:r>
              <w:t>45</w:t>
            </w:r>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r>
              <w:tab/>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r>
              <w:tab/>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 19 Jun 2015 p. 2108.]</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55" w:name="_Toc408569023"/>
      <w:bookmarkStart w:id="156" w:name="_Toc416692943"/>
      <w:bookmarkStart w:id="157" w:name="_Toc416692984"/>
      <w:bookmarkStart w:id="158" w:name="_Toc416783124"/>
      <w:bookmarkStart w:id="159" w:name="_Toc416788748"/>
      <w:bookmarkStart w:id="160" w:name="_Toc417653813"/>
      <w:bookmarkStart w:id="161" w:name="_Toc423442292"/>
      <w:bookmarkStart w:id="162" w:name="_Toc423442348"/>
      <w:bookmarkStart w:id="163" w:name="_Toc525024886"/>
      <w:r>
        <w:rPr>
          <w:rStyle w:val="CharSchNo"/>
        </w:rPr>
        <w:t>Schedule 3</w:t>
      </w:r>
      <w:r>
        <w:t> — </w:t>
      </w:r>
      <w:r>
        <w:rPr>
          <w:rStyle w:val="CharSchText"/>
        </w:rPr>
        <w:t>Forms</w:t>
      </w:r>
      <w:bookmarkEnd w:id="155"/>
      <w:bookmarkEnd w:id="156"/>
      <w:bookmarkEnd w:id="157"/>
      <w:bookmarkEnd w:id="158"/>
      <w:bookmarkEnd w:id="159"/>
      <w:bookmarkEnd w:id="160"/>
      <w:bookmarkEnd w:id="161"/>
      <w:bookmarkEnd w:id="162"/>
      <w:bookmarkEnd w:id="163"/>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64" w:name="_Toc408569024"/>
      <w:bookmarkStart w:id="165" w:name="_Toc416692944"/>
      <w:bookmarkStart w:id="166" w:name="_Toc416692985"/>
      <w:bookmarkStart w:id="167" w:name="_Toc416783125"/>
      <w:bookmarkStart w:id="168" w:name="_Toc416788749"/>
      <w:bookmarkStart w:id="169" w:name="_Toc417653814"/>
      <w:bookmarkStart w:id="170" w:name="_Toc423442293"/>
      <w:bookmarkStart w:id="171" w:name="_Toc423442349"/>
      <w:bookmarkStart w:id="172" w:name="_Toc525024887"/>
      <w:r>
        <w:t>Notes</w:t>
      </w:r>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w:t>
      </w:r>
      <w:r>
        <w:rPr>
          <w:snapToGrid w:val="0"/>
          <w:vertAlign w:val="superscript"/>
        </w:rPr>
        <w:t xml:space="preserve">1a </w:t>
      </w:r>
      <w:r>
        <w:rPr>
          <w:snapToGrid w:val="0"/>
        </w:rPr>
        <w:t>.  The table also contains information about any reprint.</w:t>
      </w:r>
    </w:p>
    <w:p>
      <w:pPr>
        <w:pStyle w:val="nHeading3"/>
      </w:pPr>
      <w:bookmarkStart w:id="173" w:name="_Toc408569025"/>
      <w:bookmarkStart w:id="174" w:name="_Toc525024888"/>
      <w:r>
        <w:t>Compilation table</w:t>
      </w:r>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(No. 2) 2015</w:t>
            </w:r>
          </w:p>
        </w:tc>
        <w:tc>
          <w:tcPr>
            <w:tcW w:w="1276" w:type="dxa"/>
            <w:tcBorders>
              <w:top w:val="nil"/>
              <w:bottom w:val="single" w:sz="2" w:space="0" w:color="auto"/>
            </w:tcBorders>
          </w:tcPr>
          <w:p>
            <w:pPr>
              <w:pStyle w:val="nTable"/>
              <w:spacing w:after="40"/>
            </w:pPr>
            <w:r>
              <w:t>19 Jun 2015 p. 2101</w:t>
            </w:r>
            <w:r>
              <w:noBreakHyphen/>
              <w:t>8</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5" w:name="_Toc402966387"/>
      <w:bookmarkStart w:id="176" w:name="_Toc436042042"/>
      <w:bookmarkStart w:id="177" w:name="_Toc452373592"/>
      <w:bookmarkStart w:id="178" w:name="_Toc525024889"/>
      <w:r>
        <w:rPr>
          <w:snapToGrid w:val="0"/>
        </w:rPr>
        <w:t>Provisions that have not come into operation</w:t>
      </w:r>
      <w:bookmarkEnd w:id="175"/>
      <w:bookmarkEnd w:id="176"/>
      <w:bookmarkEnd w:id="177"/>
      <w:bookmarkEnd w:id="17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307(k)</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307(k)</w:t>
      </w:r>
      <w:r>
        <w:rPr>
          <w:i/>
        </w:rPr>
        <w:t xml:space="preserve"> </w:t>
      </w:r>
      <w:r>
        <w:rPr>
          <w:snapToGrid w:val="0"/>
        </w:rPr>
        <w:t>had not come into operation.  It reads as follows:</w:t>
      </w:r>
    </w:p>
    <w:p>
      <w:pPr>
        <w:pStyle w:val="BlankOpen"/>
      </w:pPr>
    </w:p>
    <w:p>
      <w:pPr>
        <w:pStyle w:val="nzHeading5"/>
      </w:pPr>
      <w:bookmarkStart w:id="179" w:name="_Toc451509718"/>
      <w:r>
        <w:rPr>
          <w:rStyle w:val="CharSectno"/>
        </w:rPr>
        <w:t>307</w:t>
      </w:r>
      <w:r>
        <w:t>.</w:t>
      </w:r>
      <w:r>
        <w:tab/>
        <w:t>By</w:t>
      </w:r>
      <w:r>
        <w:noBreakHyphen/>
        <w:t>laws and regulations repealed</w:t>
      </w:r>
      <w:bookmarkEnd w:id="179"/>
    </w:p>
    <w:p>
      <w:pPr>
        <w:pStyle w:val="nzSubsection"/>
      </w:pPr>
      <w:r>
        <w:tab/>
      </w:r>
      <w:r>
        <w:tab/>
        <w:t>These by</w:t>
      </w:r>
      <w:r>
        <w:noBreakHyphen/>
        <w:t>laws and regulations are repealed:</w:t>
      </w:r>
    </w:p>
    <w:p>
      <w:pPr>
        <w:pStyle w:val="nzIndenta"/>
      </w:pPr>
      <w:r>
        <w:tab/>
        <w:t>(k)</w:t>
      </w:r>
      <w:r>
        <w:tab/>
      </w:r>
      <w:r>
        <w:rPr>
          <w:i/>
        </w:rPr>
        <w:t>Royal Perth Hospital By</w:t>
      </w:r>
      <w:r>
        <w:rPr>
          <w:i/>
        </w:rPr>
        <w:noBreakHyphen/>
        <w:t>laws 2009</w:t>
      </w:r>
      <w:r>
        <w:t>;</w:t>
      </w:r>
    </w:p>
    <w:p>
      <w:pPr>
        <w:pStyle w:val="BlankClose"/>
        <w:rPr>
          <w:snapToGrid w:val="0"/>
        </w:rPr>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1" w:name="_Toc525024890"/>
      <w:r>
        <w:rPr>
          <w:sz w:val="28"/>
        </w:rPr>
        <w:t>Defined terms</w:t>
      </w:r>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19A(1)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paid staff parking area</w:t>
      </w:r>
      <w:r>
        <w:tab/>
        <w:t>19A(1)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19B(1)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pPr>
      <w:r>
        <w:t>Wellington Street Campus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65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6820</Words>
  <Characters>32263</Characters>
  <Application>Microsoft Office Word</Application>
  <DocSecurity>0</DocSecurity>
  <Lines>1112</Lines>
  <Paragraphs>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2009 - 01-h0-00</dc:title>
  <dc:subject/>
  <dc:creator/>
  <cp:keywords/>
  <dc:description/>
  <cp:lastModifiedBy>svcMRProcess</cp:lastModifiedBy>
  <cp:revision>4</cp:revision>
  <cp:lastPrinted>2013-07-11T06:14:00Z</cp:lastPrinted>
  <dcterms:created xsi:type="dcterms:W3CDTF">2018-09-18T01:05:00Z</dcterms:created>
  <dcterms:modified xsi:type="dcterms:W3CDTF">2018-09-18T01:05:00Z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AsAtDate">
    <vt:lpwstr>26 May 2016</vt:lpwstr>
  </property>
  <property fmtid="{D5CDD505-2E9C-101B-9397-08002B2CF9AE}" pid="6" name="Suffix">
    <vt:lpwstr>01-h0-00</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20160526</vt:lpwstr>
  </property>
</Properties>
</file>