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Valuers Licensing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Valuers Licensing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_Toc453069358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_Toc453069359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(Sch. 1)</w:t>
      </w:r>
      <w:r>
        <w:tab/>
      </w:r>
      <w:r>
        <w:fldChar w:fldCharType="begin"/>
      </w:r>
      <w:r>
        <w:instrText xml:space="preserve"> PAGEREF _Toc453069360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Periods prescribed (Act s. 21(1) and 22(1))</w:t>
      </w:r>
      <w:r>
        <w:tab/>
      </w:r>
      <w:r>
        <w:fldChar w:fldCharType="begin"/>
      </w:r>
      <w:r>
        <w:instrText xml:space="preserve"> PAGEREF _Toc453069361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Particulars in register prescribed (Act s. 29)</w:t>
      </w:r>
      <w:r>
        <w:tab/>
      </w:r>
      <w:r>
        <w:fldChar w:fldCharType="begin"/>
      </w:r>
      <w:r>
        <w:instrText xml:space="preserve"> PAGEREF _Toc453069362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particulars, licensee to notify Commissioner</w:t>
      </w:r>
      <w:r>
        <w:tab/>
      </w:r>
      <w:r>
        <w:fldChar w:fldCharType="begin"/>
      </w:r>
      <w:r>
        <w:instrText xml:space="preserve"> PAGEREF _Toc453069363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Degrees etc. prescribed (Act s. 19(c))</w:t>
      </w:r>
      <w:r>
        <w:tab/>
      </w:r>
      <w:r>
        <w:fldChar w:fldCharType="begin"/>
      </w:r>
      <w:r>
        <w:instrText xml:space="preserve"> PAGEREF _Toc453069364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costs, recovery of</w:t>
      </w:r>
      <w:r>
        <w:tab/>
      </w:r>
      <w:r>
        <w:fldChar w:fldCharType="begin"/>
      </w:r>
      <w:r>
        <w:instrText xml:space="preserve"> PAGEREF _Toc453069365 \h </w:instrText>
      </w:r>
      <w:r>
        <w:fldChar w:fldCharType="separate"/>
      </w:r>
      <w:r>
        <w:t>4</w:t>
      </w:r>
      <w:r>
        <w:fldChar w:fldCharType="end"/>
      </w:r>
    </w:p>
    <w:p>
      <w:pPr>
        <w:pStyle w:val="TOC8"/>
        <w:rPr>
          <w:rFonts w:asciiTheme="minorHAnsi" w:eastAsiaTheme="minorEastAsia" w:hAnsiTheme="minorHAnsi" w:cstheme="minorBidi"/>
          <w:szCs w:val="22"/>
        </w:rPr>
      </w:pPr>
      <w:r>
        <w:t>10.</w:t>
      </w:r>
      <w:r>
        <w:tab/>
        <w:t>Infringement notices, offences etc. prescribed (Sch. 2)</w:t>
      </w:r>
      <w:r>
        <w:tab/>
      </w:r>
      <w:r>
        <w:fldChar w:fldCharType="begin"/>
      </w:r>
      <w:r>
        <w:instrText xml:space="preserve"> PAGEREF _Toc453069366 \h </w:instrText>
      </w:r>
      <w:r>
        <w:fldChar w:fldCharType="separate"/>
      </w:r>
      <w:r>
        <w:t>5</w:t>
      </w:r>
      <w:r>
        <w:fldChar w:fldCharType="end"/>
      </w:r>
    </w:p>
    <w:p>
      <w:pPr>
        <w:pStyle w:val="TOC8"/>
        <w:rPr>
          <w:rFonts w:asciiTheme="minorHAnsi" w:eastAsiaTheme="minorEastAsia" w:hAnsiTheme="minorHAnsi" w:cstheme="minorBidi"/>
          <w:szCs w:val="22"/>
        </w:rPr>
      </w:pPr>
      <w:r>
        <w:t>11.</w:t>
      </w:r>
      <w:r>
        <w:tab/>
        <w:t>Infringement notices, forms prescribed (Sch. 3)</w:t>
      </w:r>
      <w:r>
        <w:tab/>
      </w:r>
      <w:r>
        <w:fldChar w:fldCharType="begin"/>
      </w:r>
      <w:r>
        <w:instrText xml:space="preserve"> PAGEREF _Toc453069367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_Toc453069372 \h </w:instrText>
      </w:r>
      <w:r>
        <w:fldChar w:fldCharType="separate"/>
      </w:r>
      <w:r>
        <w:t>11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_Toc453069373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after="840"/>
      </w:pPr>
      <w:r>
        <w:lastRenderedPageBreak/>
        <w:t>Western Australia</w:t>
      </w:r>
    </w:p>
    <w:p>
      <w:pPr>
        <w:pStyle w:val="PrincipalActReg"/>
        <w:spacing w:after="600"/>
        <w:rPr>
          <w:snapToGrid w:val="0"/>
        </w:rPr>
      </w:pPr>
      <w:r>
        <w:rPr>
          <w:snapToGrid w:val="0"/>
        </w:rPr>
        <w:t>Land Valuers Licensing Act 1978</w:t>
      </w:r>
    </w:p>
    <w:p>
      <w:pPr>
        <w:pStyle w:val="NameofActReg"/>
      </w:pPr>
      <w:r>
        <w:t>Land Valuers Licensing Regulations 1979</w:t>
      </w:r>
    </w:p>
    <w:p>
      <w:pPr>
        <w:pStyle w:val="Heading5"/>
        <w:rPr>
          <w:snapToGrid w:val="0"/>
        </w:rPr>
      </w:pPr>
      <w:bookmarkStart w:id="3" w:name="_Toc404091119"/>
      <w:bookmarkStart w:id="4" w:name="_Toc453069358"/>
      <w:r>
        <w:rPr>
          <w:rStyle w:val="CharSectno"/>
        </w:rPr>
        <w:t>1</w:t>
      </w:r>
      <w:r>
        <w:rPr>
          <w:snapToGrid w:val="0"/>
        </w:rPr>
        <w:t>.</w:t>
      </w:r>
      <w:r>
        <w:rPr>
          <w:snapToGrid w:val="0"/>
        </w:rPr>
        <w:tab/>
        <w:t>Citation</w:t>
      </w:r>
      <w:bookmarkEnd w:id="3"/>
      <w:bookmarkEnd w:id="4"/>
    </w:p>
    <w:p>
      <w:pPr>
        <w:pStyle w:val="Subsection"/>
      </w:pPr>
      <w:r>
        <w:tab/>
      </w:r>
      <w:r>
        <w:tab/>
        <w:t xml:space="preserve">These regulations may be cited as the </w:t>
      </w:r>
      <w:r>
        <w:rPr>
          <w:i/>
        </w:rPr>
        <w:t>Land Valuers Licensing Regulations 1979</w:t>
      </w:r>
      <w:r>
        <w:rPr>
          <w:vertAlign w:val="superscript"/>
        </w:rPr>
        <w:t xml:space="preserve"> 1</w:t>
      </w:r>
      <w:r>
        <w:t>.</w:t>
      </w:r>
    </w:p>
    <w:p>
      <w:pPr>
        <w:pStyle w:val="Heading5"/>
        <w:rPr>
          <w:snapToGrid w:val="0"/>
        </w:rPr>
      </w:pPr>
      <w:bookmarkStart w:id="5" w:name="_Toc404091120"/>
      <w:bookmarkStart w:id="6" w:name="_Toc453069359"/>
      <w:r>
        <w:rPr>
          <w:rStyle w:val="CharSectno"/>
        </w:rPr>
        <w:t>2</w:t>
      </w:r>
      <w:r>
        <w:rPr>
          <w:snapToGrid w:val="0"/>
        </w:rPr>
        <w:t>.</w:t>
      </w:r>
      <w:r>
        <w:rPr>
          <w:snapToGrid w:val="0"/>
        </w:rPr>
        <w:tab/>
        <w:t>Terms used</w:t>
      </w:r>
      <w:bookmarkEnd w:id="5"/>
      <w:bookmarkEnd w:id="6"/>
    </w:p>
    <w:p>
      <w:pPr>
        <w:pStyle w:val="Subsection"/>
      </w:pPr>
      <w:r>
        <w:tab/>
      </w:r>
      <w:r>
        <w:tab/>
        <w:t>In these regulations —</w:t>
      </w:r>
    </w:p>
    <w:p>
      <w:pPr>
        <w:pStyle w:val="Defstart"/>
      </w:pPr>
      <w:r>
        <w:rPr>
          <w:b/>
        </w:rPr>
        <w:tab/>
      </w:r>
      <w:r>
        <w:rPr>
          <w:rStyle w:val="CharDefText"/>
        </w:rPr>
        <w:t>Act</w:t>
      </w:r>
      <w:r>
        <w:t xml:space="preserve"> means the </w:t>
      </w:r>
      <w:r>
        <w:rPr>
          <w:i/>
        </w:rPr>
        <w:t>Land Valuers Licensing Act 1978</w:t>
      </w:r>
      <w:r>
        <w:t>;</w:t>
      </w:r>
    </w:p>
    <w:p>
      <w:pPr>
        <w:pStyle w:val="Defstart"/>
      </w:pPr>
      <w:r>
        <w:rPr>
          <w:b/>
        </w:rPr>
        <w:tab/>
      </w:r>
      <w:r>
        <w:rPr>
          <w:rStyle w:val="CharDefText"/>
        </w:rPr>
        <w:t>Commissioner</w:t>
      </w:r>
      <w:r>
        <w:t xml:space="preserve"> has the same meaning as it has in the</w:t>
      </w:r>
      <w:r>
        <w:rPr>
          <w:i/>
          <w:iCs/>
        </w:rPr>
        <w:t xml:space="preserve"> Fair Trading Act 2010</w:t>
      </w:r>
      <w:r>
        <w:rPr>
          <w:iCs/>
        </w:rPr>
        <w:t>;</w:t>
      </w:r>
    </w:p>
    <w:p>
      <w:pPr>
        <w:pStyle w:val="Defstart"/>
      </w:pPr>
      <w:r>
        <w:rPr>
          <w:b/>
        </w:rPr>
        <w:tab/>
      </w:r>
      <w:r>
        <w:rPr>
          <w:rStyle w:val="CharDefText"/>
        </w:rPr>
        <w:t>section</w:t>
      </w:r>
      <w:r>
        <w:t xml:space="preserve"> means section of the Act.</w:t>
      </w:r>
    </w:p>
    <w:p>
      <w:pPr>
        <w:pStyle w:val="Footnotesection"/>
      </w:pPr>
      <w:r>
        <w:tab/>
        <w:t>[Regulation 2 amended in Gazette 22 Sep 2006 p. 4119; 30 Jun 2011 p. 2649.]</w:t>
      </w:r>
    </w:p>
    <w:p>
      <w:pPr>
        <w:pStyle w:val="Ednotesection"/>
      </w:pPr>
      <w:r>
        <w:t>[</w:t>
      </w:r>
      <w:r>
        <w:rPr>
          <w:b/>
        </w:rPr>
        <w:t>3.</w:t>
      </w:r>
      <w:r>
        <w:tab/>
        <w:t>Deleted in Gazette 30 Jun 2011 p. 2650.]</w:t>
      </w:r>
    </w:p>
    <w:p>
      <w:pPr>
        <w:pStyle w:val="Heading5"/>
        <w:rPr>
          <w:snapToGrid w:val="0"/>
        </w:rPr>
      </w:pPr>
      <w:bookmarkStart w:id="7" w:name="_Toc404091121"/>
      <w:bookmarkStart w:id="8" w:name="_Toc453069360"/>
      <w:r>
        <w:rPr>
          <w:rStyle w:val="CharSectno"/>
        </w:rPr>
        <w:t>4</w:t>
      </w:r>
      <w:r>
        <w:rPr>
          <w:snapToGrid w:val="0"/>
        </w:rPr>
        <w:t>.</w:t>
      </w:r>
      <w:r>
        <w:rPr>
          <w:snapToGrid w:val="0"/>
        </w:rPr>
        <w:tab/>
        <w:t>Fees (Sch. 1)</w:t>
      </w:r>
      <w:bookmarkEnd w:id="7"/>
      <w:bookmarkEnd w:id="8"/>
    </w:p>
    <w:p>
      <w:pPr>
        <w:pStyle w:val="Subsection"/>
        <w:rPr>
          <w:snapToGrid w:val="0"/>
        </w:rPr>
      </w:pPr>
      <w:r>
        <w:rPr>
          <w:snapToGrid w:val="0"/>
        </w:rPr>
        <w:tab/>
        <w:t>(1)</w:t>
      </w:r>
      <w:r>
        <w:rPr>
          <w:snapToGrid w:val="0"/>
        </w:rPr>
        <w:tab/>
        <w:t>The fees set forth in Schedule 1 shall be payable in respect of the matters prescribed in that Schedule.</w:t>
      </w:r>
    </w:p>
    <w:p>
      <w:pPr>
        <w:pStyle w:val="Subsection"/>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pPr>
      <w:r>
        <w:tab/>
        <w:t>[Regulation 4 amended in Gazette 25 Jun 1996 p. 2922; 27 Jun 2006 p. 2256.]</w:t>
      </w:r>
    </w:p>
    <w:p>
      <w:pPr>
        <w:pStyle w:val="Heading5"/>
        <w:rPr>
          <w:snapToGrid w:val="0"/>
        </w:rPr>
      </w:pPr>
      <w:bookmarkStart w:id="9" w:name="_Toc404091122"/>
      <w:bookmarkStart w:id="10" w:name="_Toc453069361"/>
      <w:r>
        <w:rPr>
          <w:rStyle w:val="CharSectno"/>
        </w:rPr>
        <w:t>4A</w:t>
      </w:r>
      <w:r>
        <w:rPr>
          <w:snapToGrid w:val="0"/>
        </w:rPr>
        <w:t>.</w:t>
      </w:r>
      <w:r>
        <w:rPr>
          <w:snapToGrid w:val="0"/>
        </w:rPr>
        <w:tab/>
        <w:t>Periods prescribed (Act s. 21(1) and 22(1))</w:t>
      </w:r>
      <w:bookmarkEnd w:id="9"/>
      <w:bookmarkEnd w:id="10"/>
    </w:p>
    <w:p>
      <w:pPr>
        <w:pStyle w:val="Subsection"/>
        <w:rPr>
          <w:snapToGrid w:val="0"/>
        </w:rPr>
      </w:pPr>
      <w:r>
        <w:rPr>
          <w:snapToGrid w:val="0"/>
        </w:rPr>
        <w:tab/>
        <w:t>(1)</w:t>
      </w:r>
      <w:r>
        <w:rPr>
          <w:snapToGrid w:val="0"/>
        </w:rPr>
        <w:tab/>
        <w:t>For the purposes of section 21(1), the period prescribed is 3 years.</w:t>
      </w:r>
    </w:p>
    <w:p>
      <w:pPr>
        <w:pStyle w:val="Subsection"/>
        <w:rPr>
          <w:snapToGrid w:val="0"/>
        </w:rPr>
      </w:pPr>
      <w:r>
        <w:rPr>
          <w:snapToGrid w:val="0"/>
        </w:rPr>
        <w:tab/>
        <w:t>(2)</w:t>
      </w:r>
      <w:r>
        <w:rPr>
          <w:snapToGrid w:val="0"/>
        </w:rPr>
        <w:tab/>
        <w:t>For the purposes of section 22(1), the further prescribed period is 3 years.</w:t>
      </w:r>
    </w:p>
    <w:p>
      <w:pPr>
        <w:pStyle w:val="Footnotesection"/>
      </w:pPr>
      <w:r>
        <w:tab/>
        <w:t>[Regulation 4A inserted in Gazette 25 Jun 1996 p. 2922.]</w:t>
      </w:r>
    </w:p>
    <w:p>
      <w:pPr>
        <w:pStyle w:val="Ednotesection"/>
      </w:pPr>
      <w:r>
        <w:t>[</w:t>
      </w:r>
      <w:r>
        <w:rPr>
          <w:b/>
        </w:rPr>
        <w:t>5, 5A.</w:t>
      </w:r>
      <w:r>
        <w:tab/>
        <w:t>Deleted in Gazette 18 Nov 2014 p. 4318.]</w:t>
      </w:r>
    </w:p>
    <w:p>
      <w:pPr>
        <w:pStyle w:val="Heading5"/>
        <w:rPr>
          <w:snapToGrid w:val="0"/>
        </w:rPr>
      </w:pPr>
      <w:bookmarkStart w:id="11" w:name="_Toc404091123"/>
      <w:bookmarkStart w:id="12" w:name="_Toc453069362"/>
      <w:r>
        <w:rPr>
          <w:rStyle w:val="CharSectno"/>
        </w:rPr>
        <w:t>6</w:t>
      </w:r>
      <w:r>
        <w:rPr>
          <w:snapToGrid w:val="0"/>
        </w:rPr>
        <w:t>.</w:t>
      </w:r>
      <w:r>
        <w:rPr>
          <w:snapToGrid w:val="0"/>
        </w:rPr>
        <w:tab/>
        <w:t>Particulars in register prescribed (Act s. 29)</w:t>
      </w:r>
      <w:bookmarkEnd w:id="11"/>
      <w:bookmarkEnd w:id="12"/>
    </w:p>
    <w:p>
      <w:pPr>
        <w:pStyle w:val="Subsection"/>
        <w:rPr>
          <w:snapToGrid w:val="0"/>
        </w:rPr>
      </w:pPr>
      <w:r>
        <w:rPr>
          <w:snapToGrid w:val="0"/>
        </w:rPr>
        <w:tab/>
      </w:r>
      <w:r>
        <w:rPr>
          <w:snapToGrid w:val="0"/>
        </w:rPr>
        <w:tab/>
        <w:t xml:space="preserve">In the register of licensees kept by him pursuant to section 29 the </w:t>
      </w:r>
      <w:r>
        <w:rPr>
          <w:iCs/>
        </w:rPr>
        <w:t>Commissioner</w:t>
      </w:r>
      <w:r>
        <w:rPr>
          <w:snapToGrid w:val="0"/>
        </w:rPr>
        <w:t xml:space="preserve"> shall record in respect of each licensee the following particulars —</w:t>
      </w:r>
    </w:p>
    <w:p>
      <w:pPr>
        <w:pStyle w:val="Indenta"/>
        <w:rPr>
          <w:snapToGrid w:val="0"/>
        </w:rPr>
      </w:pPr>
      <w:r>
        <w:rPr>
          <w:snapToGrid w:val="0"/>
        </w:rPr>
        <w:tab/>
        <w:t>(a)</w:t>
      </w:r>
      <w:r>
        <w:rPr>
          <w:snapToGrid w:val="0"/>
        </w:rPr>
        <w:tab/>
        <w:t>the name and address of the licensee; and</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 and</w:t>
      </w:r>
    </w:p>
    <w:p>
      <w:pPr>
        <w:pStyle w:val="Indenta"/>
        <w:rPr>
          <w:snapToGrid w:val="0"/>
        </w:rPr>
      </w:pPr>
      <w:r>
        <w:rPr>
          <w:snapToGrid w:val="0"/>
        </w:rPr>
        <w:tab/>
        <w:t>(c)</w:t>
      </w:r>
      <w:r>
        <w:rPr>
          <w:snapToGrid w:val="0"/>
        </w:rPr>
        <w:tab/>
        <w:t>where the licensee is a director, partner or employee of a company or firm — the name and address of the company or firm; and</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 and</w:t>
      </w:r>
    </w:p>
    <w:p>
      <w:pPr>
        <w:pStyle w:val="Indenta"/>
        <w:rPr>
          <w:snapToGrid w:val="0"/>
        </w:rPr>
      </w:pPr>
      <w:r>
        <w:rPr>
          <w:snapToGrid w:val="0"/>
        </w:rPr>
        <w:tab/>
        <w:t>(e)</w:t>
      </w:r>
      <w:r>
        <w:rPr>
          <w:snapToGrid w:val="0"/>
        </w:rPr>
        <w:tab/>
        <w:t>the licence number of the licence issued to the licensee and the date of its issue; and</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[Regulation 6 amended in Gazette 25 Jun 1996 p. 2923; 30 Jun 2011 p. 2650.]</w:t>
      </w:r>
    </w:p>
    <w:p>
      <w:pPr>
        <w:pStyle w:val="Heading5"/>
        <w:rPr>
          <w:snapToGrid w:val="0"/>
        </w:rPr>
      </w:pPr>
      <w:bookmarkStart w:id="13" w:name="_Toc404091124"/>
      <w:bookmarkStart w:id="14" w:name="_Toc453069363"/>
      <w:r>
        <w:rPr>
          <w:rStyle w:val="CharSectno"/>
        </w:rPr>
        <w:t>7</w:t>
      </w:r>
      <w:r>
        <w:rPr>
          <w:snapToGrid w:val="0"/>
        </w:rPr>
        <w:t>.</w:t>
      </w:r>
      <w:r>
        <w:rPr>
          <w:snapToGrid w:val="0"/>
        </w:rPr>
        <w:tab/>
        <w:t>Change of particulars, licensee to notify Commissioner</w:t>
      </w:r>
      <w:bookmarkEnd w:id="13"/>
      <w:bookmarkEnd w:id="14"/>
    </w:p>
    <w:p>
      <w:pPr>
        <w:pStyle w:val="Subsection"/>
        <w:rPr>
          <w:snapToGrid w:val="0"/>
        </w:rPr>
      </w:pPr>
      <w:r>
        <w:rPr>
          <w:snapToGrid w:val="0"/>
        </w:rPr>
        <w:tab/>
      </w:r>
      <w:r>
        <w:rPr>
          <w:snapToGrid w:val="0"/>
        </w:rPr>
        <w:tab/>
        <w:t xml:space="preserve">A licensee shall, within one month of any change of circumstance that is relative to the information kept in the register, notify the </w:t>
      </w:r>
      <w:r>
        <w:rPr>
          <w:iCs/>
        </w:rPr>
        <w:t>Commissioner</w:t>
      </w:r>
      <w:r>
        <w:rPr>
          <w:snapToGrid w:val="0"/>
        </w:rPr>
        <w:t xml:space="preserve"> in writing of that change.</w:t>
      </w:r>
    </w:p>
    <w:p>
      <w:pPr>
        <w:pStyle w:val="Penstart"/>
        <w:rPr>
          <w:snapToGrid w:val="0"/>
        </w:rPr>
      </w:pPr>
      <w:r>
        <w:rPr>
          <w:snapToGrid w:val="0"/>
        </w:rPr>
        <w:tab/>
        <w:t>Penalty $100.</w:t>
      </w:r>
    </w:p>
    <w:p>
      <w:pPr>
        <w:pStyle w:val="Footnotesection"/>
      </w:pPr>
      <w:r>
        <w:tab/>
        <w:t>[Regulation 7 amended in Gazette 30 Jun 2011 p. 2650.]</w:t>
      </w:r>
    </w:p>
    <w:p>
      <w:pPr>
        <w:pStyle w:val="Heading5"/>
        <w:rPr>
          <w:snapToGrid w:val="0"/>
        </w:rPr>
      </w:pPr>
      <w:bookmarkStart w:id="15" w:name="_Toc404091125"/>
      <w:bookmarkStart w:id="16" w:name="_Toc453069364"/>
      <w:r>
        <w:rPr>
          <w:rStyle w:val="CharSectno"/>
        </w:rPr>
        <w:t>8</w:t>
      </w:r>
      <w:r>
        <w:rPr>
          <w:snapToGrid w:val="0"/>
        </w:rPr>
        <w:t>.</w:t>
      </w:r>
      <w:r>
        <w:rPr>
          <w:snapToGrid w:val="0"/>
        </w:rPr>
        <w:tab/>
        <w:t>Degrees etc. prescribed (Act s. 19(c))</w:t>
      </w:r>
      <w:bookmarkEnd w:id="15"/>
      <w:bookmarkEnd w:id="16"/>
    </w:p>
    <w:p>
      <w:pPr>
        <w:pStyle w:val="Subsection"/>
        <w:keepNext/>
        <w:keepLines/>
        <w:spacing w:before="120"/>
        <w:rPr>
          <w:snapToGrid w:val="0"/>
        </w:rPr>
      </w:pPr>
      <w:r>
        <w:rPr>
          <w:snapToGrid w:val="0"/>
        </w:rPr>
        <w:tab/>
        <w:t>(1)</w:t>
      </w:r>
      <w:r>
        <w:rPr>
          <w:snapToGrid w:val="0"/>
        </w:rPr>
        <w:tab/>
        <w:t>The following degrees are prescribed under section 19(c) — </w:t>
      </w:r>
    </w:p>
    <w:p>
      <w:pPr>
        <w:pStyle w:val="Indenta"/>
        <w:spacing w:before="60"/>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 and</w:t>
      </w:r>
    </w:p>
    <w:p>
      <w:pPr>
        <w:pStyle w:val="Indenta"/>
        <w:spacing w:before="60"/>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 and</w:t>
      </w:r>
    </w:p>
    <w:p>
      <w:pPr>
        <w:pStyle w:val="Indenta"/>
        <w:spacing w:before="60"/>
        <w:rPr>
          <w:snapToGrid w:val="0"/>
        </w:rPr>
      </w:pPr>
      <w:r>
        <w:rPr>
          <w:snapToGrid w:val="0"/>
        </w:rPr>
        <w:tab/>
        <w:t>(c)</w:t>
      </w:r>
      <w:r>
        <w:rPr>
          <w:snapToGrid w:val="0"/>
        </w:rPr>
        <w:tab/>
        <w:t>the degree of Bachelor of Business (Valuation and Land Economy) awarded by the Curtin University of Technology; and</w:t>
      </w:r>
    </w:p>
    <w:p>
      <w:pPr>
        <w:pStyle w:val="Indenta"/>
        <w:spacing w:before="60"/>
        <w:rPr>
          <w:snapToGrid w:val="0"/>
        </w:rPr>
      </w:pPr>
      <w:r>
        <w:rPr>
          <w:snapToGrid w:val="0"/>
        </w:rPr>
        <w:tab/>
        <w:t>(d)</w:t>
      </w:r>
      <w:r>
        <w:rPr>
          <w:snapToGrid w:val="0"/>
        </w:rPr>
        <w:tab/>
        <w:t>the degree of Bachelor of Commerce (Property) awarded by the Curtin University of Technology; and</w:t>
      </w:r>
    </w:p>
    <w:p>
      <w:pPr>
        <w:pStyle w:val="Indenta"/>
        <w:spacing w:before="60"/>
      </w:pPr>
      <w:r>
        <w:tab/>
        <w:t>(e)</w:t>
      </w:r>
      <w:r>
        <w:tab/>
        <w:t>the degree of Bachelor of Commerce (Property Valuation) awarded by the Curtin University of Technology; and</w:t>
      </w:r>
    </w:p>
    <w:p>
      <w:pPr>
        <w:pStyle w:val="Indenta"/>
      </w:pPr>
      <w:r>
        <w:tab/>
        <w:t>(f)</w:t>
      </w:r>
      <w:r>
        <w:tab/>
        <w:t>the degree of Bachelor of Commerce (Property Development and Valuation) awarded by the Curtin University of Technology; and</w:t>
      </w:r>
    </w:p>
    <w:p>
      <w:pPr>
        <w:pStyle w:val="Indenta"/>
      </w:pPr>
      <w:r>
        <w:tab/>
        <w:t>(g)</w:t>
      </w:r>
      <w:r>
        <w:tab/>
        <w:t>the degree of Master of Property awarded by the Curtin University of Technology.</w:t>
      </w:r>
    </w:p>
    <w:p>
      <w:pPr>
        <w:pStyle w:val="Subsection"/>
        <w:keepNext/>
        <w:keepLines/>
        <w:spacing w:before="120"/>
      </w:pPr>
      <w:r>
        <w:tab/>
        <w:t>(2)</w:t>
      </w:r>
      <w:r>
        <w:tab/>
        <w:t xml:space="preserve">The following certificates or other awards are prescribed under section 19(c) — </w:t>
      </w:r>
    </w:p>
    <w:p>
      <w:pPr>
        <w:pStyle w:val="Indenta"/>
        <w:spacing w:before="60"/>
      </w:pPr>
      <w:r>
        <w:tab/>
        <w:t>(a)</w:t>
      </w:r>
      <w:r>
        <w:tab/>
        <w:t xml:space="preserve">membership of the Royal Institution of Chartered Surveyors as a Chartered General Practice Surveyor obtained before 1 January 2000; </w:t>
      </w:r>
    </w:p>
    <w:p>
      <w:pPr>
        <w:pStyle w:val="Indenta"/>
        <w:spacing w:before="60"/>
      </w:pPr>
      <w:r>
        <w:tab/>
        <w:t>(b)</w:t>
      </w:r>
      <w:r>
        <w:tab/>
        <w:t xml:space="preserve">membership of the Royal Institution of Chartered Surveyors as a Chartered Valuation Surveyor obtained before, on or after 1 January 2000; </w:t>
      </w:r>
    </w:p>
    <w:p>
      <w:pPr>
        <w:pStyle w:val="Indenta"/>
        <w:spacing w:before="60"/>
      </w:pPr>
      <w:r>
        <w:tab/>
        <w:t>(c)</w:t>
      </w:r>
      <w:r>
        <w:tab/>
        <w:t>membership of the Royal Institution of Chartered Surveyors as a Chartered Commercial Property Surveyor obtained before, on or after 1 January 2000.</w:t>
      </w:r>
    </w:p>
    <w:p>
      <w:pPr>
        <w:pStyle w:val="Footnotesection"/>
      </w:pPr>
      <w:r>
        <w:tab/>
        <w:t xml:space="preserve">[Regulation 8 inserted in Gazette 27 Jan 1995 p. 285; amended in Gazette 14 Mar 2008 p. 830; 18 Dec 2012 p. 6590; 15 May 2015 p. 1719.] </w:t>
      </w:r>
    </w:p>
    <w:p>
      <w:pPr>
        <w:pStyle w:val="Heading5"/>
        <w:spacing w:before="180"/>
        <w:rPr>
          <w:snapToGrid w:val="0"/>
        </w:rPr>
      </w:pPr>
      <w:bookmarkStart w:id="17" w:name="_Toc404091126"/>
      <w:bookmarkStart w:id="18" w:name="_Toc453069365"/>
      <w:r>
        <w:rPr>
          <w:rStyle w:val="CharSectno"/>
        </w:rPr>
        <w:t>9</w:t>
      </w:r>
      <w:r>
        <w:rPr>
          <w:snapToGrid w:val="0"/>
        </w:rPr>
        <w:t>.</w:t>
      </w:r>
      <w:r>
        <w:rPr>
          <w:snapToGrid w:val="0"/>
        </w:rPr>
        <w:tab/>
        <w:t>Fees and costs, recovery of</w:t>
      </w:r>
      <w:bookmarkEnd w:id="17"/>
      <w:bookmarkEnd w:id="18"/>
    </w:p>
    <w:p>
      <w:pPr>
        <w:pStyle w:val="Subsection"/>
        <w:spacing w:before="120"/>
        <w:rPr>
          <w:snapToGrid w:val="0"/>
        </w:rPr>
      </w:pPr>
      <w:r>
        <w:rPr>
          <w:snapToGrid w:val="0"/>
        </w:rPr>
        <w:tab/>
        <w:t>(1)</w:t>
      </w:r>
      <w:r>
        <w:rPr>
          <w:snapToGrid w:val="0"/>
        </w:rPr>
        <w:tab/>
        <w:t>The amount of —</w:t>
      </w:r>
    </w:p>
    <w:p>
      <w:pPr>
        <w:pStyle w:val="Indenta"/>
        <w:spacing w:before="60"/>
        <w:rPr>
          <w:snapToGrid w:val="0"/>
        </w:rPr>
      </w:pPr>
      <w:r>
        <w:rPr>
          <w:snapToGrid w:val="0"/>
        </w:rPr>
        <w:tab/>
        <w:t>(a)</w:t>
      </w:r>
      <w:r>
        <w:rPr>
          <w:snapToGrid w:val="0"/>
        </w:rPr>
        <w:tab/>
        <w:t>any fees prescribed by these regulations;</w:t>
      </w:r>
    </w:p>
    <w:p>
      <w:pPr>
        <w:pStyle w:val="Ednotepara"/>
        <w:spacing w:before="6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w:t>
      </w:r>
      <w:r>
        <w:t xml:space="preserve">to be paid to the </w:t>
      </w:r>
      <w:r>
        <w:rPr>
          <w:iCs/>
        </w:rPr>
        <w:t>Commissioner</w:t>
      </w:r>
      <w:r>
        <w:rPr>
          <w:snapToGrid w:val="0"/>
        </w:rPr>
        <w:t xml:space="preserve"> upon the determination of any proceedings,</w:t>
      </w:r>
    </w:p>
    <w:p>
      <w:pPr>
        <w:pStyle w:val="Subsection"/>
      </w:pPr>
      <w:r>
        <w:tab/>
      </w:r>
      <w:r>
        <w:tab/>
        <w:t>is a debt due to the Crown in right of the State and may be sued for and recovered by the Commissioner in any court of competent jurisdiction.</w:t>
      </w:r>
    </w:p>
    <w:p>
      <w:pPr>
        <w:pStyle w:val="Subsection"/>
        <w:rPr>
          <w:snapToGrid w:val="0"/>
        </w:rPr>
      </w:pPr>
      <w:r>
        <w:rPr>
          <w:snapToGrid w:val="0"/>
        </w:rPr>
        <w:tab/>
        <w:t>(2)</w:t>
      </w:r>
      <w:r>
        <w:rPr>
          <w:snapToGrid w:val="0"/>
        </w:rPr>
        <w:tab/>
        <w:t xml:space="preserve">Where, upon the determination of any proceedings, the </w:t>
      </w:r>
      <w:r>
        <w:rPr>
          <w:iCs/>
        </w:rPr>
        <w:t>court or tribunal</w:t>
      </w:r>
      <w:r>
        <w:t xml:space="preserve"> makes an order for costs in favour of a person other than the </w:t>
      </w:r>
      <w:r>
        <w:rPr>
          <w:iCs/>
        </w:rPr>
        <w:t>Commissioner</w:t>
      </w:r>
      <w:r>
        <w:rPr>
          <w:snapToGrid w:val="0"/>
        </w:rPr>
        <w:t xml:space="preserve">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spacing w:before="100"/>
      </w:pPr>
      <w:r>
        <w:tab/>
        <w:t>[Regulation 9 amended in Gazette 30 Dec 2004 p. 6923; 30 Jun 2011 p. 2651.]</w:t>
      </w:r>
    </w:p>
    <w:p>
      <w:pPr>
        <w:pStyle w:val="Heading5"/>
      </w:pPr>
      <w:bookmarkStart w:id="19" w:name="_Toc404091127"/>
      <w:bookmarkStart w:id="20" w:name="_Toc453069366"/>
      <w:r>
        <w:rPr>
          <w:rStyle w:val="CharSectno"/>
        </w:rPr>
        <w:t>10</w:t>
      </w:r>
      <w:r>
        <w:t>.</w:t>
      </w:r>
      <w:r>
        <w:tab/>
        <w:t>Infringement notices, offences etc. prescribed (Sch. 2)</w:t>
      </w:r>
      <w:bookmarkEnd w:id="19"/>
      <w:bookmarkEnd w:id="20"/>
    </w:p>
    <w:p>
      <w:pPr>
        <w:pStyle w:val="Subsection"/>
        <w:spacing w:before="150"/>
      </w:pPr>
      <w:r>
        <w:tab/>
        <w:t>(1)</w:t>
      </w:r>
      <w:r>
        <w:tab/>
        <w:t xml:space="preserve">The offences specified in Schedule 2 are offences for which an infringement notice may be issued under Part 2 of the </w:t>
      </w:r>
      <w:r>
        <w:rPr>
          <w:i/>
        </w:rPr>
        <w:t>Criminal Procedure Act 2004</w:t>
      </w:r>
      <w:r>
        <w:t>.</w:t>
      </w:r>
    </w:p>
    <w:p>
      <w:pPr>
        <w:pStyle w:val="Subsection"/>
        <w:spacing w:before="150"/>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spacing w:before="15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5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10 inserted in Gazette 22 Sep 2006 p. 4119-20.]</w:t>
      </w:r>
    </w:p>
    <w:p>
      <w:pPr>
        <w:pStyle w:val="Heading5"/>
      </w:pPr>
      <w:bookmarkStart w:id="21" w:name="_Toc404091128"/>
      <w:bookmarkStart w:id="22" w:name="_Toc453069367"/>
      <w:r>
        <w:rPr>
          <w:rStyle w:val="CharSectno"/>
        </w:rPr>
        <w:t>11</w:t>
      </w:r>
      <w:r>
        <w:t>.</w:t>
      </w:r>
      <w:r>
        <w:tab/>
        <w:t>Infringement notices, forms prescribed (Sch. 3)</w:t>
      </w:r>
      <w:bookmarkEnd w:id="21"/>
      <w:bookmarkEnd w:id="22"/>
    </w:p>
    <w:p>
      <w:pPr>
        <w:pStyle w:val="Subsection"/>
      </w:pPr>
      <w:r>
        <w:tab/>
      </w:r>
      <w:r>
        <w:tab/>
        <w:t>The forms set out in Schedule 3 are prescribed in relation to the matters specified in those forms.</w:t>
      </w:r>
    </w:p>
    <w:p>
      <w:pPr>
        <w:pStyle w:val="Footnotesection"/>
        <w:spacing w:before="100"/>
      </w:pPr>
      <w:r>
        <w:tab/>
        <w:t>[Regulation 11 inserted in Gazette 22 Sep 2006 p. 4120.]</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 w:name="_Toc404091129"/>
      <w:bookmarkStart w:id="24" w:name="_Toc419375207"/>
      <w:bookmarkStart w:id="25" w:name="_Toc419375222"/>
      <w:bookmarkStart w:id="26" w:name="_Toc419452849"/>
      <w:bookmarkStart w:id="27" w:name="_Toc423341121"/>
      <w:bookmarkStart w:id="28" w:name="_Toc453069368"/>
      <w:r>
        <w:rPr>
          <w:rStyle w:val="CharSchNo"/>
        </w:rPr>
        <w:t>Schedule 1</w:t>
      </w:r>
      <w:r>
        <w:t> — </w:t>
      </w:r>
      <w:r>
        <w:rPr>
          <w:rStyle w:val="CharSchText"/>
        </w:rPr>
        <w:t>Fees</w:t>
      </w:r>
      <w:bookmarkEnd w:id="23"/>
      <w:bookmarkEnd w:id="24"/>
      <w:bookmarkEnd w:id="25"/>
      <w:bookmarkEnd w:id="26"/>
      <w:bookmarkEnd w:id="27"/>
      <w:bookmarkEnd w:id="28"/>
    </w:p>
    <w:p>
      <w:pPr>
        <w:pStyle w:val="yShoulderClause"/>
      </w:pPr>
      <w:r>
        <w:t>[r. 4]</w:t>
      </w:r>
    </w:p>
    <w:p>
      <w:pPr>
        <w:pStyle w:val="yFootnoteheading"/>
        <w:spacing w:after="80"/>
      </w:pPr>
      <w:r>
        <w:tab/>
        <w:t>[Heading inserted in Gazette 17 Jun 2014 p. 1968; amended in Gazette 18 Nov 2014 p. 4318.]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245"/>
        <w:gridCol w:w="992"/>
      </w:tblGrid>
      <w:tr>
        <w:trPr>
          <w:tblHeader/>
        </w:trPr>
        <w:tc>
          <w:tcPr>
            <w:tcW w:w="851" w:type="dxa"/>
            <w:vAlign w:val="center"/>
          </w:tcPr>
          <w:p>
            <w:pPr>
              <w:pStyle w:val="yTableNAm"/>
            </w:pPr>
            <w:r>
              <w:rPr>
                <w:b/>
                <w:bCs/>
              </w:rPr>
              <w:t>Item</w:t>
            </w:r>
          </w:p>
        </w:tc>
        <w:tc>
          <w:tcPr>
            <w:tcW w:w="5245" w:type="dxa"/>
            <w:vAlign w:val="center"/>
          </w:tcPr>
          <w:p>
            <w:pPr>
              <w:pStyle w:val="yTableNAm"/>
            </w:pPr>
            <w:r>
              <w:rPr>
                <w:b/>
                <w:bCs/>
              </w:rPr>
              <w:t>Description of fee</w:t>
            </w:r>
          </w:p>
        </w:tc>
        <w:tc>
          <w:tcPr>
            <w:tcW w:w="992" w:type="dxa"/>
          </w:tcPr>
          <w:p>
            <w:pPr>
              <w:pStyle w:val="yTableNAm"/>
              <w:tabs>
                <w:tab w:val="clear" w:pos="567"/>
              </w:tabs>
              <w:ind w:right="98"/>
              <w:jc w:val="center"/>
            </w:pPr>
            <w:r>
              <w:rPr>
                <w:b/>
                <w:bCs/>
              </w:rPr>
              <w:t>$</w:t>
            </w:r>
          </w:p>
        </w:tc>
      </w:tr>
      <w:tr>
        <w:tc>
          <w:tcPr>
            <w:tcW w:w="851" w:type="dxa"/>
          </w:tcPr>
          <w:p>
            <w:pPr>
              <w:pStyle w:val="yTableNAm"/>
            </w:pPr>
            <w:r>
              <w:t>1.</w:t>
            </w:r>
          </w:p>
        </w:tc>
        <w:tc>
          <w:tcPr>
            <w:tcW w:w="5245" w:type="dxa"/>
          </w:tcPr>
          <w:p>
            <w:pPr>
              <w:pStyle w:val="yTableNAm"/>
            </w:pPr>
            <w:r>
              <w:t>Grant of licence</w:t>
            </w:r>
          </w:p>
        </w:tc>
        <w:tc>
          <w:tcPr>
            <w:tcW w:w="992" w:type="dxa"/>
          </w:tcPr>
          <w:p>
            <w:pPr>
              <w:pStyle w:val="yTableNAm"/>
              <w:tabs>
                <w:tab w:val="clear" w:pos="567"/>
              </w:tabs>
              <w:ind w:right="98"/>
              <w:jc w:val="right"/>
            </w:pPr>
            <w:r>
              <w:t>796.00</w:t>
            </w:r>
          </w:p>
        </w:tc>
      </w:tr>
      <w:tr>
        <w:tc>
          <w:tcPr>
            <w:tcW w:w="851" w:type="dxa"/>
          </w:tcPr>
          <w:p>
            <w:pPr>
              <w:pStyle w:val="yTableNAm"/>
            </w:pPr>
            <w:r>
              <w:t>2.</w:t>
            </w:r>
          </w:p>
        </w:tc>
        <w:tc>
          <w:tcPr>
            <w:tcW w:w="5245" w:type="dxa"/>
          </w:tcPr>
          <w:p>
            <w:pPr>
              <w:pStyle w:val="yTableNAm"/>
            </w:pPr>
            <w:r>
              <w:t>Renewal of licence</w:t>
            </w:r>
          </w:p>
        </w:tc>
        <w:tc>
          <w:tcPr>
            <w:tcW w:w="992" w:type="dxa"/>
          </w:tcPr>
          <w:p>
            <w:pPr>
              <w:pStyle w:val="yTableNAm"/>
              <w:tabs>
                <w:tab w:val="clear" w:pos="567"/>
              </w:tabs>
              <w:ind w:right="98"/>
              <w:jc w:val="right"/>
            </w:pPr>
            <w:r>
              <w:t>796.00</w:t>
            </w:r>
          </w:p>
        </w:tc>
      </w:tr>
      <w:tr>
        <w:tc>
          <w:tcPr>
            <w:tcW w:w="851" w:type="dxa"/>
          </w:tcPr>
          <w:p>
            <w:pPr>
              <w:pStyle w:val="yTableNAm"/>
            </w:pPr>
            <w:r>
              <w:t>3.</w:t>
            </w:r>
          </w:p>
        </w:tc>
        <w:tc>
          <w:tcPr>
            <w:tcW w:w="5245" w:type="dxa"/>
          </w:tcPr>
          <w:p>
            <w:pPr>
              <w:pStyle w:val="yTableNAm"/>
            </w:pPr>
            <w:r>
              <w:t>Issue of duplicate licence</w:t>
            </w:r>
          </w:p>
        </w:tc>
        <w:tc>
          <w:tcPr>
            <w:tcW w:w="992" w:type="dxa"/>
          </w:tcPr>
          <w:p>
            <w:pPr>
              <w:pStyle w:val="yTableNAm"/>
              <w:tabs>
                <w:tab w:val="clear" w:pos="567"/>
              </w:tabs>
              <w:ind w:right="98"/>
              <w:jc w:val="right"/>
            </w:pPr>
            <w:r>
              <w:t>34.85</w:t>
            </w:r>
          </w:p>
        </w:tc>
      </w:tr>
      <w:tr>
        <w:tc>
          <w:tcPr>
            <w:tcW w:w="851" w:type="dxa"/>
          </w:tcPr>
          <w:p>
            <w:pPr>
              <w:pStyle w:val="yTableNAm"/>
            </w:pPr>
            <w:r>
              <w:t>4.</w:t>
            </w:r>
          </w:p>
        </w:tc>
        <w:tc>
          <w:tcPr>
            <w:tcW w:w="5245" w:type="dxa"/>
          </w:tcPr>
          <w:p>
            <w:pPr>
              <w:pStyle w:val="yTableNAm"/>
            </w:pPr>
            <w:r>
              <w:t>Inspection of register</w:t>
            </w:r>
          </w:p>
        </w:tc>
        <w:tc>
          <w:tcPr>
            <w:tcW w:w="992" w:type="dxa"/>
          </w:tcPr>
          <w:p>
            <w:pPr>
              <w:pStyle w:val="yTableNAm"/>
              <w:tabs>
                <w:tab w:val="clear" w:pos="567"/>
              </w:tabs>
              <w:ind w:right="98"/>
              <w:jc w:val="right"/>
            </w:pPr>
            <w:r>
              <w:t>11.35</w:t>
            </w:r>
          </w:p>
        </w:tc>
      </w:tr>
      <w:tr>
        <w:tc>
          <w:tcPr>
            <w:tcW w:w="851" w:type="dxa"/>
          </w:tcPr>
          <w:p>
            <w:pPr>
              <w:pStyle w:val="yTableNAm"/>
            </w:pPr>
            <w:r>
              <w:t>5.</w:t>
            </w:r>
          </w:p>
        </w:tc>
        <w:tc>
          <w:tcPr>
            <w:tcW w:w="5245" w:type="dxa"/>
          </w:tcPr>
          <w:p>
            <w:pPr>
              <w:pStyle w:val="yTableNAm"/>
            </w:pPr>
            <w:r>
              <w:t xml:space="preserve">Certificate as to an individual registration in register — </w:t>
            </w:r>
          </w:p>
          <w:p>
            <w:pPr>
              <w:pStyle w:val="yTableNAm"/>
            </w:pPr>
            <w:r>
              <w:t>first page</w:t>
            </w:r>
          </w:p>
          <w:p>
            <w:pPr>
              <w:pStyle w:val="yTableNAm"/>
            </w:pPr>
            <w:r>
              <w:t>each subsequent page</w:t>
            </w:r>
          </w:p>
        </w:tc>
        <w:tc>
          <w:tcPr>
            <w:tcW w:w="992" w:type="dxa"/>
          </w:tcPr>
          <w:p>
            <w:pPr>
              <w:pStyle w:val="yTableNAm"/>
              <w:tabs>
                <w:tab w:val="clear" w:pos="567"/>
              </w:tabs>
              <w:ind w:right="98"/>
              <w:jc w:val="right"/>
            </w:pPr>
          </w:p>
          <w:p>
            <w:pPr>
              <w:pStyle w:val="yTableNAm"/>
              <w:tabs>
                <w:tab w:val="clear" w:pos="567"/>
              </w:tabs>
              <w:ind w:right="98"/>
              <w:jc w:val="right"/>
            </w:pPr>
            <w:r>
              <w:t>11.35</w:t>
            </w:r>
          </w:p>
          <w:p>
            <w:pPr>
              <w:pStyle w:val="yTableNAm"/>
              <w:tabs>
                <w:tab w:val="clear" w:pos="567"/>
              </w:tabs>
              <w:ind w:right="98"/>
              <w:jc w:val="right"/>
            </w:pPr>
            <w:r>
              <w:t>2.20</w:t>
            </w:r>
          </w:p>
        </w:tc>
      </w:tr>
      <w:tr>
        <w:tc>
          <w:tcPr>
            <w:tcW w:w="851" w:type="dxa"/>
          </w:tcPr>
          <w:p>
            <w:pPr>
              <w:pStyle w:val="yTableNAm"/>
            </w:pPr>
            <w:r>
              <w:t>6.</w:t>
            </w:r>
          </w:p>
        </w:tc>
        <w:tc>
          <w:tcPr>
            <w:tcW w:w="5245" w:type="dxa"/>
          </w:tcPr>
          <w:p>
            <w:pPr>
              <w:pStyle w:val="yTableNAm"/>
            </w:pPr>
            <w:r>
              <w:t>Certificate as to all registrations in register</w:t>
            </w:r>
          </w:p>
        </w:tc>
        <w:tc>
          <w:tcPr>
            <w:tcW w:w="992" w:type="dxa"/>
          </w:tcPr>
          <w:p>
            <w:pPr>
              <w:pStyle w:val="yTableNAm"/>
              <w:tabs>
                <w:tab w:val="clear" w:pos="567"/>
              </w:tabs>
              <w:ind w:right="98"/>
              <w:jc w:val="right"/>
            </w:pPr>
            <w:r>
              <w:t>141.00</w:t>
            </w:r>
          </w:p>
        </w:tc>
      </w:tr>
    </w:tbl>
    <w:p>
      <w:pPr>
        <w:pStyle w:val="yFootnotesection"/>
      </w:pPr>
      <w:r>
        <w:tab/>
        <w:t>[Schedule 1 inserted in Gazette 17 Jun 2014 p. 1968; amended in Gazette 23 Jun 2015 p. 2176.]</w:t>
      </w:r>
    </w:p>
    <w:p>
      <w:pPr>
        <w:pStyle w:val="yScheduleHeading"/>
      </w:pPr>
      <w:bookmarkStart w:id="29" w:name="_Toc404091130"/>
      <w:bookmarkStart w:id="30" w:name="_Toc419375208"/>
      <w:bookmarkStart w:id="31" w:name="_Toc419375223"/>
      <w:bookmarkStart w:id="32" w:name="_Toc419452850"/>
      <w:bookmarkStart w:id="33" w:name="_Toc423341122"/>
      <w:bookmarkStart w:id="34" w:name="_Toc453069369"/>
      <w:r>
        <w:rPr>
          <w:rStyle w:val="CharSchNo"/>
        </w:rPr>
        <w:t>Schedule 2</w:t>
      </w:r>
      <w:r>
        <w:t> — </w:t>
      </w:r>
      <w:r>
        <w:rPr>
          <w:rStyle w:val="CharSchText"/>
        </w:rPr>
        <w:t>Prescribed offences and modified penalties</w:t>
      </w:r>
      <w:bookmarkEnd w:id="29"/>
      <w:bookmarkEnd w:id="30"/>
      <w:bookmarkEnd w:id="31"/>
      <w:bookmarkEnd w:id="32"/>
      <w:bookmarkEnd w:id="33"/>
      <w:bookmarkEnd w:id="34"/>
    </w:p>
    <w:p>
      <w:pPr>
        <w:pStyle w:val="yShoulderClause"/>
      </w:pPr>
      <w:r>
        <w:t>[r. 10]</w:t>
      </w:r>
    </w:p>
    <w:p>
      <w:pPr>
        <w:pStyle w:val="yFootnoteheading"/>
        <w:spacing w:after="80"/>
      </w:pPr>
      <w:r>
        <w:tab/>
        <w:t>[Heading inserted in Gazette 22 Sep 2006 p. 4120.]</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23(1)</w:t>
            </w:r>
          </w:p>
        </w:tc>
        <w:tc>
          <w:tcPr>
            <w:tcW w:w="4629" w:type="dxa"/>
          </w:tcPr>
          <w:p>
            <w:pPr>
              <w:pStyle w:val="yTable"/>
            </w:pPr>
            <w:r>
              <w:t>Unlicensed person on business as land valuer ........</w:t>
            </w:r>
          </w:p>
        </w:tc>
        <w:tc>
          <w:tcPr>
            <w:tcW w:w="1175" w:type="dxa"/>
          </w:tcPr>
          <w:p>
            <w:pPr>
              <w:pStyle w:val="yTable"/>
            </w:pPr>
            <w:r>
              <w:t>$100</w:t>
            </w:r>
          </w:p>
        </w:tc>
      </w:tr>
      <w:tr>
        <w:trPr>
          <w:cantSplit/>
          <w:trHeight w:val="21"/>
        </w:trPr>
        <w:tc>
          <w:tcPr>
            <w:tcW w:w="1276" w:type="dxa"/>
          </w:tcPr>
          <w:p>
            <w:pPr>
              <w:pStyle w:val="yTable"/>
            </w:pPr>
            <w:r>
              <w:t>s. 24</w:t>
            </w:r>
          </w:p>
        </w:tc>
        <w:tc>
          <w:tcPr>
            <w:tcW w:w="4629" w:type="dxa"/>
          </w:tcPr>
          <w:p>
            <w:pPr>
              <w:pStyle w:val="yTable"/>
            </w:pPr>
            <w:r>
              <w:t>Unlicensed person claiming to be licensed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1175" w:type="dxa"/>
            <w:tcBorders>
              <w:bottom w:val="single" w:sz="4" w:space="0" w:color="auto"/>
            </w:tcBorders>
          </w:tcPr>
          <w:p>
            <w:pPr>
              <w:pStyle w:val="yTable"/>
            </w:pPr>
            <w:r>
              <w:br/>
              <w:t>$100</w:t>
            </w:r>
          </w:p>
        </w:tc>
      </w:tr>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 xml:space="preserve">Failing to notify </w:t>
            </w:r>
            <w:r>
              <w:rPr>
                <w:iCs/>
                <w:szCs w:val="22"/>
              </w:rPr>
              <w:t>Commissioner</w:t>
            </w:r>
            <w:r>
              <w:t xml:space="preserve"> of change of particulars ................................................................</w:t>
            </w:r>
          </w:p>
        </w:tc>
        <w:tc>
          <w:tcPr>
            <w:tcW w:w="1175" w:type="dxa"/>
            <w:tcBorders>
              <w:top w:val="single" w:sz="4" w:space="0" w:color="auto"/>
              <w:bottom w:val="single" w:sz="4" w:space="0" w:color="auto"/>
            </w:tcBorders>
          </w:tcPr>
          <w:p>
            <w:pPr>
              <w:pStyle w:val="yTable"/>
            </w:pPr>
            <w:r>
              <w:br/>
              <w:t>$20</w:t>
            </w:r>
          </w:p>
        </w:tc>
      </w:tr>
    </w:tbl>
    <w:p>
      <w:pPr>
        <w:pStyle w:val="yFootnotesection"/>
      </w:pPr>
      <w:r>
        <w:tab/>
        <w:t>[Schedule 2 inserted in Gazette 22 Sep 2006 p. 4120; amended in Gazette 30 Jun 2011 p. 2651.]</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6" w:name="_Toc404091131"/>
      <w:bookmarkStart w:id="37" w:name="_Toc419375209"/>
      <w:bookmarkStart w:id="38" w:name="_Toc419375224"/>
      <w:bookmarkStart w:id="39" w:name="_Toc419452851"/>
      <w:bookmarkStart w:id="40" w:name="_Toc423341123"/>
      <w:bookmarkStart w:id="41" w:name="_Toc453069370"/>
      <w:r>
        <w:rPr>
          <w:rStyle w:val="CharSchNo"/>
        </w:rPr>
        <w:t>Schedule 3</w:t>
      </w:r>
      <w:r>
        <w:t> — </w:t>
      </w:r>
      <w:r>
        <w:rPr>
          <w:rStyle w:val="CharSchText"/>
        </w:rPr>
        <w:t>Forms</w:t>
      </w:r>
      <w:bookmarkEnd w:id="36"/>
      <w:bookmarkEnd w:id="37"/>
      <w:bookmarkEnd w:id="38"/>
      <w:bookmarkEnd w:id="39"/>
      <w:bookmarkEnd w:id="40"/>
      <w:bookmarkEnd w:id="41"/>
    </w:p>
    <w:p>
      <w:pPr>
        <w:pStyle w:val="yShoulderClause"/>
        <w:spacing w:before="0"/>
      </w:pPr>
      <w:r>
        <w:t>[r. 11]</w:t>
      </w:r>
    </w:p>
    <w:p>
      <w:pPr>
        <w:pStyle w:val="yFootnoteheading"/>
        <w:spacing w:before="0"/>
      </w:pPr>
      <w:r>
        <w:tab/>
        <w:t>[Heading inserted in Gazette 22 Sep 2006 p. 4120.]</w:t>
      </w:r>
    </w:p>
    <w:p>
      <w:pPr>
        <w:pStyle w:val="yMiscellaneousBody"/>
        <w:spacing w:before="120" w:after="60"/>
        <w:rPr>
          <w:b/>
          <w:bCs/>
        </w:rPr>
      </w:pPr>
      <w:r>
        <w:rPr>
          <w:rStyle w:val="CharSClsNo"/>
          <w:b/>
        </w:rPr>
        <w:t>Form 1</w:t>
      </w:r>
      <w:r>
        <w:rPr>
          <w:b/>
          <w:bCs/>
        </w:rPr>
        <w:t> — Infringement notice</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2118" w:type="dxa"/>
          </w:tcPr>
          <w:p>
            <w:pPr>
              <w:pStyle w:val="yTable"/>
              <w:keepNext/>
              <w:spacing w:before="0"/>
              <w:rPr>
                <w:sz w:val="20"/>
              </w:rPr>
            </w:pPr>
            <w:r>
              <w:rPr>
                <w:sz w:val="20"/>
              </w:rPr>
              <w:t xml:space="preserve">Infringement </w:t>
            </w:r>
            <w:r>
              <w:rPr>
                <w:sz w:val="20"/>
              </w:rPr>
              <w:br/>
              <w:t>notice no.</w:t>
            </w:r>
          </w:p>
        </w:tc>
      </w:tr>
      <w:tr>
        <w:trPr>
          <w:cantSplit/>
          <w:trHeight w:val="150"/>
        </w:trPr>
        <w:tc>
          <w:tcPr>
            <w:tcW w:w="1440" w:type="dxa"/>
            <w:vMerge w:val="restart"/>
          </w:tcPr>
          <w:p>
            <w:pPr>
              <w:pStyle w:val="yTable"/>
              <w:keepNext/>
              <w:spacing w:before="0"/>
              <w:rPr>
                <w:b/>
                <w:sz w:val="20"/>
              </w:rPr>
            </w:pPr>
            <w:r>
              <w:rPr>
                <w:b/>
                <w:sz w:val="20"/>
              </w:rPr>
              <w:t>Alleged offender</w:t>
            </w:r>
          </w:p>
        </w:tc>
        <w:tc>
          <w:tcPr>
            <w:tcW w:w="5640"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s>
              <w:spacing w:before="0"/>
              <w:rPr>
                <w:sz w:val="20"/>
              </w:rPr>
            </w:pPr>
            <w:r>
              <w:rPr>
                <w:sz w:val="20"/>
              </w:rPr>
              <w:tab/>
              <w:t>Given names</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440" w:type="dxa"/>
            <w:vMerge w:val="restart"/>
          </w:tcPr>
          <w:p>
            <w:pPr>
              <w:pStyle w:val="yTable"/>
              <w:keepNext/>
              <w:spacing w:before="0"/>
              <w:rPr>
                <w:b/>
                <w:sz w:val="20"/>
              </w:rPr>
            </w:pPr>
            <w:r>
              <w:rPr>
                <w:b/>
                <w:sz w:val="20"/>
              </w:rPr>
              <w:t>Alleged offence</w:t>
            </w:r>
          </w:p>
        </w:tc>
        <w:tc>
          <w:tcPr>
            <w:tcW w:w="5640" w:type="dxa"/>
            <w:gridSpan w:val="2"/>
          </w:tcPr>
          <w:p>
            <w:pPr>
              <w:pStyle w:val="yTable"/>
              <w:keepNext/>
              <w:tabs>
                <w:tab w:val="left" w:pos="563"/>
              </w:tabs>
              <w:spacing w:before="0" w:after="40"/>
              <w:ind w:right="-249"/>
              <w:rPr>
                <w:sz w:val="20"/>
              </w:rPr>
            </w:pPr>
            <w:r>
              <w:rPr>
                <w:sz w:val="20"/>
              </w:rPr>
              <w:t>Description of offence _____________________________________</w:t>
            </w:r>
          </w:p>
        </w:tc>
      </w:tr>
      <w:tr>
        <w:trPr>
          <w:cantSplit/>
        </w:trPr>
        <w:tc>
          <w:tcPr>
            <w:tcW w:w="1440" w:type="dxa"/>
            <w:vMerge/>
          </w:tcPr>
          <w:p>
            <w:pPr>
              <w:pStyle w:val="yTable"/>
              <w:keepNext/>
              <w:spacing w:before="0"/>
              <w:rPr>
                <w:sz w:val="20"/>
              </w:rPr>
            </w:pPr>
          </w:p>
        </w:tc>
        <w:tc>
          <w:tcPr>
            <w:tcW w:w="5640" w:type="dxa"/>
            <w:gridSpan w:val="2"/>
          </w:tcPr>
          <w:p>
            <w:pPr>
              <w:pStyle w:val="yTable"/>
              <w:keepNext/>
              <w:tabs>
                <w:tab w:val="left" w:pos="459"/>
              </w:tabs>
              <w:spacing w:before="0"/>
              <w:rPr>
                <w:sz w:val="20"/>
              </w:rPr>
            </w:pPr>
            <w:r>
              <w:rPr>
                <w:i/>
                <w:sz w:val="20"/>
              </w:rPr>
              <w:t xml:space="preserve">Land Valuers Licensing Act 1978 </w:t>
            </w:r>
            <w:r>
              <w:rPr>
                <w:sz w:val="20"/>
              </w:rPr>
              <w:t>s.</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440" w:type="dxa"/>
            <w:vMerge/>
          </w:tcPr>
          <w:p>
            <w:pPr>
              <w:pStyle w:val="yTable"/>
              <w:keepNext/>
              <w:spacing w:before="0"/>
              <w:rPr>
                <w:sz w:val="20"/>
              </w:rPr>
            </w:pPr>
          </w:p>
        </w:tc>
        <w:tc>
          <w:tcPr>
            <w:tcW w:w="5640" w:type="dxa"/>
            <w:gridSpan w:val="2"/>
          </w:tcPr>
          <w:p>
            <w:pPr>
              <w:pStyle w:val="yTable"/>
              <w:tabs>
                <w:tab w:val="left" w:pos="1168"/>
                <w:tab w:val="left" w:pos="1734"/>
                <w:tab w:val="left" w:pos="3272"/>
                <w:tab w:val="left" w:pos="454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Table"/>
              <w:keepNext/>
              <w:spacing w:before="0"/>
              <w:rPr>
                <w:b/>
                <w:sz w:val="20"/>
              </w:rPr>
            </w:pPr>
          </w:p>
        </w:tc>
        <w:tc>
          <w:tcPr>
            <w:tcW w:w="5640" w:type="dxa"/>
            <w:gridSpan w:val="2"/>
          </w:tcPr>
          <w:p>
            <w:pPr>
              <w:pStyle w:val="yTable"/>
              <w:spacing w:before="0"/>
              <w:rPr>
                <w:sz w:val="20"/>
              </w:rPr>
            </w:pPr>
            <w:r>
              <w:rPr>
                <w:sz w:val="20"/>
              </w:rPr>
              <w:t>Modified penalty  $</w:t>
            </w:r>
          </w:p>
        </w:tc>
      </w:tr>
      <w:tr>
        <w:trPr>
          <w:cantSplit/>
        </w:trPr>
        <w:tc>
          <w:tcPr>
            <w:tcW w:w="1440" w:type="dxa"/>
            <w:vMerge w:val="restart"/>
          </w:tcPr>
          <w:p>
            <w:pPr>
              <w:pStyle w:val="yTable"/>
              <w:keepNext/>
              <w:spacing w:before="0"/>
              <w:rPr>
                <w:b/>
                <w:sz w:val="20"/>
              </w:rPr>
            </w:pPr>
            <w:r>
              <w:rPr>
                <w:b/>
                <w:sz w:val="20"/>
              </w:rPr>
              <w:t>Officer issuing notice</w:t>
            </w:r>
          </w:p>
        </w:tc>
        <w:tc>
          <w:tcPr>
            <w:tcW w:w="5640" w:type="dxa"/>
            <w:gridSpan w:val="2"/>
          </w:tcPr>
          <w:p>
            <w:pPr>
              <w:pStyle w:val="yTable"/>
              <w:keepNext/>
              <w:tabs>
                <w:tab w:val="left" w:pos="563"/>
              </w:tabs>
              <w:spacing w:before="0"/>
              <w:rPr>
                <w:sz w:val="20"/>
              </w:rPr>
            </w:pPr>
            <w:r>
              <w:rPr>
                <w:sz w:val="20"/>
              </w:rPr>
              <w:t>Name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Signature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Office</w:t>
            </w:r>
          </w:p>
        </w:tc>
      </w:tr>
      <w:tr>
        <w:tc>
          <w:tcPr>
            <w:tcW w:w="1440" w:type="dxa"/>
            <w:tcBorders>
              <w:bottom w:val="single" w:sz="4" w:space="0" w:color="auto"/>
            </w:tcBorders>
          </w:tcPr>
          <w:p>
            <w:pPr>
              <w:pStyle w:val="yTable"/>
              <w:keepNext/>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40" w:type="dxa"/>
            <w:tcBorders>
              <w:bottom w:val="single" w:sz="4" w:space="0" w:color="auto"/>
            </w:tcBorders>
          </w:tcPr>
          <w:p>
            <w:pPr>
              <w:pStyle w:val="yTable"/>
              <w:spacing w:before="0"/>
              <w:ind w:right="-108"/>
              <w:rPr>
                <w:b/>
                <w:sz w:val="20"/>
              </w:rPr>
            </w:pPr>
            <w:r>
              <w:rPr>
                <w:b/>
                <w:sz w:val="20"/>
              </w:rPr>
              <w:t xml:space="preserve">Notice to alleged offender </w:t>
            </w:r>
          </w:p>
        </w:tc>
        <w:tc>
          <w:tcPr>
            <w:tcW w:w="564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to:</w:t>
            </w:r>
          </w:p>
          <w:p>
            <w:pPr>
              <w:pStyle w:val="yTable"/>
              <w:spacing w:before="0"/>
              <w:ind w:left="601"/>
              <w:rPr>
                <w:sz w:val="20"/>
              </w:rPr>
            </w:pPr>
            <w:r>
              <w:rPr>
                <w:sz w:val="20"/>
              </w:rPr>
              <w:t xml:space="preserve">Approved Officer — </w:t>
            </w:r>
            <w:r>
              <w:rPr>
                <w:i/>
                <w:sz w:val="20"/>
              </w:rPr>
              <w:t>Land Valuers Licensing Act 1978</w:t>
            </w:r>
          </w:p>
          <w:p>
            <w:pPr>
              <w:pStyle w:val="yTable"/>
              <w:spacing w:before="0"/>
              <w:ind w:left="601"/>
              <w:rPr>
                <w:iCs/>
                <w:sz w:val="20"/>
              </w:rPr>
            </w:pPr>
            <w:r>
              <w:rPr>
                <w:sz w:val="20"/>
              </w:rPr>
              <w:t>Department</w:t>
            </w:r>
            <w:r>
              <w:rPr>
                <w:iCs/>
                <w:sz w:val="20"/>
              </w:rPr>
              <w:t xml:space="preserve"> of Commerce — Consumer Protection</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w:t>
            </w:r>
          </w:p>
          <w:p>
            <w:pPr>
              <w:pStyle w:val="yTable"/>
              <w:spacing w:before="0"/>
              <w:ind w:left="601"/>
              <w:rPr>
                <w:iCs/>
                <w:sz w:val="20"/>
              </w:rPr>
            </w:pPr>
            <w:r>
              <w:rPr>
                <w:sz w:val="20"/>
              </w:rPr>
              <w:t>Department</w:t>
            </w:r>
            <w:r>
              <w:rPr>
                <w:iCs/>
                <w:sz w:val="20"/>
              </w:rPr>
              <w:t xml:space="preserve"> of Commerce — Consumer Protection</w:t>
            </w:r>
          </w:p>
          <w:p>
            <w:pPr>
              <w:pStyle w:val="yTable"/>
              <w:spacing w:before="0"/>
              <w:ind w:left="601"/>
              <w:rPr>
                <w:sz w:val="20"/>
              </w:rPr>
            </w:pPr>
            <w:r>
              <w:rPr>
                <w:i/>
                <w:szCs w:val="22"/>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bottom w:val="single" w:sz="4" w:space="0" w:color="auto"/>
            </w:tcBorders>
          </w:tcPr>
          <w:p>
            <w:pPr>
              <w:pStyle w:val="yTable"/>
              <w:spacing w:before="0"/>
              <w:ind w:right="-108"/>
              <w:rPr>
                <w:b/>
                <w:sz w:val="20"/>
              </w:rPr>
            </w:pPr>
          </w:p>
        </w:tc>
        <w:tc>
          <w:tcPr>
            <w:tcW w:w="5640" w:type="dxa"/>
            <w:gridSpan w:val="2"/>
            <w:tcBorders>
              <w:top w:val="single" w:sz="4" w:space="0" w:color="auto"/>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4120</w:t>
      </w:r>
      <w:r>
        <w:noBreakHyphen/>
        <w:t>1; amended in Gazette 30 Jun 2011 p. 2651; 20 Aug 2013 p. 3836; 18 Nov 2014 p. 4318.]</w:t>
      </w:r>
    </w:p>
    <w:p>
      <w:pPr>
        <w:pStyle w:val="yMiscellaneousBody"/>
        <w:pageBreakBefore/>
        <w:spacing w:after="8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sz w:val="20"/>
              </w:rPr>
            </w:pPr>
            <w:r>
              <w:rPr>
                <w:i/>
                <w:sz w:val="20"/>
              </w:rPr>
              <w:t>Land Valuers Licensing Act 1978</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Land Valuers Licensing Act 1978 </w:t>
            </w:r>
            <w:r>
              <w:rPr>
                <w:sz w:val="20"/>
              </w:rPr>
              <w:t>s.</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026"/>
                <w:tab w:val="left" w:pos="1593"/>
                <w:tab w:val="left" w:pos="3203"/>
                <w:tab w:val="left" w:pos="457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418"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sz w:val="20"/>
              </w:rPr>
            </w:pPr>
            <w:r>
              <w:rPr>
                <w:sz w:val="20"/>
              </w:rPr>
              <w:tab/>
              <w:t xml:space="preserve">Approved Officer — </w:t>
            </w:r>
            <w:r>
              <w:rPr>
                <w:i/>
                <w:sz w:val="20"/>
              </w:rPr>
              <w:t>Land Valuers Licensing Act 1978</w:t>
            </w:r>
          </w:p>
          <w:p>
            <w:pPr>
              <w:pStyle w:val="yTable"/>
              <w:spacing w:before="0"/>
              <w:ind w:left="510"/>
              <w:rPr>
                <w:sz w:val="20"/>
              </w:rPr>
            </w:pPr>
            <w:r>
              <w:rPr>
                <w:iCs/>
                <w:sz w:val="20"/>
              </w:rPr>
              <w:t>Department of Commerce — Consumer Protection</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in Gazette 22 Sep 2006 p. 4121</w:t>
      </w:r>
      <w:r>
        <w:noBreakHyphen/>
        <w:t>2; amended in Gazette 30 Jun 2011 p. 2652.]</w:t>
      </w:r>
    </w:p>
    <w:p>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42" w:name="_Toc404091132"/>
      <w:bookmarkStart w:id="43" w:name="_Toc419375210"/>
      <w:bookmarkStart w:id="44" w:name="_Toc419375225"/>
      <w:bookmarkStart w:id="45" w:name="_Toc419452852"/>
      <w:bookmarkStart w:id="46" w:name="_Toc423341124"/>
      <w:bookmarkStart w:id="47" w:name="_Toc453069371"/>
      <w:r>
        <w:t>Notes</w:t>
      </w:r>
      <w:bookmarkEnd w:id="42"/>
      <w:bookmarkEnd w:id="43"/>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8" w:name="_Toc404091133"/>
      <w:bookmarkStart w:id="49" w:name="_Toc453069372"/>
      <w:r>
        <w:rPr>
          <w:snapToGrid w:val="0"/>
        </w:rPr>
        <w:t>Compilation table</w:t>
      </w:r>
      <w:bookmarkEnd w:id="48"/>
      <w:bookmarkEnd w:id="4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Land Valuers Licensing Regulations 1979</w:t>
            </w:r>
          </w:p>
        </w:tc>
        <w:tc>
          <w:tcPr>
            <w:tcW w:w="1276" w:type="dxa"/>
          </w:tcPr>
          <w:p>
            <w:pPr>
              <w:pStyle w:val="nTable"/>
              <w:spacing w:after="40"/>
            </w:pPr>
            <w:r>
              <w:t>22 Jun 1979 p. 1698</w:t>
            </w:r>
            <w:r>
              <w:noBreakHyphen/>
              <w:t>9</w:t>
            </w:r>
          </w:p>
        </w:tc>
        <w:tc>
          <w:tcPr>
            <w:tcW w:w="2694" w:type="dxa"/>
          </w:tcPr>
          <w:p>
            <w:pPr>
              <w:pStyle w:val="nTable"/>
              <w:spacing w:after="40"/>
            </w:pPr>
            <w:r>
              <w:t>22 Jun 1979</w:t>
            </w:r>
          </w:p>
        </w:tc>
      </w:tr>
      <w:tr>
        <w:trPr>
          <w:cantSplit/>
        </w:trPr>
        <w:tc>
          <w:tcPr>
            <w:tcW w:w="3118" w:type="dxa"/>
          </w:tcPr>
          <w:p>
            <w:pPr>
              <w:pStyle w:val="nTable"/>
              <w:rPr>
                <w:i/>
                <w:iCs/>
              </w:rPr>
            </w:pPr>
            <w:r>
              <w:rPr>
                <w:i/>
                <w:iCs/>
              </w:rPr>
              <w:t>Land Valuers Licensing Amendment Regulations 1983</w:t>
            </w:r>
          </w:p>
        </w:tc>
        <w:tc>
          <w:tcPr>
            <w:tcW w:w="1276" w:type="dxa"/>
          </w:tcPr>
          <w:p>
            <w:pPr>
              <w:pStyle w:val="nTable"/>
              <w:spacing w:after="40"/>
            </w:pPr>
            <w:r>
              <w:t>18 Nov 1983 p. 4613</w:t>
            </w:r>
          </w:p>
        </w:tc>
        <w:tc>
          <w:tcPr>
            <w:tcW w:w="2694" w:type="dxa"/>
          </w:tcPr>
          <w:p>
            <w:pPr>
              <w:pStyle w:val="nTable"/>
              <w:spacing w:after="40"/>
            </w:pPr>
            <w:r>
              <w:t>1 Jan 1984 (see r. 2)</w:t>
            </w:r>
          </w:p>
        </w:tc>
      </w:tr>
      <w:tr>
        <w:trPr>
          <w:cantSplit/>
        </w:trPr>
        <w:tc>
          <w:tcPr>
            <w:tcW w:w="3118" w:type="dxa"/>
          </w:tcPr>
          <w:p>
            <w:pPr>
              <w:pStyle w:val="nTable"/>
              <w:spacing w:after="40"/>
              <w:ind w:right="113"/>
            </w:pPr>
            <w:r>
              <w:rPr>
                <w:i/>
              </w:rPr>
              <w:t>Land Valuers Licensing Amendment Regulations 1985</w:t>
            </w:r>
          </w:p>
        </w:tc>
        <w:tc>
          <w:tcPr>
            <w:tcW w:w="1276" w:type="dxa"/>
          </w:tcPr>
          <w:p>
            <w:pPr>
              <w:pStyle w:val="nTable"/>
              <w:spacing w:after="40"/>
            </w:pPr>
            <w:r>
              <w:t>21 Jun 1985 p. 2262</w:t>
            </w:r>
          </w:p>
        </w:tc>
        <w:tc>
          <w:tcPr>
            <w:tcW w:w="2694" w:type="dxa"/>
          </w:tcPr>
          <w:p>
            <w:pPr>
              <w:pStyle w:val="nTable"/>
              <w:spacing w:after="40"/>
            </w:pPr>
            <w:r>
              <w:t>21 Jun 1985</w:t>
            </w:r>
          </w:p>
        </w:tc>
      </w:tr>
      <w:tr>
        <w:trPr>
          <w:cantSplit/>
        </w:trPr>
        <w:tc>
          <w:tcPr>
            <w:tcW w:w="3118" w:type="dxa"/>
          </w:tcPr>
          <w:p>
            <w:pPr>
              <w:pStyle w:val="nTable"/>
              <w:spacing w:after="40"/>
              <w:ind w:right="113"/>
            </w:pPr>
            <w:r>
              <w:rPr>
                <w:i/>
              </w:rPr>
              <w:t>Land Valuers Licensing Amendment Regulations 1986</w:t>
            </w:r>
          </w:p>
        </w:tc>
        <w:tc>
          <w:tcPr>
            <w:tcW w:w="1276" w:type="dxa"/>
          </w:tcPr>
          <w:p>
            <w:pPr>
              <w:pStyle w:val="nTable"/>
              <w:spacing w:after="40"/>
            </w:pPr>
            <w:r>
              <w:t>30 May 1986 p. 1816</w:t>
            </w:r>
          </w:p>
        </w:tc>
        <w:tc>
          <w:tcPr>
            <w:tcW w:w="2694" w:type="dxa"/>
          </w:tcPr>
          <w:p>
            <w:pPr>
              <w:pStyle w:val="nTable"/>
              <w:spacing w:after="40"/>
            </w:pPr>
            <w:r>
              <w:t>1 Jul 1986 (see r. 2)</w:t>
            </w:r>
          </w:p>
        </w:tc>
      </w:tr>
      <w:tr>
        <w:trPr>
          <w:cantSplit/>
        </w:trPr>
        <w:tc>
          <w:tcPr>
            <w:tcW w:w="3118" w:type="dxa"/>
          </w:tcPr>
          <w:p>
            <w:pPr>
              <w:pStyle w:val="nTable"/>
              <w:spacing w:after="40"/>
              <w:ind w:right="113"/>
            </w:pPr>
            <w:r>
              <w:rPr>
                <w:i/>
              </w:rPr>
              <w:t>Land Valuers Licensing Amendment Regulations 1987</w:t>
            </w:r>
          </w:p>
        </w:tc>
        <w:tc>
          <w:tcPr>
            <w:tcW w:w="1276" w:type="dxa"/>
          </w:tcPr>
          <w:p>
            <w:pPr>
              <w:pStyle w:val="nTable"/>
              <w:spacing w:after="40"/>
            </w:pPr>
            <w:r>
              <w:t>4 Sep 1987 p. 3518</w:t>
            </w:r>
          </w:p>
        </w:tc>
        <w:tc>
          <w:tcPr>
            <w:tcW w:w="2694" w:type="dxa"/>
          </w:tcPr>
          <w:p>
            <w:pPr>
              <w:pStyle w:val="nTable"/>
              <w:spacing w:after="40"/>
            </w:pPr>
            <w:r>
              <w:t>4 Sep 1987</w:t>
            </w:r>
          </w:p>
        </w:tc>
      </w:tr>
      <w:tr>
        <w:trPr>
          <w:cantSplit/>
        </w:trPr>
        <w:tc>
          <w:tcPr>
            <w:tcW w:w="3118" w:type="dxa"/>
          </w:tcPr>
          <w:p>
            <w:pPr>
              <w:pStyle w:val="nTable"/>
              <w:spacing w:after="40"/>
              <w:ind w:right="113"/>
            </w:pPr>
            <w:r>
              <w:rPr>
                <w:i/>
              </w:rPr>
              <w:t>Land Valuers Licensing Amendment Regulations 1988</w:t>
            </w:r>
          </w:p>
        </w:tc>
        <w:tc>
          <w:tcPr>
            <w:tcW w:w="1276" w:type="dxa"/>
          </w:tcPr>
          <w:p>
            <w:pPr>
              <w:pStyle w:val="nTable"/>
              <w:spacing w:after="40"/>
            </w:pPr>
            <w:r>
              <w:t>5 Aug 1988 p. 2604</w:t>
            </w:r>
          </w:p>
        </w:tc>
        <w:tc>
          <w:tcPr>
            <w:tcW w:w="2694" w:type="dxa"/>
          </w:tcPr>
          <w:p>
            <w:pPr>
              <w:pStyle w:val="nTable"/>
              <w:spacing w:after="40"/>
            </w:pPr>
            <w:r>
              <w:t>5 Aug 1988</w:t>
            </w:r>
          </w:p>
        </w:tc>
      </w:tr>
      <w:tr>
        <w:trPr>
          <w:cantSplit/>
        </w:trPr>
        <w:tc>
          <w:tcPr>
            <w:tcW w:w="3118" w:type="dxa"/>
          </w:tcPr>
          <w:p>
            <w:pPr>
              <w:pStyle w:val="nTable"/>
              <w:spacing w:after="40"/>
              <w:ind w:right="113"/>
            </w:pPr>
            <w:r>
              <w:rPr>
                <w:i/>
              </w:rPr>
              <w:t>Land Valuers Licensing Amendment Regulations (No. 2) 1988</w:t>
            </w:r>
          </w:p>
        </w:tc>
        <w:tc>
          <w:tcPr>
            <w:tcW w:w="1276" w:type="dxa"/>
          </w:tcPr>
          <w:p>
            <w:pPr>
              <w:pStyle w:val="nTable"/>
              <w:spacing w:after="40"/>
            </w:pPr>
            <w:r>
              <w:t>2 Sep 1988 p. 3465</w:t>
            </w:r>
          </w:p>
        </w:tc>
        <w:tc>
          <w:tcPr>
            <w:tcW w:w="2694" w:type="dxa"/>
          </w:tcPr>
          <w:p>
            <w:pPr>
              <w:pStyle w:val="nTable"/>
              <w:spacing w:after="40"/>
            </w:pPr>
            <w:r>
              <w:t>2 Sep 1988</w:t>
            </w:r>
          </w:p>
        </w:tc>
      </w:tr>
      <w:tr>
        <w:trPr>
          <w:cantSplit/>
        </w:trPr>
        <w:tc>
          <w:tcPr>
            <w:tcW w:w="3118" w:type="dxa"/>
          </w:tcPr>
          <w:p>
            <w:pPr>
              <w:pStyle w:val="nTable"/>
              <w:spacing w:after="40"/>
              <w:ind w:right="113"/>
            </w:pPr>
            <w:r>
              <w:rPr>
                <w:i/>
              </w:rPr>
              <w:t>Land Valuers Licensing Amendment Regulations 1989</w:t>
            </w:r>
          </w:p>
        </w:tc>
        <w:tc>
          <w:tcPr>
            <w:tcW w:w="1276" w:type="dxa"/>
          </w:tcPr>
          <w:p>
            <w:pPr>
              <w:pStyle w:val="nTable"/>
              <w:spacing w:after="40"/>
            </w:pPr>
            <w:r>
              <w:t>11 Aug 1989 p. 2679</w:t>
            </w:r>
          </w:p>
        </w:tc>
        <w:tc>
          <w:tcPr>
            <w:tcW w:w="2694" w:type="dxa"/>
          </w:tcPr>
          <w:p>
            <w:pPr>
              <w:pStyle w:val="nTable"/>
              <w:spacing w:after="40"/>
              <w:rPr>
                <w:dstrike/>
                <w:vertAlign w:val="superscript"/>
              </w:rPr>
            </w:pPr>
            <w:r>
              <w:t>11 Aug 1989</w:t>
            </w:r>
            <w:r>
              <w:rPr>
                <w:vertAlign w:val="superscript"/>
              </w:rPr>
              <w:t> 3</w:t>
            </w:r>
          </w:p>
        </w:tc>
      </w:tr>
      <w:tr>
        <w:trPr>
          <w:cantSplit/>
        </w:trPr>
        <w:tc>
          <w:tcPr>
            <w:tcW w:w="3118" w:type="dxa"/>
          </w:tcPr>
          <w:p>
            <w:pPr>
              <w:pStyle w:val="nTable"/>
              <w:spacing w:after="40"/>
              <w:ind w:right="113"/>
            </w:pPr>
            <w:r>
              <w:rPr>
                <w:i/>
              </w:rPr>
              <w:t>Land Valuers Licensing Amendment Regulations 1990</w:t>
            </w:r>
          </w:p>
        </w:tc>
        <w:tc>
          <w:tcPr>
            <w:tcW w:w="1276" w:type="dxa"/>
          </w:tcPr>
          <w:p>
            <w:pPr>
              <w:pStyle w:val="nTable"/>
              <w:spacing w:after="40"/>
            </w:pPr>
            <w:r>
              <w:t>1 Aug 1990 p. 3655</w:t>
            </w:r>
          </w:p>
        </w:tc>
        <w:tc>
          <w:tcPr>
            <w:tcW w:w="2694" w:type="dxa"/>
          </w:tcPr>
          <w:p>
            <w:pPr>
              <w:pStyle w:val="nTable"/>
              <w:spacing w:after="40"/>
            </w:pPr>
            <w:r>
              <w:t>1 Aug 1990</w:t>
            </w:r>
          </w:p>
        </w:tc>
      </w:tr>
      <w:tr>
        <w:trPr>
          <w:cantSplit/>
        </w:trPr>
        <w:tc>
          <w:tcPr>
            <w:tcW w:w="3118" w:type="dxa"/>
          </w:tcPr>
          <w:p>
            <w:pPr>
              <w:pStyle w:val="nTable"/>
              <w:spacing w:after="40"/>
              <w:ind w:right="113"/>
            </w:pPr>
            <w:r>
              <w:rPr>
                <w:i/>
              </w:rPr>
              <w:t>Land Valuers Licensing Amendment Regulations 1991</w:t>
            </w:r>
          </w:p>
        </w:tc>
        <w:tc>
          <w:tcPr>
            <w:tcW w:w="1276" w:type="dxa"/>
          </w:tcPr>
          <w:p>
            <w:pPr>
              <w:pStyle w:val="nTable"/>
              <w:spacing w:after="40"/>
            </w:pPr>
            <w:r>
              <w:t>13 Dec 1991 p. 6165</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Land Valuers Licensing Amendment Regulations 1992</w:t>
            </w:r>
          </w:p>
        </w:tc>
        <w:tc>
          <w:tcPr>
            <w:tcW w:w="1276" w:type="dxa"/>
          </w:tcPr>
          <w:p>
            <w:pPr>
              <w:pStyle w:val="nTable"/>
              <w:spacing w:after="40"/>
            </w:pPr>
            <w:r>
              <w:t>14 Aug 1992 p. 4010</w:t>
            </w:r>
            <w:r>
              <w:noBreakHyphen/>
              <w:t>11</w:t>
            </w:r>
          </w:p>
        </w:tc>
        <w:tc>
          <w:tcPr>
            <w:tcW w:w="2694" w:type="dxa"/>
          </w:tcPr>
          <w:p>
            <w:pPr>
              <w:pStyle w:val="nTable"/>
              <w:spacing w:after="40"/>
            </w:pPr>
            <w:r>
              <w:t>14 Aug 1992</w:t>
            </w:r>
          </w:p>
        </w:tc>
      </w:tr>
      <w:tr>
        <w:trPr>
          <w:cantSplit/>
        </w:trPr>
        <w:tc>
          <w:tcPr>
            <w:tcW w:w="3118" w:type="dxa"/>
          </w:tcPr>
          <w:p>
            <w:pPr>
              <w:pStyle w:val="nTable"/>
              <w:spacing w:after="40"/>
              <w:ind w:right="113"/>
            </w:pPr>
            <w:r>
              <w:rPr>
                <w:i/>
              </w:rPr>
              <w:t>Land Valuers Licensing Amendment Regulations 1993</w:t>
            </w:r>
          </w:p>
        </w:tc>
        <w:tc>
          <w:tcPr>
            <w:tcW w:w="1276" w:type="dxa"/>
          </w:tcPr>
          <w:p>
            <w:pPr>
              <w:pStyle w:val="nTable"/>
              <w:spacing w:after="40"/>
            </w:pPr>
            <w:r>
              <w:t>30 Nov 1993 p. 6405</w:t>
            </w:r>
            <w:r>
              <w:noBreakHyphen/>
              <w:t>6</w:t>
            </w:r>
          </w:p>
        </w:tc>
        <w:tc>
          <w:tcPr>
            <w:tcW w:w="2694" w:type="dxa"/>
          </w:tcPr>
          <w:p>
            <w:pPr>
              <w:pStyle w:val="nTable"/>
              <w:spacing w:after="40"/>
            </w:pPr>
            <w:r>
              <w:t>30 Nov 1993</w:t>
            </w:r>
          </w:p>
        </w:tc>
      </w:tr>
      <w:tr>
        <w:trPr>
          <w:cantSplit/>
        </w:trPr>
        <w:tc>
          <w:tcPr>
            <w:tcW w:w="3118" w:type="dxa"/>
          </w:tcPr>
          <w:p>
            <w:pPr>
              <w:pStyle w:val="nTable"/>
              <w:spacing w:after="40"/>
              <w:ind w:right="113"/>
            </w:pPr>
            <w:r>
              <w:rPr>
                <w:i/>
              </w:rPr>
              <w:t>Land Valuers Licensing Amendment Regulations 1995</w:t>
            </w:r>
          </w:p>
        </w:tc>
        <w:tc>
          <w:tcPr>
            <w:tcW w:w="1276" w:type="dxa"/>
          </w:tcPr>
          <w:p>
            <w:pPr>
              <w:pStyle w:val="nTable"/>
              <w:spacing w:after="40"/>
            </w:pPr>
            <w:r>
              <w:t>27 Jan 1995 p. 285</w:t>
            </w:r>
          </w:p>
        </w:tc>
        <w:tc>
          <w:tcPr>
            <w:tcW w:w="2694" w:type="dxa"/>
          </w:tcPr>
          <w:p>
            <w:pPr>
              <w:pStyle w:val="nTable"/>
              <w:spacing w:after="40"/>
            </w:pPr>
            <w:r>
              <w:t>27 Jan 1995</w:t>
            </w:r>
          </w:p>
        </w:tc>
      </w:tr>
      <w:tr>
        <w:trPr>
          <w:cantSplit/>
        </w:trPr>
        <w:tc>
          <w:tcPr>
            <w:tcW w:w="3118" w:type="dxa"/>
          </w:tcPr>
          <w:p>
            <w:pPr>
              <w:pStyle w:val="nTable"/>
              <w:spacing w:after="40"/>
              <w:ind w:right="113"/>
            </w:pPr>
            <w:r>
              <w:rPr>
                <w:i/>
              </w:rPr>
              <w:t>Land Valuers Licensing Amendment Regulations 1996</w:t>
            </w:r>
          </w:p>
        </w:tc>
        <w:tc>
          <w:tcPr>
            <w:tcW w:w="1276" w:type="dxa"/>
          </w:tcPr>
          <w:p>
            <w:pPr>
              <w:pStyle w:val="nTable"/>
              <w:spacing w:after="40"/>
            </w:pPr>
            <w:r>
              <w:t>25 Jun 1996 p. 2922</w:t>
            </w:r>
            <w:r>
              <w:noBreakHyphen/>
              <w:t>3</w:t>
            </w:r>
          </w:p>
        </w:tc>
        <w:tc>
          <w:tcPr>
            <w:tcW w:w="2694" w:type="dxa"/>
          </w:tcPr>
          <w:p>
            <w:pPr>
              <w:pStyle w:val="nTable"/>
            </w:pPr>
            <w:r>
              <w:t>1 Jul 1996 (see r. 2 and Gazette 1 Jul 1996 p. 3179)</w:t>
            </w:r>
          </w:p>
        </w:tc>
      </w:tr>
      <w:tr>
        <w:trPr>
          <w:cantSplit/>
        </w:trPr>
        <w:tc>
          <w:tcPr>
            <w:tcW w:w="7088" w:type="dxa"/>
            <w:gridSpan w:val="3"/>
          </w:tcPr>
          <w:p>
            <w:pPr>
              <w:pStyle w:val="nTable"/>
              <w:spacing w:after="40"/>
            </w:pPr>
            <w:r>
              <w:rPr>
                <w:b/>
              </w:rPr>
              <w:t xml:space="preserve">Reprint of the </w:t>
            </w:r>
            <w:r>
              <w:rPr>
                <w:b/>
                <w:i/>
              </w:rPr>
              <w:t>Land Valuers Licensing Regulations 1979</w:t>
            </w:r>
            <w:r>
              <w:rPr>
                <w:b/>
              </w:rPr>
              <w:t xml:space="preserve"> as at 31 Mar 2000</w:t>
            </w:r>
            <w:r>
              <w:t xml:space="preserve"> (includes amendments listed above)</w:t>
            </w:r>
          </w:p>
        </w:tc>
      </w:tr>
      <w:tr>
        <w:trPr>
          <w:cantSplit/>
        </w:trPr>
        <w:tc>
          <w:tcPr>
            <w:tcW w:w="3118" w:type="dxa"/>
          </w:tcPr>
          <w:p>
            <w:pPr>
              <w:pStyle w:val="nTable"/>
              <w:rPr>
                <w:i/>
                <w:iCs/>
              </w:rPr>
            </w:pPr>
            <w:r>
              <w:rPr>
                <w:i/>
                <w:iCs/>
              </w:rPr>
              <w:t>Land Valuers Licensing Amendment Regulations 2002</w:t>
            </w:r>
          </w:p>
        </w:tc>
        <w:tc>
          <w:tcPr>
            <w:tcW w:w="1276" w:type="dxa"/>
          </w:tcPr>
          <w:p>
            <w:pPr>
              <w:pStyle w:val="nTable"/>
              <w:spacing w:after="40"/>
            </w:pPr>
            <w:r>
              <w:t>28 Jun 2002 p. 3056</w:t>
            </w:r>
            <w:r>
              <w:noBreakHyphen/>
              <w:t>7</w:t>
            </w:r>
          </w:p>
        </w:tc>
        <w:tc>
          <w:tcPr>
            <w:tcW w:w="2694" w:type="dxa"/>
          </w:tcPr>
          <w:p>
            <w:pPr>
              <w:pStyle w:val="nTable"/>
              <w:spacing w:after="40"/>
            </w:pPr>
            <w:r>
              <w:t>1 Jul 2002 (see r. 2)</w:t>
            </w:r>
          </w:p>
        </w:tc>
      </w:tr>
      <w:tr>
        <w:trPr>
          <w:cantSplit/>
        </w:trPr>
        <w:tc>
          <w:tcPr>
            <w:tcW w:w="3118" w:type="dxa"/>
          </w:tcPr>
          <w:p>
            <w:pPr>
              <w:pStyle w:val="nTable"/>
              <w:rPr>
                <w:i/>
                <w:iCs/>
              </w:rPr>
            </w:pPr>
            <w:r>
              <w:rPr>
                <w:i/>
                <w:iCs/>
              </w:rPr>
              <w:t>Land Valuers Licensing Amendment Regulations 2003</w:t>
            </w:r>
          </w:p>
        </w:tc>
        <w:tc>
          <w:tcPr>
            <w:tcW w:w="1276" w:type="dxa"/>
          </w:tcPr>
          <w:p>
            <w:pPr>
              <w:pStyle w:val="nTable"/>
              <w:spacing w:after="40"/>
            </w:pPr>
            <w:r>
              <w:t>27 Jun 2003 p. 2552</w:t>
            </w:r>
          </w:p>
        </w:tc>
        <w:tc>
          <w:tcPr>
            <w:tcW w:w="2694" w:type="dxa"/>
          </w:tcPr>
          <w:p>
            <w:pPr>
              <w:pStyle w:val="nTable"/>
              <w:spacing w:after="40"/>
            </w:pPr>
            <w:r>
              <w:t>1 Jul 2003 (see r. 2)</w:t>
            </w:r>
          </w:p>
        </w:tc>
      </w:tr>
      <w:tr>
        <w:trPr>
          <w:cantSplit/>
        </w:trPr>
        <w:tc>
          <w:tcPr>
            <w:tcW w:w="3118" w:type="dxa"/>
          </w:tcPr>
          <w:p>
            <w:pPr>
              <w:pStyle w:val="nTable"/>
              <w:rPr>
                <w:i/>
                <w:iCs/>
              </w:rPr>
            </w:pPr>
            <w:r>
              <w:rPr>
                <w:i/>
                <w:iCs/>
              </w:rPr>
              <w:t>Land Valuers Licensing Amendment Regulations 2004</w:t>
            </w:r>
          </w:p>
        </w:tc>
        <w:tc>
          <w:tcPr>
            <w:tcW w:w="1276" w:type="dxa"/>
          </w:tcPr>
          <w:p>
            <w:pPr>
              <w:pStyle w:val="nTable"/>
              <w:spacing w:after="40"/>
            </w:pPr>
            <w:r>
              <w:t>30 Dec 2004 p. 6923</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rPr>
                <w:i/>
                <w:iCs/>
              </w:rPr>
            </w:pPr>
            <w:r>
              <w:rPr>
                <w:i/>
                <w:iCs/>
              </w:rPr>
              <w:t>Land Valuers Licensing Amendment Regulations 2005</w:t>
            </w:r>
          </w:p>
        </w:tc>
        <w:tc>
          <w:tcPr>
            <w:tcW w:w="1276" w:type="dxa"/>
          </w:tcPr>
          <w:p>
            <w:pPr>
              <w:pStyle w:val="nTable"/>
              <w:spacing w:after="40"/>
            </w:pPr>
            <w:r>
              <w:t>28 Jun 2005 p. 2911</w:t>
            </w:r>
          </w:p>
        </w:tc>
        <w:tc>
          <w:tcPr>
            <w:tcW w:w="2694" w:type="dxa"/>
          </w:tcPr>
          <w:p>
            <w:pPr>
              <w:pStyle w:val="nTable"/>
              <w:spacing w:after="40"/>
            </w:pPr>
            <w:r>
              <w:t>1 Jul 2005 (see r. 2)</w:t>
            </w:r>
          </w:p>
        </w:tc>
      </w:tr>
      <w:tr>
        <w:trPr>
          <w:cantSplit/>
        </w:trPr>
        <w:tc>
          <w:tcPr>
            <w:tcW w:w="7088" w:type="dxa"/>
            <w:gridSpan w:val="3"/>
          </w:tcPr>
          <w:p>
            <w:pPr>
              <w:pStyle w:val="nTable"/>
              <w:spacing w:after="40"/>
            </w:pPr>
            <w:r>
              <w:rPr>
                <w:b/>
              </w:rPr>
              <w:t xml:space="preserve">Reprint 2: The </w:t>
            </w:r>
            <w:r>
              <w:rPr>
                <w:b/>
                <w:i/>
              </w:rPr>
              <w:t>Land Valuers Licensing Regulations 1979</w:t>
            </w:r>
            <w:r>
              <w:rPr>
                <w:b/>
              </w:rPr>
              <w:t xml:space="preserve"> as at 3 Mar 2006</w:t>
            </w:r>
            <w:r>
              <w:t xml:space="preserve"> (includes amendments listed above)</w:t>
            </w:r>
          </w:p>
        </w:tc>
      </w:tr>
      <w:tr>
        <w:trPr>
          <w:cantSplit/>
        </w:trPr>
        <w:tc>
          <w:tcPr>
            <w:tcW w:w="3118" w:type="dxa"/>
          </w:tcPr>
          <w:p>
            <w:pPr>
              <w:pStyle w:val="nTable"/>
              <w:rPr>
                <w:i/>
                <w:iCs/>
              </w:rPr>
            </w:pPr>
            <w:r>
              <w:rPr>
                <w:i/>
                <w:iCs/>
              </w:rPr>
              <w:t>Land Valuers Licensing Amendment Regulations (No. 2) 2006</w:t>
            </w:r>
          </w:p>
        </w:tc>
        <w:tc>
          <w:tcPr>
            <w:tcW w:w="1276" w:type="dxa"/>
          </w:tcPr>
          <w:p>
            <w:pPr>
              <w:pStyle w:val="nTable"/>
              <w:spacing w:after="40"/>
            </w:pPr>
            <w:r>
              <w:t>27 Jun 2006 p. 2256-7</w:t>
            </w:r>
          </w:p>
        </w:tc>
        <w:tc>
          <w:tcPr>
            <w:tcW w:w="2694" w:type="dxa"/>
          </w:tcPr>
          <w:p>
            <w:pPr>
              <w:pStyle w:val="nTable"/>
              <w:spacing w:after="40"/>
            </w:pPr>
            <w:r>
              <w:t>1 Jul 2006 (see r. 2)</w:t>
            </w:r>
          </w:p>
        </w:tc>
      </w:tr>
      <w:tr>
        <w:trPr>
          <w:cantSplit/>
        </w:trPr>
        <w:tc>
          <w:tcPr>
            <w:tcW w:w="3118" w:type="dxa"/>
          </w:tcPr>
          <w:p>
            <w:pPr>
              <w:pStyle w:val="nTable"/>
              <w:rPr>
                <w:i/>
                <w:iCs/>
              </w:rPr>
            </w:pPr>
            <w:r>
              <w:rPr>
                <w:i/>
                <w:iCs/>
              </w:rPr>
              <w:t>Land Valuers Licensing Amendment Regulations 2006</w:t>
            </w:r>
          </w:p>
        </w:tc>
        <w:tc>
          <w:tcPr>
            <w:tcW w:w="1276" w:type="dxa"/>
          </w:tcPr>
          <w:p>
            <w:pPr>
              <w:pStyle w:val="nTable"/>
              <w:spacing w:after="40"/>
            </w:pPr>
            <w:r>
              <w:t>22 Sep 2006 p. 4118</w:t>
            </w:r>
            <w:r>
              <w:noBreakHyphen/>
              <w:t>22</w:t>
            </w:r>
          </w:p>
        </w:tc>
        <w:tc>
          <w:tcPr>
            <w:tcW w:w="2694" w:type="dxa"/>
          </w:tcPr>
          <w:p>
            <w:pPr>
              <w:pStyle w:val="nTable"/>
              <w:spacing w:after="40"/>
            </w:pPr>
            <w:r>
              <w:t>22 Sep 2006 (see r. 2(a))</w:t>
            </w:r>
          </w:p>
        </w:tc>
      </w:tr>
      <w:tr>
        <w:trPr>
          <w:cantSplit/>
        </w:trPr>
        <w:tc>
          <w:tcPr>
            <w:tcW w:w="3118" w:type="dxa"/>
          </w:tcPr>
          <w:p>
            <w:pPr>
              <w:pStyle w:val="nTable"/>
              <w:rPr>
                <w:i/>
                <w:iCs/>
              </w:rPr>
            </w:pPr>
            <w:r>
              <w:rPr>
                <w:i/>
                <w:iCs/>
              </w:rPr>
              <w:t>Land Valuers Licensing Amendment Regulations 2007</w:t>
            </w:r>
          </w:p>
        </w:tc>
        <w:tc>
          <w:tcPr>
            <w:tcW w:w="1276" w:type="dxa"/>
          </w:tcPr>
          <w:p>
            <w:pPr>
              <w:pStyle w:val="nTable"/>
              <w:spacing w:after="40"/>
            </w:pPr>
            <w:r>
              <w:t>15 Jun 2007 p. 2782</w:t>
            </w:r>
          </w:p>
        </w:tc>
        <w:tc>
          <w:tcPr>
            <w:tcW w:w="2694" w:type="dxa"/>
          </w:tcPr>
          <w:p>
            <w:pPr>
              <w:pStyle w:val="nTable"/>
              <w:spacing w:after="40"/>
            </w:pPr>
            <w:r>
              <w:t>r. 1 and 2: 15 Jun 2007 (see r. 2(a));</w:t>
            </w:r>
            <w:r>
              <w:br/>
              <w:t>Regulations other than r. 1 and 2: 1 Jul 2007 (see r. 2(b))</w:t>
            </w:r>
          </w:p>
        </w:tc>
      </w:tr>
      <w:tr>
        <w:trPr>
          <w:cantSplit/>
        </w:trPr>
        <w:tc>
          <w:tcPr>
            <w:tcW w:w="3118" w:type="dxa"/>
          </w:tcPr>
          <w:p>
            <w:pPr>
              <w:pStyle w:val="nTable"/>
              <w:rPr>
                <w:i/>
                <w:iCs/>
              </w:rPr>
            </w:pPr>
            <w:r>
              <w:rPr>
                <w:i/>
                <w:iCs/>
              </w:rPr>
              <w:t>Land Valuers Licensing Amendment Regulations (No. 2) 2007</w:t>
            </w:r>
          </w:p>
        </w:tc>
        <w:tc>
          <w:tcPr>
            <w:tcW w:w="1276" w:type="dxa"/>
          </w:tcPr>
          <w:p>
            <w:pPr>
              <w:pStyle w:val="nTable"/>
              <w:spacing w:after="40"/>
            </w:pPr>
            <w:r>
              <w:t>14 Mar 2008 p. 829-30</w:t>
            </w:r>
          </w:p>
        </w:tc>
        <w:tc>
          <w:tcPr>
            <w:tcW w:w="2694" w:type="dxa"/>
          </w:tcPr>
          <w:p>
            <w:pPr>
              <w:pStyle w:val="nTable"/>
              <w:spacing w:after="40"/>
            </w:pPr>
            <w:r>
              <w:t>r. 1 and 2: 14 Mar 2008 (see r. 2(a));</w:t>
            </w:r>
            <w:r>
              <w:br/>
              <w:t>Regulations other than r. 1 and 2: 15 Mar 2008 (see r. 2(b))</w:t>
            </w:r>
          </w:p>
        </w:tc>
      </w:tr>
      <w:tr>
        <w:trPr>
          <w:cantSplit/>
        </w:trPr>
        <w:tc>
          <w:tcPr>
            <w:tcW w:w="7088" w:type="dxa"/>
            <w:gridSpan w:val="3"/>
          </w:tcPr>
          <w:p>
            <w:pPr>
              <w:pStyle w:val="nTable"/>
              <w:spacing w:after="40"/>
            </w:pPr>
            <w:r>
              <w:rPr>
                <w:b/>
              </w:rPr>
              <w:t xml:space="preserve">Reprint 3: The </w:t>
            </w:r>
            <w:r>
              <w:rPr>
                <w:b/>
                <w:i/>
              </w:rPr>
              <w:t>Land Valuers Licensing Regulations 1979</w:t>
            </w:r>
            <w:r>
              <w:rPr>
                <w:b/>
              </w:rPr>
              <w:t xml:space="preserve"> as at 11 Apr 2008</w:t>
            </w:r>
            <w:r>
              <w:t xml:space="preserve"> (includes amendments listed above)</w:t>
            </w:r>
          </w:p>
        </w:tc>
      </w:tr>
      <w:tr>
        <w:trPr>
          <w:cantSplit/>
        </w:trPr>
        <w:tc>
          <w:tcPr>
            <w:tcW w:w="3118" w:type="dxa"/>
          </w:tcPr>
          <w:p>
            <w:pPr>
              <w:pStyle w:val="nTable"/>
              <w:rPr>
                <w:i/>
                <w:iCs/>
              </w:rPr>
            </w:pPr>
            <w:r>
              <w:rPr>
                <w:i/>
                <w:iCs/>
              </w:rPr>
              <w:t>Land Valuers Licensing Amendment Regulations 2008</w:t>
            </w:r>
          </w:p>
        </w:tc>
        <w:tc>
          <w:tcPr>
            <w:tcW w:w="1276" w:type="dxa"/>
          </w:tcPr>
          <w:p>
            <w:pPr>
              <w:pStyle w:val="nTable"/>
              <w:spacing w:after="40"/>
            </w:pPr>
            <w:r>
              <w:t>17 Jun 2008 p. 2566-7</w:t>
            </w:r>
          </w:p>
        </w:tc>
        <w:tc>
          <w:tcPr>
            <w:tcW w:w="2694" w:type="dxa"/>
          </w:tcPr>
          <w:p>
            <w:pPr>
              <w:pStyle w:val="nTable"/>
              <w:spacing w:after="40"/>
            </w:pPr>
            <w:r>
              <w:rPr>
                <w:snapToGrid w:val="0"/>
              </w:rPr>
              <w:t>r. 1 and 2: 17 Jun 2008 (see r. 2(a));</w:t>
            </w:r>
            <w:r>
              <w:rPr>
                <w:snapToGrid w:val="0"/>
              </w:rPr>
              <w:br/>
              <w:t>Regulations other than r. 1 and 2: 1 Jul 2008 (see r. 2(b))</w:t>
            </w:r>
          </w:p>
        </w:tc>
      </w:tr>
      <w:tr>
        <w:trPr>
          <w:cantSplit/>
        </w:trPr>
        <w:tc>
          <w:tcPr>
            <w:tcW w:w="3118" w:type="dxa"/>
          </w:tcPr>
          <w:p>
            <w:pPr>
              <w:pStyle w:val="nTable"/>
              <w:rPr>
                <w:i/>
                <w:iCs/>
              </w:rPr>
            </w:pPr>
            <w:r>
              <w:rPr>
                <w:i/>
                <w:iCs/>
              </w:rPr>
              <w:t>Land Valuers Licensing Amendment Regulations 2009</w:t>
            </w:r>
          </w:p>
        </w:tc>
        <w:tc>
          <w:tcPr>
            <w:tcW w:w="1276" w:type="dxa"/>
          </w:tcPr>
          <w:p>
            <w:pPr>
              <w:pStyle w:val="nTable"/>
              <w:spacing w:after="40"/>
            </w:pPr>
            <w:r>
              <w:t>23 Jun 2009 p. 2442</w:t>
            </w:r>
            <w:r>
              <w:noBreakHyphen/>
              <w:t>3</w:t>
            </w:r>
          </w:p>
        </w:tc>
        <w:tc>
          <w:tcPr>
            <w:tcW w:w="2694"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rPr>
                <w:i/>
                <w:iCs/>
              </w:rPr>
            </w:pPr>
            <w:r>
              <w:rPr>
                <w:i/>
                <w:iCs/>
              </w:rPr>
              <w:t>Land Valuers Licensing Amendment Regulations 2010</w:t>
            </w:r>
          </w:p>
        </w:tc>
        <w:tc>
          <w:tcPr>
            <w:tcW w:w="1276" w:type="dxa"/>
          </w:tcPr>
          <w:p>
            <w:pPr>
              <w:pStyle w:val="nTable"/>
              <w:spacing w:after="40"/>
            </w:pPr>
            <w:r>
              <w:t>25 Jun 2010 p. 2847-8</w:t>
            </w:r>
          </w:p>
        </w:tc>
        <w:tc>
          <w:tcPr>
            <w:tcW w:w="2694"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18" w:type="dxa"/>
          </w:tcPr>
          <w:p>
            <w:pPr>
              <w:pStyle w:val="nTable"/>
              <w:rPr>
                <w:i/>
                <w:iCs/>
              </w:rPr>
            </w:pPr>
            <w:r>
              <w:rPr>
                <w:i/>
                <w:iCs/>
              </w:rPr>
              <w:t>Land Valuers Licensing Amendment Regulations (No. 2) 2011</w:t>
            </w:r>
          </w:p>
        </w:tc>
        <w:tc>
          <w:tcPr>
            <w:tcW w:w="1276" w:type="dxa"/>
          </w:tcPr>
          <w:p>
            <w:pPr>
              <w:pStyle w:val="nTable"/>
              <w:spacing w:after="40"/>
            </w:pPr>
            <w:r>
              <w:t>22 Jun 2011 p. 2363-4</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shd w:val="clear" w:color="auto" w:fill="auto"/>
          </w:tcPr>
          <w:p>
            <w:pPr>
              <w:pStyle w:val="nTable"/>
              <w:rPr>
                <w:i/>
                <w:iCs/>
              </w:rPr>
            </w:pPr>
            <w:r>
              <w:rPr>
                <w:i/>
                <w:iCs/>
              </w:rPr>
              <w:t>Land Valuers Licensing Amendment Regulations (No. 3) 2011</w:t>
            </w:r>
          </w:p>
        </w:tc>
        <w:tc>
          <w:tcPr>
            <w:tcW w:w="1276" w:type="dxa"/>
            <w:shd w:val="clear" w:color="auto" w:fill="auto"/>
          </w:tcPr>
          <w:p>
            <w:pPr>
              <w:pStyle w:val="nTable"/>
              <w:spacing w:after="40"/>
            </w:pPr>
            <w:r>
              <w:t>30 Jun 2011 p. 2649-52</w:t>
            </w:r>
          </w:p>
        </w:tc>
        <w:tc>
          <w:tcPr>
            <w:tcW w:w="2694"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Land Valuers Licensing Regulations 1979</w:t>
            </w:r>
            <w:r>
              <w:rPr>
                <w:b/>
              </w:rPr>
              <w:t xml:space="preserve"> as at 6 Jan 2012</w:t>
            </w:r>
            <w:r>
              <w:t xml:space="preserve"> (includes amendments listed above)</w:t>
            </w:r>
          </w:p>
        </w:tc>
      </w:tr>
      <w:tr>
        <w:trPr>
          <w:cantSplit/>
        </w:trPr>
        <w:tc>
          <w:tcPr>
            <w:tcW w:w="3118" w:type="dxa"/>
            <w:shd w:val="clear" w:color="auto" w:fill="auto"/>
          </w:tcPr>
          <w:p>
            <w:pPr>
              <w:pStyle w:val="nTable"/>
              <w:rPr>
                <w:i/>
                <w:iCs/>
              </w:rPr>
            </w:pPr>
            <w:r>
              <w:rPr>
                <w:i/>
                <w:iCs/>
              </w:rPr>
              <w:t>Land Valuers Licensing Amendment Regulations 2012</w:t>
            </w:r>
          </w:p>
        </w:tc>
        <w:tc>
          <w:tcPr>
            <w:tcW w:w="1276" w:type="dxa"/>
            <w:shd w:val="clear" w:color="auto" w:fill="auto"/>
          </w:tcPr>
          <w:p>
            <w:pPr>
              <w:pStyle w:val="nTable"/>
              <w:spacing w:after="40"/>
            </w:pPr>
            <w:r>
              <w:t>15 Jun 2012 p. 2589</w:t>
            </w:r>
            <w:r>
              <w:noBreakHyphen/>
              <w:t>90</w:t>
            </w:r>
          </w:p>
        </w:tc>
        <w:tc>
          <w:tcPr>
            <w:tcW w:w="2694"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shd w:val="clear" w:color="auto" w:fill="auto"/>
          </w:tcPr>
          <w:p>
            <w:pPr>
              <w:pStyle w:val="nTable"/>
              <w:rPr>
                <w:i/>
                <w:iCs/>
              </w:rPr>
            </w:pPr>
            <w:r>
              <w:rPr>
                <w:i/>
                <w:iCs/>
              </w:rPr>
              <w:t>Land Valuers Licensing Amendment Regulations (No. 2) 2012</w:t>
            </w:r>
          </w:p>
        </w:tc>
        <w:tc>
          <w:tcPr>
            <w:tcW w:w="1276" w:type="dxa"/>
            <w:shd w:val="clear" w:color="auto" w:fill="auto"/>
          </w:tcPr>
          <w:p>
            <w:pPr>
              <w:pStyle w:val="nTable"/>
              <w:spacing w:after="40"/>
            </w:pPr>
            <w:r>
              <w:t>18 Dec 2012 p. 6590</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rPr>
                <w:i/>
                <w:iCs/>
              </w:rPr>
            </w:pPr>
            <w:r>
              <w:rPr>
                <w:i/>
                <w:iCs/>
              </w:rPr>
              <w:t>Land Valuers Licensing Amendment Regulations (No. 2) 2013</w:t>
            </w:r>
          </w:p>
        </w:tc>
        <w:tc>
          <w:tcPr>
            <w:tcW w:w="1276" w:type="dxa"/>
            <w:shd w:val="clear" w:color="auto" w:fill="auto"/>
          </w:tcPr>
          <w:p>
            <w:pPr>
              <w:pStyle w:val="nTable"/>
              <w:spacing w:after="40"/>
            </w:pPr>
            <w:r>
              <w:t>27 Jun 2013 p. 2681-2</w:t>
            </w:r>
          </w:p>
        </w:tc>
        <w:tc>
          <w:tcPr>
            <w:tcW w:w="2694"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rPr>
                <w:i/>
                <w:iCs/>
              </w:rPr>
            </w:pPr>
            <w:r>
              <w:rPr>
                <w:i/>
                <w:iCs/>
              </w:rPr>
              <w:t>Land Valuers Licensing Amendment Regulations 2013</w:t>
            </w:r>
          </w:p>
        </w:tc>
        <w:tc>
          <w:tcPr>
            <w:tcW w:w="1276" w:type="dxa"/>
            <w:shd w:val="clear" w:color="auto" w:fill="auto"/>
          </w:tcPr>
          <w:p>
            <w:pPr>
              <w:pStyle w:val="nTable"/>
              <w:spacing w:after="40"/>
            </w:pPr>
            <w:r>
              <w:t>20 Aug 2013 p. 3836</w:t>
            </w:r>
          </w:p>
        </w:tc>
        <w:tc>
          <w:tcPr>
            <w:tcW w:w="2694" w:type="dxa"/>
            <w:shd w:val="clear" w:color="auto" w:fill="auto"/>
          </w:tcPr>
          <w:p>
            <w:pPr>
              <w:pStyle w:val="nTable"/>
              <w:spacing w:after="4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shd w:val="clear" w:color="auto" w:fill="auto"/>
          </w:tcPr>
          <w:p>
            <w:pPr>
              <w:pStyle w:val="nTable"/>
              <w:rPr>
                <w:i/>
                <w:iCs/>
              </w:rPr>
            </w:pPr>
            <w:r>
              <w:rPr>
                <w:i/>
                <w:iCs/>
              </w:rPr>
              <w:t>Land Valuers Licensing Amendment Regulations 2014</w:t>
            </w:r>
          </w:p>
        </w:tc>
        <w:tc>
          <w:tcPr>
            <w:tcW w:w="1276" w:type="dxa"/>
            <w:shd w:val="clear" w:color="auto" w:fill="auto"/>
          </w:tcPr>
          <w:p>
            <w:pPr>
              <w:pStyle w:val="nTable"/>
              <w:spacing w:after="40"/>
            </w:pPr>
            <w:r>
              <w:t>17 Jun 2014 p. 1967</w:t>
            </w:r>
            <w:r>
              <w:noBreakHyphen/>
              <w:t>8</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3"/>
            <w:shd w:val="clear" w:color="auto" w:fill="auto"/>
          </w:tcPr>
          <w:p>
            <w:pPr>
              <w:pStyle w:val="nTable"/>
              <w:spacing w:after="40"/>
              <w:rPr>
                <w:i/>
                <w:snapToGrid w:val="0"/>
                <w:spacing w:val="-2"/>
              </w:rPr>
            </w:pPr>
            <w:r>
              <w:rPr>
                <w:b/>
              </w:rPr>
              <w:t xml:space="preserve">Reprint 5: The </w:t>
            </w:r>
            <w:r>
              <w:rPr>
                <w:b/>
                <w:i/>
              </w:rPr>
              <w:t>Land Valuers Licensing Regulations 1979</w:t>
            </w:r>
            <w:r>
              <w:rPr>
                <w:b/>
              </w:rPr>
              <w:t xml:space="preserve"> as at 22 Aug 2014</w:t>
            </w:r>
            <w:r>
              <w:t xml:space="preserve"> (includes amendments listed above)</w:t>
            </w:r>
          </w:p>
        </w:tc>
      </w:tr>
      <w:tr>
        <w:trPr>
          <w:cantSplit/>
        </w:trPr>
        <w:tc>
          <w:tcPr>
            <w:tcW w:w="3118" w:type="dxa"/>
            <w:shd w:val="clear" w:color="auto" w:fill="auto"/>
          </w:tcPr>
          <w:p>
            <w:pPr>
              <w:pStyle w:val="nTable"/>
              <w:rPr>
                <w:i/>
                <w:iCs/>
              </w:rPr>
            </w:pPr>
            <w:r>
              <w:rPr>
                <w:i/>
                <w:iCs/>
              </w:rPr>
              <w:t>Land Valuers Licensing Amendment Regulations (No. 2) 2014</w:t>
            </w:r>
          </w:p>
        </w:tc>
        <w:tc>
          <w:tcPr>
            <w:tcW w:w="1276" w:type="dxa"/>
            <w:shd w:val="clear" w:color="auto" w:fill="auto"/>
          </w:tcPr>
          <w:p>
            <w:pPr>
              <w:pStyle w:val="nTable"/>
              <w:spacing w:after="40"/>
            </w:pPr>
            <w:r>
              <w:t>18 Nov 2014 p. 4318</w:t>
            </w:r>
          </w:p>
        </w:tc>
        <w:tc>
          <w:tcPr>
            <w:tcW w:w="2694" w:type="dxa"/>
            <w:shd w:val="clear" w:color="auto" w:fill="auto"/>
          </w:tcPr>
          <w:p>
            <w:pPr>
              <w:pStyle w:val="nTable"/>
              <w:spacing w:after="40"/>
              <w:rPr>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shd w:val="clear" w:color="auto" w:fill="auto"/>
          </w:tcPr>
          <w:p>
            <w:pPr>
              <w:pStyle w:val="nTable"/>
              <w:rPr>
                <w:iCs/>
              </w:rPr>
            </w:pPr>
            <w:r>
              <w:rPr>
                <w:i/>
              </w:rPr>
              <w:t>Land Valuers Licensing Amendment Regulations 2015</w:t>
            </w:r>
          </w:p>
        </w:tc>
        <w:tc>
          <w:tcPr>
            <w:tcW w:w="1276" w:type="dxa"/>
            <w:shd w:val="clear" w:color="auto" w:fill="auto"/>
          </w:tcPr>
          <w:p>
            <w:pPr>
              <w:pStyle w:val="nTable"/>
              <w:spacing w:after="40"/>
            </w:pPr>
            <w:r>
              <w:t>15 May 2015 p. 1718</w:t>
            </w:r>
            <w:r>
              <w:noBreakHyphen/>
              <w:t>19</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r. 1 and 2: 15 May 2015 (see r. 2(a));</w:t>
            </w:r>
            <w:r>
              <w:rPr>
                <w:rFonts w:ascii="Times" w:hAnsi="Times"/>
                <w:bCs/>
                <w:snapToGrid w:val="0"/>
                <w:spacing w:val="-2"/>
              </w:rPr>
              <w:br/>
              <w:t>Regulations other than r. 1 and 2: 16 May 2015 (see r. 2(b))</w:t>
            </w:r>
          </w:p>
        </w:tc>
      </w:tr>
      <w:tr>
        <w:trPr>
          <w:cantSplit/>
        </w:trPr>
        <w:tc>
          <w:tcPr>
            <w:tcW w:w="3118" w:type="dxa"/>
            <w:tcBorders>
              <w:bottom w:val="single" w:sz="4" w:space="0" w:color="auto"/>
            </w:tcBorders>
            <w:shd w:val="clear" w:color="auto" w:fill="auto"/>
          </w:tcPr>
          <w:p>
            <w:pPr>
              <w:pStyle w:val="nTable"/>
              <w:rPr>
                <w:i/>
              </w:rPr>
            </w:pPr>
            <w:r>
              <w:rPr>
                <w:i/>
              </w:rPr>
              <w:t>Land Valuers Licensing Amendment Regulations (No. 2) 2015</w:t>
            </w:r>
          </w:p>
        </w:tc>
        <w:tc>
          <w:tcPr>
            <w:tcW w:w="1276" w:type="dxa"/>
            <w:tcBorders>
              <w:bottom w:val="single" w:sz="4" w:space="0" w:color="auto"/>
            </w:tcBorders>
            <w:shd w:val="clear" w:color="auto" w:fill="auto"/>
          </w:tcPr>
          <w:p>
            <w:pPr>
              <w:pStyle w:val="nTable"/>
              <w:spacing w:after="40"/>
            </w:pPr>
            <w:r>
              <w:t>23 Jun 2015 p. 2176</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 w:name="_Toc453051109"/>
      <w:bookmarkStart w:id="51" w:name="_Toc453069373"/>
      <w:r>
        <w:t>Provisions that have not come into operation</w:t>
      </w:r>
      <w:bookmarkEnd w:id="50"/>
      <w:bookmarkEnd w:id="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2016</w:t>
            </w:r>
            <w:r>
              <w:t xml:space="preserve"> Pt. 11 </w:t>
            </w:r>
            <w:r>
              <w:rPr>
                <w:vertAlign w:val="superscript"/>
              </w:rPr>
              <w:t>4</w:t>
            </w:r>
          </w:p>
        </w:tc>
        <w:tc>
          <w:tcPr>
            <w:tcW w:w="1276" w:type="dxa"/>
          </w:tcPr>
          <w:p>
            <w:pPr>
              <w:pStyle w:val="nTable"/>
              <w:spacing w:after="40"/>
            </w:pPr>
            <w:r>
              <w:t>3 Jun 2016 p. 1745-73</w:t>
            </w:r>
          </w:p>
        </w:tc>
        <w:tc>
          <w:tcPr>
            <w:tcW w:w="2693" w:type="dxa"/>
          </w:tcPr>
          <w:p>
            <w:pPr>
              <w:pStyle w:val="nTable"/>
              <w:spacing w:after="40"/>
            </w:pPr>
            <w:r>
              <w:t>1 Jul 2016 (see r. 2(b))</w:t>
            </w:r>
          </w:p>
        </w:tc>
      </w:tr>
    </w:tbl>
    <w:p>
      <w:pPr>
        <w:pStyle w:val="nSubsection"/>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20"/>
      </w:pPr>
      <w:r>
        <w:rPr>
          <w:vertAlign w:val="superscript"/>
        </w:rPr>
        <w:t>3</w:t>
      </w:r>
      <w:r>
        <w:rPr>
          <w:vertAlign w:val="superscript"/>
        </w:rPr>
        <w:tab/>
      </w:r>
      <w:r>
        <w:t>The commencement date of 1 Jul 1989 that was specified was before the date of gazettal.</w:t>
      </w:r>
    </w:p>
    <w:p>
      <w:pPr>
        <w:pStyle w:val="nSubsection"/>
        <w:rPr>
          <w:snapToGrid w:val="0"/>
        </w:rPr>
      </w:pPr>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11</w:t>
      </w:r>
      <w:r>
        <w:rPr>
          <w:i/>
        </w:rPr>
        <w:t xml:space="preserve"> </w:t>
      </w:r>
      <w:r>
        <w:rPr>
          <w:snapToGrid w:val="0"/>
        </w:rPr>
        <w:t>had not come into operation.  It reads as follows:</w:t>
      </w:r>
    </w:p>
    <w:p>
      <w:pPr>
        <w:pStyle w:val="BlankOpen"/>
        <w:rPr>
          <w:snapToGrid w:val="0"/>
        </w:rPr>
      </w:pPr>
    </w:p>
    <w:p>
      <w:pPr>
        <w:pStyle w:val="nzHeading2"/>
      </w:pPr>
      <w:bookmarkStart w:id="52" w:name="_Toc450647073"/>
      <w:bookmarkStart w:id="53" w:name="_Toc450647130"/>
      <w:bookmarkStart w:id="54" w:name="_Toc450647825"/>
      <w:bookmarkStart w:id="55" w:name="_Toc450653432"/>
      <w:bookmarkStart w:id="56" w:name="_Toc450654747"/>
      <w:r>
        <w:rPr>
          <w:rStyle w:val="CharPartNo"/>
        </w:rPr>
        <w:t>Part 11</w:t>
      </w:r>
      <w:r>
        <w:rPr>
          <w:rStyle w:val="CharDivNo"/>
        </w:rPr>
        <w:t> </w:t>
      </w:r>
      <w:r>
        <w:t>—</w:t>
      </w:r>
      <w:r>
        <w:rPr>
          <w:rStyle w:val="CharDivText"/>
        </w:rPr>
        <w:t> </w:t>
      </w:r>
      <w:r>
        <w:rPr>
          <w:rStyle w:val="CharPartText"/>
          <w:i/>
        </w:rPr>
        <w:t>Land Valuers Licensing Regulations 1979</w:t>
      </w:r>
      <w:r>
        <w:rPr>
          <w:rStyle w:val="CharPartText"/>
        </w:rPr>
        <w:t> amended</w:t>
      </w:r>
      <w:bookmarkEnd w:id="52"/>
      <w:bookmarkEnd w:id="53"/>
      <w:bookmarkEnd w:id="54"/>
      <w:bookmarkEnd w:id="55"/>
      <w:bookmarkEnd w:id="56"/>
    </w:p>
    <w:p>
      <w:pPr>
        <w:pStyle w:val="nzHeading5"/>
        <w:rPr>
          <w:snapToGrid w:val="0"/>
        </w:rPr>
      </w:pPr>
      <w:bookmarkStart w:id="57" w:name="_Toc450647131"/>
      <w:bookmarkStart w:id="58" w:name="_Toc450654748"/>
      <w:r>
        <w:rPr>
          <w:rStyle w:val="CharSectno"/>
        </w:rPr>
        <w:t>21</w:t>
      </w:r>
      <w:r>
        <w:rPr>
          <w:snapToGrid w:val="0"/>
        </w:rPr>
        <w:t>.</w:t>
      </w:r>
      <w:r>
        <w:rPr>
          <w:snapToGrid w:val="0"/>
        </w:rPr>
        <w:tab/>
        <w:t>Regulations amended</w:t>
      </w:r>
      <w:bookmarkEnd w:id="57"/>
      <w:bookmarkEnd w:id="58"/>
    </w:p>
    <w:p>
      <w:pPr>
        <w:pStyle w:val="nzSubsection"/>
      </w:pPr>
      <w:r>
        <w:tab/>
      </w:r>
      <w:r>
        <w:tab/>
      </w:r>
      <w:r>
        <w:rPr>
          <w:spacing w:val="-2"/>
        </w:rPr>
        <w:t>This</w:t>
      </w:r>
      <w:r>
        <w:t xml:space="preserve"> Part amends the </w:t>
      </w:r>
      <w:r>
        <w:rPr>
          <w:i/>
        </w:rPr>
        <w:t>Land Valuers Licensing Regulations 1979</w:t>
      </w:r>
      <w:r>
        <w:t>.</w:t>
      </w:r>
    </w:p>
    <w:p>
      <w:pPr>
        <w:pStyle w:val="nzHeading5"/>
      </w:pPr>
      <w:bookmarkStart w:id="59" w:name="_Toc450647132"/>
      <w:bookmarkStart w:id="60" w:name="_Toc450654749"/>
      <w:r>
        <w:rPr>
          <w:rStyle w:val="CharSectno"/>
        </w:rPr>
        <w:t>22</w:t>
      </w:r>
      <w:r>
        <w:t>.</w:t>
      </w:r>
      <w:r>
        <w:tab/>
        <w:t>Schedule 1 amended</w:t>
      </w:r>
      <w:bookmarkEnd w:id="59"/>
      <w:bookmarkEnd w:id="60"/>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trPr>
        <w:tc>
          <w:tcPr>
            <w:tcW w:w="2553" w:type="dxa"/>
          </w:tcPr>
          <w:p>
            <w:pPr>
              <w:pStyle w:val="TableAm"/>
              <w:keepNext/>
              <w:jc w:val="center"/>
              <w:rPr>
                <w:b/>
                <w:bCs/>
              </w:rPr>
            </w:pPr>
            <w:r>
              <w:rPr>
                <w:b/>
                <w:bCs/>
              </w:rPr>
              <w:t>Provision</w:t>
            </w:r>
          </w:p>
        </w:tc>
        <w:tc>
          <w:tcPr>
            <w:tcW w:w="2126" w:type="dxa"/>
          </w:tcPr>
          <w:p>
            <w:pPr>
              <w:pStyle w:val="TableAm"/>
              <w:keepNext/>
              <w:jc w:val="center"/>
              <w:rPr>
                <w:b/>
                <w:bCs/>
              </w:rPr>
            </w:pPr>
            <w:r>
              <w:rPr>
                <w:b/>
                <w:bCs/>
              </w:rPr>
              <w:t>Delete</w:t>
            </w:r>
          </w:p>
        </w:tc>
        <w:tc>
          <w:tcPr>
            <w:tcW w:w="2125" w:type="dxa"/>
          </w:tcPr>
          <w:p>
            <w:pPr>
              <w:pStyle w:val="TableAm"/>
              <w:keepNext/>
              <w:jc w:val="center"/>
              <w:rPr>
                <w:b/>
                <w:bCs/>
              </w:rPr>
            </w:pPr>
            <w:r>
              <w:rPr>
                <w:b/>
                <w:bCs/>
              </w:rPr>
              <w:t>Insert</w:t>
            </w:r>
          </w:p>
        </w:tc>
      </w:tr>
      <w:tr>
        <w:trPr>
          <w:cantSplit/>
          <w:jc w:val="center"/>
        </w:trPr>
        <w:tc>
          <w:tcPr>
            <w:tcW w:w="2553" w:type="dxa"/>
          </w:tcPr>
          <w:p>
            <w:pPr>
              <w:pStyle w:val="TableAm"/>
            </w:pPr>
            <w:r>
              <w:t>Sch. 1 it. 1</w:t>
            </w:r>
          </w:p>
        </w:tc>
        <w:tc>
          <w:tcPr>
            <w:tcW w:w="2126" w:type="dxa"/>
          </w:tcPr>
          <w:p>
            <w:pPr>
              <w:pStyle w:val="TableAm"/>
              <w:rPr>
                <w:sz w:val="22"/>
                <w:szCs w:val="22"/>
              </w:rPr>
            </w:pPr>
            <w:r>
              <w:rPr>
                <w:sz w:val="22"/>
                <w:szCs w:val="22"/>
              </w:rPr>
              <w:t>796.00</w:t>
            </w:r>
          </w:p>
        </w:tc>
        <w:tc>
          <w:tcPr>
            <w:tcW w:w="2125" w:type="dxa"/>
          </w:tcPr>
          <w:p>
            <w:pPr>
              <w:pStyle w:val="TableAm"/>
              <w:rPr>
                <w:sz w:val="22"/>
                <w:szCs w:val="22"/>
              </w:rPr>
            </w:pPr>
            <w:r>
              <w:rPr>
                <w:sz w:val="22"/>
                <w:szCs w:val="22"/>
              </w:rPr>
              <w:t>813.50</w:t>
            </w:r>
          </w:p>
        </w:tc>
      </w:tr>
      <w:tr>
        <w:trPr>
          <w:cantSplit/>
          <w:jc w:val="center"/>
        </w:trPr>
        <w:tc>
          <w:tcPr>
            <w:tcW w:w="2553" w:type="dxa"/>
          </w:tcPr>
          <w:p>
            <w:pPr>
              <w:pStyle w:val="TableAm"/>
            </w:pPr>
            <w:r>
              <w:t>Sch. 1 it. 2</w:t>
            </w:r>
          </w:p>
        </w:tc>
        <w:tc>
          <w:tcPr>
            <w:tcW w:w="2126" w:type="dxa"/>
          </w:tcPr>
          <w:p>
            <w:pPr>
              <w:pStyle w:val="TableAm"/>
              <w:rPr>
                <w:sz w:val="22"/>
                <w:szCs w:val="22"/>
              </w:rPr>
            </w:pPr>
            <w:r>
              <w:rPr>
                <w:sz w:val="22"/>
                <w:szCs w:val="22"/>
              </w:rPr>
              <w:t>796.00</w:t>
            </w:r>
          </w:p>
        </w:tc>
        <w:tc>
          <w:tcPr>
            <w:tcW w:w="2125" w:type="dxa"/>
          </w:tcPr>
          <w:p>
            <w:pPr>
              <w:pStyle w:val="TableAm"/>
              <w:rPr>
                <w:sz w:val="22"/>
                <w:szCs w:val="22"/>
              </w:rPr>
            </w:pPr>
            <w:r>
              <w:rPr>
                <w:sz w:val="22"/>
                <w:szCs w:val="22"/>
              </w:rPr>
              <w:t>813.50</w:t>
            </w:r>
          </w:p>
        </w:tc>
      </w:tr>
      <w:tr>
        <w:trPr>
          <w:cantSplit/>
          <w:jc w:val="center"/>
        </w:trPr>
        <w:tc>
          <w:tcPr>
            <w:tcW w:w="2553" w:type="dxa"/>
          </w:tcPr>
          <w:p>
            <w:pPr>
              <w:pStyle w:val="TableAm"/>
            </w:pPr>
            <w:r>
              <w:t>Sch. 1 it. 3</w:t>
            </w:r>
          </w:p>
        </w:tc>
        <w:tc>
          <w:tcPr>
            <w:tcW w:w="2126" w:type="dxa"/>
          </w:tcPr>
          <w:p>
            <w:pPr>
              <w:pStyle w:val="TableAm"/>
              <w:rPr>
                <w:sz w:val="22"/>
                <w:szCs w:val="22"/>
              </w:rPr>
            </w:pPr>
            <w:r>
              <w:rPr>
                <w:sz w:val="22"/>
                <w:szCs w:val="22"/>
              </w:rPr>
              <w:t>34.85</w:t>
            </w:r>
          </w:p>
        </w:tc>
        <w:tc>
          <w:tcPr>
            <w:tcW w:w="2125" w:type="dxa"/>
          </w:tcPr>
          <w:p>
            <w:pPr>
              <w:pStyle w:val="TableAm"/>
              <w:rPr>
                <w:sz w:val="22"/>
                <w:szCs w:val="22"/>
              </w:rPr>
            </w:pPr>
            <w:r>
              <w:rPr>
                <w:sz w:val="22"/>
                <w:szCs w:val="22"/>
              </w:rPr>
              <w:t>35.60</w:t>
            </w:r>
          </w:p>
        </w:tc>
      </w:tr>
      <w:tr>
        <w:trPr>
          <w:cantSplit/>
          <w:jc w:val="center"/>
        </w:trPr>
        <w:tc>
          <w:tcPr>
            <w:tcW w:w="2553" w:type="dxa"/>
          </w:tcPr>
          <w:p>
            <w:pPr>
              <w:pStyle w:val="TableAm"/>
            </w:pPr>
            <w:r>
              <w:t>Sch. 1 it. 4</w:t>
            </w:r>
          </w:p>
        </w:tc>
        <w:tc>
          <w:tcPr>
            <w:tcW w:w="2126" w:type="dxa"/>
          </w:tcPr>
          <w:p>
            <w:pPr>
              <w:pStyle w:val="TableAm"/>
              <w:rPr>
                <w:sz w:val="22"/>
                <w:szCs w:val="22"/>
              </w:rPr>
            </w:pPr>
            <w:r>
              <w:rPr>
                <w:sz w:val="22"/>
                <w:szCs w:val="22"/>
              </w:rPr>
              <w:t>11.35</w:t>
            </w:r>
          </w:p>
        </w:tc>
        <w:tc>
          <w:tcPr>
            <w:tcW w:w="2125" w:type="dxa"/>
          </w:tcPr>
          <w:p>
            <w:pPr>
              <w:pStyle w:val="TableAm"/>
              <w:rPr>
                <w:sz w:val="22"/>
                <w:szCs w:val="22"/>
              </w:rPr>
            </w:pPr>
            <w:r>
              <w:rPr>
                <w:sz w:val="22"/>
                <w:szCs w:val="22"/>
              </w:rPr>
              <w:t>11.60</w:t>
            </w:r>
          </w:p>
        </w:tc>
      </w:tr>
      <w:tr>
        <w:trPr>
          <w:cantSplit/>
          <w:jc w:val="center"/>
        </w:trPr>
        <w:tc>
          <w:tcPr>
            <w:tcW w:w="2553" w:type="dxa"/>
          </w:tcPr>
          <w:p>
            <w:pPr>
              <w:pStyle w:val="TableAm"/>
            </w:pPr>
            <w:r>
              <w:t>Sch. 1 it. 5</w:t>
            </w:r>
          </w:p>
        </w:tc>
        <w:tc>
          <w:tcPr>
            <w:tcW w:w="2126" w:type="dxa"/>
          </w:tcPr>
          <w:p>
            <w:pPr>
              <w:pStyle w:val="TableAm"/>
              <w:rPr>
                <w:sz w:val="22"/>
                <w:szCs w:val="22"/>
              </w:rPr>
            </w:pPr>
            <w:r>
              <w:rPr>
                <w:sz w:val="22"/>
                <w:szCs w:val="22"/>
              </w:rPr>
              <w:t>11.35</w:t>
            </w:r>
          </w:p>
        </w:tc>
        <w:tc>
          <w:tcPr>
            <w:tcW w:w="2125" w:type="dxa"/>
          </w:tcPr>
          <w:p>
            <w:pPr>
              <w:pStyle w:val="TableAm"/>
              <w:rPr>
                <w:sz w:val="22"/>
                <w:szCs w:val="22"/>
              </w:rPr>
            </w:pPr>
            <w:r>
              <w:rPr>
                <w:sz w:val="22"/>
                <w:szCs w:val="22"/>
              </w:rPr>
              <w:t>11.60</w:t>
            </w:r>
          </w:p>
        </w:tc>
      </w:tr>
      <w:tr>
        <w:trPr>
          <w:cantSplit/>
          <w:jc w:val="center"/>
        </w:trPr>
        <w:tc>
          <w:tcPr>
            <w:tcW w:w="2553" w:type="dxa"/>
          </w:tcPr>
          <w:p>
            <w:pPr>
              <w:pStyle w:val="TableAm"/>
            </w:pPr>
            <w:r>
              <w:t>Sch. 1 it. 6</w:t>
            </w:r>
          </w:p>
        </w:tc>
        <w:tc>
          <w:tcPr>
            <w:tcW w:w="2126" w:type="dxa"/>
          </w:tcPr>
          <w:p>
            <w:pPr>
              <w:pStyle w:val="TableAm"/>
              <w:rPr>
                <w:sz w:val="22"/>
                <w:szCs w:val="22"/>
              </w:rPr>
            </w:pPr>
            <w:r>
              <w:rPr>
                <w:sz w:val="22"/>
                <w:szCs w:val="22"/>
              </w:rPr>
              <w:t>141.00</w:t>
            </w:r>
          </w:p>
        </w:tc>
        <w:tc>
          <w:tcPr>
            <w:tcW w:w="2125" w:type="dxa"/>
          </w:tcPr>
          <w:p>
            <w:pPr>
              <w:pStyle w:val="TableAm"/>
              <w:rPr>
                <w:sz w:val="22"/>
                <w:szCs w:val="22"/>
              </w:rPr>
            </w:pPr>
            <w:r>
              <w:rPr>
                <w:sz w:val="22"/>
                <w:szCs w:val="22"/>
              </w:rPr>
              <w:t>144.10</w:t>
            </w:r>
          </w:p>
        </w:tc>
      </w:tr>
    </w:tbl>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62" w:name="_Toc419375227"/>
      <w:bookmarkStart w:id="63" w:name="_Toc419452854"/>
      <w:bookmarkStart w:id="64" w:name="_Toc423341126"/>
      <w:bookmarkStart w:id="65" w:name="_Toc453069374"/>
      <w:r>
        <w:rPr>
          <w:sz w:val="28"/>
        </w:rPr>
        <w:t>Defined terms</w:t>
      </w:r>
      <w:bookmarkEnd w:id="62"/>
      <w:bookmarkEnd w:id="63"/>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Commissioner</w:t>
      </w:r>
      <w:r>
        <w:tab/>
        <w:t>2</w:t>
      </w:r>
    </w:p>
    <w:p>
      <w:pPr>
        <w:pStyle w:val="DefinedTerms"/>
      </w:pPr>
      <w:r>
        <w:t>section</w:t>
      </w:r>
      <w:r>
        <w:tab/>
        <w:t>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rPr>
          <w:sz w:val="2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0CFA2E"/>
    <w:lvl w:ilvl="0">
      <w:start w:val="1"/>
      <w:numFmt w:val="decimal"/>
      <w:lvlText w:val="%1."/>
      <w:lvlJc w:val="left"/>
      <w:pPr>
        <w:tabs>
          <w:tab w:val="num" w:pos="1492"/>
        </w:tabs>
        <w:ind w:left="1492" w:hanging="360"/>
      </w:pPr>
    </w:lvl>
  </w:abstractNum>
  <w:abstractNum w:abstractNumId="1">
    <w:nsid w:val="FFFFFF7D"/>
    <w:multiLevelType w:val="singleLevel"/>
    <w:tmpl w:val="3C40BE6E"/>
    <w:lvl w:ilvl="0">
      <w:start w:val="1"/>
      <w:numFmt w:val="decimal"/>
      <w:lvlText w:val="%1."/>
      <w:lvlJc w:val="left"/>
      <w:pPr>
        <w:tabs>
          <w:tab w:val="num" w:pos="1209"/>
        </w:tabs>
        <w:ind w:left="1209" w:hanging="360"/>
      </w:pPr>
    </w:lvl>
  </w:abstractNum>
  <w:abstractNum w:abstractNumId="2">
    <w:nsid w:val="FFFFFF7E"/>
    <w:multiLevelType w:val="singleLevel"/>
    <w:tmpl w:val="B0705312"/>
    <w:lvl w:ilvl="0">
      <w:start w:val="1"/>
      <w:numFmt w:val="decimal"/>
      <w:lvlText w:val="%1."/>
      <w:lvlJc w:val="left"/>
      <w:pPr>
        <w:tabs>
          <w:tab w:val="num" w:pos="926"/>
        </w:tabs>
        <w:ind w:left="926" w:hanging="360"/>
      </w:pPr>
    </w:lvl>
  </w:abstractNum>
  <w:abstractNum w:abstractNumId="3">
    <w:nsid w:val="FFFFFF7F"/>
    <w:multiLevelType w:val="singleLevel"/>
    <w:tmpl w:val="404AB9B4"/>
    <w:lvl w:ilvl="0">
      <w:start w:val="1"/>
      <w:numFmt w:val="decimal"/>
      <w:lvlText w:val="%1."/>
      <w:lvlJc w:val="left"/>
      <w:pPr>
        <w:tabs>
          <w:tab w:val="num" w:pos="643"/>
        </w:tabs>
        <w:ind w:left="643" w:hanging="360"/>
      </w:pPr>
    </w:lvl>
  </w:abstractNum>
  <w:abstractNum w:abstractNumId="4">
    <w:nsid w:val="FFFFFF80"/>
    <w:multiLevelType w:val="singleLevel"/>
    <w:tmpl w:val="00F299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ED4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88C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CE64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06E11A"/>
    <w:lvl w:ilvl="0">
      <w:start w:val="1"/>
      <w:numFmt w:val="decimal"/>
      <w:lvlText w:val="%1."/>
      <w:lvlJc w:val="left"/>
      <w:pPr>
        <w:tabs>
          <w:tab w:val="num" w:pos="360"/>
        </w:tabs>
        <w:ind w:left="360" w:hanging="360"/>
      </w:pPr>
    </w:lvl>
  </w:abstractNum>
  <w:abstractNum w:abstractNumId="9">
    <w:nsid w:val="FFFFFF89"/>
    <w:multiLevelType w:val="singleLevel"/>
    <w:tmpl w:val="8404280A"/>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616B4D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600"/>
    <w:docVar w:name="WAFER_20140131152233" w:val="RemoveTocBookmarks,RemoveUnusedBookmarks,RemoveLanguageTags,UsedStyles,ResetPageSize,UpdateArrangement"/>
    <w:docVar w:name="WAFER_20140131152233_GUID" w:val="40331d5b-6f42-450e-aff1-03061cd00435"/>
    <w:docVar w:name="WAFER_20140131152239" w:val="RemoveTocBookmarks,RunningHeaders"/>
    <w:docVar w:name="WAFER_20140131152239_GUID" w:val="bac37c4b-3804-4760-b7e1-6c60ea07b635"/>
    <w:docVar w:name="WAFER_20140818083603" w:val="RemoveTocBookmarks,RemoveUnusedBookmarks,RemoveLanguageTags,UsedStyles,RemoveTrackChanges"/>
    <w:docVar w:name="WAFER_20140818083603_GUID" w:val="dc397d5c-7fdd-403a-84b1-ecd8bc1cb806"/>
    <w:docVar w:name="WAFER_20140818083614" w:val="RemoveTocBookmarks,RemoveLanguageTags,RemoveTrackChanges,RunningHeaders"/>
    <w:docVar w:name="WAFER_20140818083614_GUID" w:val="1535a362-eea8-44be-b0de-22987ac23f19"/>
    <w:docVar w:name="WAFER_20141118101601" w:val="RemoveTocBookmarks,RemoveUnusedBookmarks,RemoveLanguageTags,UsedStyles,ResetPageSize,UpdateArrangement"/>
    <w:docVar w:name="WAFER_20141118101601_GUID" w:val="76207a5e-6393-4e08-a03a-3fb63c05eb72"/>
    <w:docVar w:name="WAFER_20150514135117" w:val="ResetPageSize,UpdateArrangement,UpdateNTable"/>
    <w:docVar w:name="WAFER_20150514135117_GUID" w:val="b60ee8c4-8124-4f49-a7cb-3c6e3641d1f4"/>
    <w:docVar w:name="WAFER_20151106090600" w:val="UpdateStyles,UsedStyles"/>
    <w:docVar w:name="WAFER_20151106090600_GUID" w:val="4c36a58b-f4c4-4045-a016-2093b0ac4b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3321</Words>
  <Characters>16110</Characters>
  <Application>Microsoft Office Word</Application>
  <DocSecurity>0</DocSecurity>
  <Lines>732</Lines>
  <Paragraphs>473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1979 - 05-e0-01</dc:title>
  <dc:subject/>
  <dc:creator/>
  <cp:keywords/>
  <dc:description/>
  <cp:lastModifiedBy>svcMRProcess</cp:lastModifiedBy>
  <cp:revision>4</cp:revision>
  <cp:lastPrinted>2014-08-22T01:06:00Z</cp:lastPrinted>
  <dcterms:created xsi:type="dcterms:W3CDTF">2016-06-13T01:45:00Z</dcterms:created>
  <dcterms:modified xsi:type="dcterms:W3CDTF">2016-06-13T01:45:00Z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DocumentType">
    <vt:lpwstr>Reg</vt:lpwstr>
  </property>
  <property fmtid="{D5CDD505-2E9C-101B-9397-08002B2CF9AE}" pid="4" name="OwlsUID">
    <vt:i4>4548</vt:i4>
  </property>
  <property fmtid="{D5CDD505-2E9C-101B-9397-08002B2CF9AE}" pid="5" name="ReprintNo">
    <vt:lpwstr>5</vt:lpwstr>
  </property>
  <property fmtid="{D5CDD505-2E9C-101B-9397-08002B2CF9AE}" pid="6" name="ReprintedAsAt">
    <vt:filetime>2014-08-21T16:00:00Z</vt:filetime>
  </property>
  <property fmtid="{D5CDD505-2E9C-101B-9397-08002B2CF9AE}" pid="7" name="AsAtDate">
    <vt:lpwstr>03 Jun 2016</vt:lpwstr>
  </property>
  <property fmtid="{D5CDD505-2E9C-101B-9397-08002B2CF9AE}" pid="8" name="Suffix">
    <vt:lpwstr>05-e0-01</vt:lpwstr>
  </property>
  <property fmtid="{D5CDD505-2E9C-101B-9397-08002B2CF9AE}" pid="9" name="CommencementDate">
    <vt:lpwstr>20160603</vt:lpwstr>
  </property>
</Properties>
</file>