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_Toc453072135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_Toc453072136 \h </w:instrText>
      </w:r>
      <w:r>
        <w:fldChar w:fldCharType="separate"/>
      </w:r>
      <w:r>
        <w:t>2</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_Toc453072137 \h </w:instrText>
      </w:r>
      <w:r>
        <w:fldChar w:fldCharType="separate"/>
      </w:r>
      <w:r>
        <w:t>2</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_Toc453072138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_Toc453072141 \h </w:instrText>
      </w:r>
      <w:r>
        <w:fldChar w:fldCharType="separate"/>
      </w:r>
      <w:r>
        <w:t>4</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_Toc453072142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_Toc453072144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_Toc453072145 \h </w:instrText>
      </w:r>
      <w:r>
        <w:fldChar w:fldCharType="separate"/>
      </w:r>
      <w:r>
        <w:t>7</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_Toc453072146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_Toc453072148 \h </w:instrText>
      </w:r>
      <w:r>
        <w:fldChar w:fldCharType="separate"/>
      </w:r>
      <w:r>
        <w:t>8</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_Toc453072149 \h </w:instrText>
      </w:r>
      <w:r>
        <w:fldChar w:fldCharType="separate"/>
      </w:r>
      <w:r>
        <w:t>13</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_Toc453072150 \h </w:instrText>
      </w:r>
      <w:r>
        <w:fldChar w:fldCharType="separate"/>
      </w:r>
      <w:r>
        <w:t>16</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_Toc453072151 \h </w:instrText>
      </w:r>
      <w:r>
        <w:fldChar w:fldCharType="separate"/>
      </w:r>
      <w:r>
        <w:t>17</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_Toc453072152 \h </w:instrText>
      </w:r>
      <w:r>
        <w:fldChar w:fldCharType="separate"/>
      </w:r>
      <w:r>
        <w:t>20</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_Toc453072153 \h </w:instrText>
      </w:r>
      <w:r>
        <w:fldChar w:fldCharType="separate"/>
      </w:r>
      <w:r>
        <w:t>22</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_Toc453072154 \h </w:instrText>
      </w:r>
      <w:r>
        <w:fldChar w:fldCharType="separate"/>
      </w:r>
      <w:r>
        <w:t>27</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_Toc453072155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_Toc453072157 \h </w:instrText>
      </w:r>
      <w:r>
        <w:fldChar w:fldCharType="separate"/>
      </w:r>
      <w:r>
        <w:t>34</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_Toc453072158 \h </w:instrText>
      </w:r>
      <w:r>
        <w:fldChar w:fldCharType="separate"/>
      </w:r>
      <w:r>
        <w:t>36</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_Toc453072159 \h </w:instrText>
      </w:r>
      <w:r>
        <w:fldChar w:fldCharType="separate"/>
      </w:r>
      <w:r>
        <w:t>37</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_Toc453072160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_Toc453072162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_Toc453072163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_Toc453072165 \h </w:instrText>
      </w:r>
      <w:r>
        <w:fldChar w:fldCharType="separate"/>
      </w:r>
      <w:r>
        <w:t>41</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_Toc453072166 \h </w:instrText>
      </w:r>
      <w:r>
        <w:fldChar w:fldCharType="separate"/>
      </w:r>
      <w:r>
        <w:t>44</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_Toc453072167 \h </w:instrText>
      </w:r>
      <w:r>
        <w:fldChar w:fldCharType="separate"/>
      </w:r>
      <w:r>
        <w:t>45</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_Toc453072168 \h </w:instrText>
      </w:r>
      <w:r>
        <w:fldChar w:fldCharType="separate"/>
      </w:r>
      <w:r>
        <w:t>49</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_Toc453072169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_Toc453072173 \h </w:instrText>
      </w:r>
      <w:r>
        <w:fldChar w:fldCharType="separate"/>
      </w:r>
      <w:r>
        <w:t>113</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_Toc453072174 \h </w:instrText>
      </w:r>
      <w:r>
        <w:fldChar w:fldCharType="separate"/>
      </w:r>
      <w:r>
        <w:t>114</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_Toc453072175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_Toc453072177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_Toc453072178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3" w:name="_Toc414890086"/>
      <w:bookmarkStart w:id="4" w:name="_Toc414973524"/>
      <w:bookmarkStart w:id="5" w:name="_Toc431393560"/>
      <w:bookmarkStart w:id="6" w:name="_Toc431393870"/>
      <w:bookmarkStart w:id="7" w:name="_Toc442446428"/>
      <w:bookmarkStart w:id="8" w:name="_Toc446511761"/>
      <w:bookmarkStart w:id="9" w:name="_Toc446512476"/>
      <w:bookmarkStart w:id="10" w:name="_Toc446514073"/>
      <w:bookmarkStart w:id="11" w:name="_Toc453072134"/>
      <w:r>
        <w:rPr>
          <w:rStyle w:val="CharPartNo"/>
        </w:rPr>
        <w:t>Part 1</w:t>
      </w:r>
      <w:r>
        <w:rPr>
          <w:b w:val="0"/>
        </w:rPr>
        <w:t> </w:t>
      </w:r>
      <w:r>
        <w:t>—</w:t>
      </w:r>
      <w:r>
        <w:rPr>
          <w:b w:val="0"/>
        </w:rPr>
        <w:t> </w:t>
      </w:r>
      <w:r>
        <w:rPr>
          <w:rStyle w:val="CharPartText"/>
        </w:rPr>
        <w:t>Preliminary matters</w:t>
      </w:r>
      <w:bookmarkEnd w:id="3"/>
      <w:bookmarkEnd w:id="4"/>
      <w:bookmarkEnd w:id="5"/>
      <w:bookmarkEnd w:id="6"/>
      <w:bookmarkEnd w:id="7"/>
      <w:bookmarkEnd w:id="8"/>
      <w:bookmarkEnd w:id="9"/>
      <w:bookmarkEnd w:id="10"/>
      <w:bookmarkEnd w:id="11"/>
    </w:p>
    <w:p>
      <w:pPr>
        <w:pStyle w:val="Footnoteheading"/>
      </w:pPr>
      <w:r>
        <w:tab/>
        <w:t>[Heading inserted in Gazette 24 Mar 2015 p. 993.]</w:t>
      </w:r>
    </w:p>
    <w:p>
      <w:pPr>
        <w:pStyle w:val="Heading5"/>
        <w:rPr>
          <w:snapToGrid w:val="0"/>
        </w:rPr>
      </w:pPr>
      <w:bookmarkStart w:id="12" w:name="_Toc383159658"/>
      <w:bookmarkStart w:id="13" w:name="_Toc453072135"/>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4" w:name="_Toc383159659"/>
      <w:bookmarkStart w:id="15" w:name="_Toc453072136"/>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6" w:name="_Toc453072137"/>
      <w:r>
        <w:rPr>
          <w:rStyle w:val="CharSectno"/>
        </w:rPr>
        <w:t>3A</w:t>
      </w:r>
      <w:r>
        <w:t>.</w:t>
      </w:r>
      <w:r>
        <w:tab/>
        <w:t>Payments excluded from premium</w:t>
      </w:r>
      <w:bookmarkEnd w:id="16"/>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7" w:name="_Toc453072138"/>
      <w:r>
        <w:rPr>
          <w:rStyle w:val="CharSectno"/>
        </w:rPr>
        <w:t>3</w:t>
      </w:r>
      <w:r>
        <w:t>.</w:t>
      </w:r>
      <w:r>
        <w:tab/>
        <w:t>Memorial prescribed information</w:t>
      </w:r>
      <w:bookmarkEnd w:id="17"/>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18" w:name="_Toc431393565"/>
      <w:bookmarkStart w:id="19" w:name="_Toc431393875"/>
      <w:bookmarkStart w:id="20" w:name="_Toc442446433"/>
      <w:bookmarkStart w:id="21" w:name="_Toc446511766"/>
      <w:bookmarkStart w:id="22" w:name="_Toc446512481"/>
      <w:bookmarkStart w:id="23" w:name="_Toc446514078"/>
      <w:bookmarkStart w:id="24" w:name="_Toc453072139"/>
      <w:bookmarkStart w:id="25" w:name="_Toc383159660"/>
      <w:r>
        <w:rPr>
          <w:rStyle w:val="CharPartNo"/>
        </w:rPr>
        <w:t>Part 2</w:t>
      </w:r>
      <w:r>
        <w:rPr>
          <w:b w:val="0"/>
        </w:rPr>
        <w:t> </w:t>
      </w:r>
      <w:r>
        <w:t>—</w:t>
      </w:r>
      <w:r>
        <w:rPr>
          <w:b w:val="0"/>
        </w:rPr>
        <w:t> </w:t>
      </w:r>
      <w:r>
        <w:rPr>
          <w:rStyle w:val="CharPartText"/>
        </w:rPr>
        <w:t>Residence contracts</w:t>
      </w:r>
      <w:bookmarkEnd w:id="18"/>
      <w:bookmarkEnd w:id="19"/>
      <w:bookmarkEnd w:id="20"/>
      <w:bookmarkEnd w:id="21"/>
      <w:bookmarkEnd w:id="22"/>
      <w:bookmarkEnd w:id="23"/>
      <w:bookmarkEnd w:id="24"/>
    </w:p>
    <w:p>
      <w:pPr>
        <w:pStyle w:val="Footnoteheading"/>
      </w:pPr>
      <w:r>
        <w:tab/>
        <w:t>[Heading inserted in Gazette 24 Mar 2015 p. 995.]</w:t>
      </w:r>
    </w:p>
    <w:p>
      <w:pPr>
        <w:pStyle w:val="Heading3"/>
      </w:pPr>
      <w:bookmarkStart w:id="26" w:name="_Toc431393566"/>
      <w:bookmarkStart w:id="27" w:name="_Toc431393876"/>
      <w:bookmarkStart w:id="28" w:name="_Toc442446434"/>
      <w:bookmarkStart w:id="29" w:name="_Toc446511767"/>
      <w:bookmarkStart w:id="30" w:name="_Toc446512482"/>
      <w:bookmarkStart w:id="31" w:name="_Toc446514079"/>
      <w:bookmarkStart w:id="32" w:name="_Toc453072140"/>
      <w:r>
        <w:rPr>
          <w:rStyle w:val="CharDivNo"/>
        </w:rPr>
        <w:t>Division 1</w:t>
      </w:r>
      <w:r>
        <w:t> — </w:t>
      </w:r>
      <w:r>
        <w:rPr>
          <w:rStyle w:val="CharDivText"/>
        </w:rPr>
        <w:t>Preliminary</w:t>
      </w:r>
      <w:bookmarkEnd w:id="26"/>
      <w:bookmarkEnd w:id="27"/>
      <w:bookmarkEnd w:id="28"/>
      <w:bookmarkEnd w:id="29"/>
      <w:bookmarkEnd w:id="30"/>
      <w:bookmarkEnd w:id="31"/>
      <w:bookmarkEnd w:id="32"/>
    </w:p>
    <w:p>
      <w:pPr>
        <w:pStyle w:val="Footnoteheading"/>
      </w:pPr>
      <w:r>
        <w:tab/>
        <w:t>[Heading inserted in Gazette 24 Mar 2015 p. 995.]</w:t>
      </w:r>
    </w:p>
    <w:p>
      <w:pPr>
        <w:pStyle w:val="Heading5"/>
      </w:pPr>
      <w:bookmarkStart w:id="33" w:name="_Toc453072141"/>
      <w:r>
        <w:rPr>
          <w:rStyle w:val="CharSectno"/>
        </w:rPr>
        <w:t>4A</w:t>
      </w:r>
      <w:r>
        <w:t>.</w:t>
      </w:r>
      <w:r>
        <w:tab/>
        <w:t>Terms used</w:t>
      </w:r>
      <w:bookmarkEnd w:id="33"/>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rStyle w:val="CharDefText"/>
          <w:b w:val="0"/>
        </w:rPr>
        <w:t>Corporations Act 2001</w:t>
      </w:r>
      <w:r>
        <w:t xml:space="preserve"> (Commonwealth)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 amended in Gazette 23 Mar 2016 p. 861</w:t>
      </w:r>
      <w:r>
        <w:noBreakHyphen/>
        <w:t>2.]</w:t>
      </w:r>
    </w:p>
    <w:p>
      <w:pPr>
        <w:pStyle w:val="Heading5"/>
      </w:pPr>
      <w:bookmarkStart w:id="34" w:name="_Toc453072142"/>
      <w:r>
        <w:rPr>
          <w:rStyle w:val="CharSectno"/>
        </w:rPr>
        <w:t>4B</w:t>
      </w:r>
      <w:r>
        <w:t>.</w:t>
      </w:r>
      <w:r>
        <w:tab/>
        <w:t>Form of residence contract</w:t>
      </w:r>
      <w:bookmarkEnd w:id="34"/>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35" w:name="_Toc431393569"/>
      <w:bookmarkStart w:id="36" w:name="_Toc431393879"/>
      <w:bookmarkStart w:id="37" w:name="_Toc442446437"/>
      <w:bookmarkStart w:id="38" w:name="_Toc446511770"/>
      <w:bookmarkStart w:id="39" w:name="_Toc446512485"/>
      <w:bookmarkStart w:id="40" w:name="_Toc446514082"/>
      <w:bookmarkStart w:id="41" w:name="_Toc453072143"/>
      <w:r>
        <w:rPr>
          <w:rStyle w:val="CharDivNo"/>
        </w:rPr>
        <w:t>Division 2</w:t>
      </w:r>
      <w:r>
        <w:t> — </w:t>
      </w:r>
      <w:r>
        <w:rPr>
          <w:rStyle w:val="CharDivText"/>
        </w:rPr>
        <w:t>Section 13 requirements</w:t>
      </w:r>
      <w:bookmarkEnd w:id="35"/>
      <w:bookmarkEnd w:id="36"/>
      <w:bookmarkEnd w:id="37"/>
      <w:bookmarkEnd w:id="38"/>
      <w:bookmarkEnd w:id="39"/>
      <w:bookmarkEnd w:id="40"/>
      <w:bookmarkEnd w:id="41"/>
    </w:p>
    <w:p>
      <w:pPr>
        <w:pStyle w:val="Footnoteheading"/>
      </w:pPr>
      <w:r>
        <w:tab/>
        <w:t>[Heading inserted in Gazette 24 Mar 2015 p. 997.]</w:t>
      </w:r>
    </w:p>
    <w:p>
      <w:pPr>
        <w:pStyle w:val="Heading5"/>
      </w:pPr>
      <w:bookmarkStart w:id="42" w:name="_Toc453072144"/>
      <w:r>
        <w:rPr>
          <w:rStyle w:val="CharSectno"/>
        </w:rPr>
        <w:t>4</w:t>
      </w:r>
      <w:r>
        <w:t>.</w:t>
      </w:r>
      <w:r>
        <w:tab/>
        <w:t>Section 13 statement</w:t>
      </w:r>
      <w:bookmarkEnd w:id="42"/>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in Gazette 23 Mar 2016 p. 862.]</w:t>
      </w:r>
    </w:p>
    <w:p>
      <w:pPr>
        <w:pStyle w:val="Heading5"/>
        <w:rPr>
          <w:snapToGrid w:val="0"/>
        </w:rPr>
      </w:pPr>
      <w:bookmarkStart w:id="43" w:name="_Toc383159661"/>
      <w:bookmarkStart w:id="44" w:name="_Toc453072145"/>
      <w:bookmarkEnd w:id="25"/>
      <w:r>
        <w:rPr>
          <w:rStyle w:val="CharSectno"/>
        </w:rPr>
        <w:t>5</w:t>
      </w:r>
      <w:r>
        <w:rPr>
          <w:snapToGrid w:val="0"/>
        </w:rPr>
        <w:t>.</w:t>
      </w:r>
      <w:r>
        <w:rPr>
          <w:snapToGrid w:val="0"/>
        </w:rPr>
        <w:tab/>
        <w:t>Section 13 notice</w:t>
      </w:r>
      <w:bookmarkEnd w:id="43"/>
      <w:bookmarkEnd w:id="44"/>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45" w:name="_Toc453072146"/>
      <w:r>
        <w:rPr>
          <w:rStyle w:val="CharSectno"/>
        </w:rPr>
        <w:t>6</w:t>
      </w:r>
      <w:r>
        <w:t>.</w:t>
      </w:r>
      <w:r>
        <w:tab/>
        <w:t>Section 13 information</w:t>
      </w:r>
      <w:bookmarkEnd w:id="45"/>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46" w:name="_Toc431393573"/>
      <w:bookmarkStart w:id="47" w:name="_Toc431393883"/>
      <w:bookmarkStart w:id="48" w:name="_Toc442446441"/>
      <w:bookmarkStart w:id="49" w:name="_Toc446511774"/>
      <w:bookmarkStart w:id="50" w:name="_Toc446512489"/>
      <w:bookmarkStart w:id="51" w:name="_Toc446514086"/>
      <w:bookmarkStart w:id="52" w:name="_Toc453072147"/>
      <w:r>
        <w:rPr>
          <w:rStyle w:val="CharDivNo"/>
        </w:rPr>
        <w:t>Division 3</w:t>
      </w:r>
      <w:r>
        <w:t> — </w:t>
      </w:r>
      <w:r>
        <w:rPr>
          <w:rStyle w:val="CharDivText"/>
        </w:rPr>
        <w:t>Matters to be included in residence contract</w:t>
      </w:r>
      <w:bookmarkEnd w:id="46"/>
      <w:bookmarkEnd w:id="47"/>
      <w:bookmarkEnd w:id="48"/>
      <w:bookmarkEnd w:id="49"/>
      <w:bookmarkEnd w:id="50"/>
      <w:bookmarkEnd w:id="51"/>
      <w:bookmarkEnd w:id="52"/>
    </w:p>
    <w:p>
      <w:pPr>
        <w:pStyle w:val="Footnoteheading"/>
      </w:pPr>
      <w:r>
        <w:tab/>
        <w:t>[Heading inserted in Gazette 24 Mar 2015 p. 999.]</w:t>
      </w:r>
    </w:p>
    <w:p>
      <w:pPr>
        <w:pStyle w:val="Heading5"/>
      </w:pPr>
      <w:bookmarkStart w:id="53" w:name="_Toc453072148"/>
      <w:r>
        <w:rPr>
          <w:rStyle w:val="CharSectno"/>
        </w:rPr>
        <w:t>7A</w:t>
      </w:r>
      <w:r>
        <w:t>.</w:t>
      </w:r>
      <w:r>
        <w:tab/>
        <w:t>General matters to be included in residence contract</w:t>
      </w:r>
      <w:bookmarkEnd w:id="53"/>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in Gazette 24 Mar 2015 p. 999</w:t>
      </w:r>
      <w:r>
        <w:noBreakHyphen/>
        <w:t>1003; amended in Gazette 23 Mar 2016 p. 862</w:t>
      </w:r>
      <w:r>
        <w:noBreakHyphen/>
        <w:t>3.]</w:t>
      </w:r>
    </w:p>
    <w:p>
      <w:pPr>
        <w:pStyle w:val="Heading5"/>
      </w:pPr>
      <w:bookmarkStart w:id="54" w:name="_Toc453072149"/>
      <w:r>
        <w:rPr>
          <w:rStyle w:val="CharSectno"/>
        </w:rPr>
        <w:t>7B</w:t>
      </w:r>
      <w:r>
        <w:t>.</w:t>
      </w:r>
      <w:r>
        <w:tab/>
        <w:t>Matters relating to personal amenities to be included in residence contract</w:t>
      </w:r>
      <w:bookmarkEnd w:id="54"/>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55" w:name="_Toc453072150"/>
      <w:r>
        <w:rPr>
          <w:rStyle w:val="CharSectno"/>
        </w:rPr>
        <w:t>7C</w:t>
      </w:r>
      <w:r>
        <w:t>.</w:t>
      </w:r>
      <w:r>
        <w:tab/>
        <w:t>Matters relating to communal amenities to be included in residence contract</w:t>
      </w:r>
      <w:bookmarkEnd w:id="5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in Gazette 24 Mar 2015 p. 1006</w:t>
      </w:r>
      <w:r>
        <w:noBreakHyphen/>
        <w:t>7; amended in Gazette 23 Mar 2016 p. 863.]</w:t>
      </w:r>
    </w:p>
    <w:p>
      <w:pPr>
        <w:pStyle w:val="Heading5"/>
      </w:pPr>
      <w:bookmarkStart w:id="56" w:name="_Toc453072151"/>
      <w:r>
        <w:rPr>
          <w:rStyle w:val="CharSectno"/>
        </w:rPr>
        <w:t>7D</w:t>
      </w:r>
      <w:r>
        <w:t>.</w:t>
      </w:r>
      <w:r>
        <w:tab/>
        <w:t>Matters relating to personal services to be included in residence contract</w:t>
      </w:r>
      <w:bookmarkEnd w:id="56"/>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 amended in Gazette 23 Mar 2016 p. 863</w:t>
      </w:r>
      <w:r>
        <w:noBreakHyphen/>
        <w:t>4.]</w:t>
      </w:r>
    </w:p>
    <w:p>
      <w:pPr>
        <w:pStyle w:val="Heading5"/>
      </w:pPr>
      <w:bookmarkStart w:id="57" w:name="_Toc453072152"/>
      <w:r>
        <w:rPr>
          <w:rStyle w:val="CharSectno"/>
        </w:rPr>
        <w:t>7E</w:t>
      </w:r>
      <w:r>
        <w:t>.</w:t>
      </w:r>
      <w:r>
        <w:tab/>
        <w:t>Matters relating to communal services to be included in residence contract</w:t>
      </w:r>
      <w:bookmarkEnd w:id="57"/>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communal services</w:t>
            </w:r>
          </w:p>
        </w:tc>
      </w:tr>
      <w:tr>
        <w:trPr>
          <w:cantSplit/>
        </w:trPr>
        <w:tc>
          <w:tcPr>
            <w:tcW w:w="709" w:type="dxa"/>
          </w:tcPr>
          <w:p>
            <w:pPr>
              <w:pStyle w:val="TableNAm"/>
              <w:keepNext/>
            </w:pPr>
            <w:r>
              <w:t>1.</w:t>
            </w:r>
          </w:p>
        </w:tc>
        <w:tc>
          <w:tcPr>
            <w:tcW w:w="4819" w:type="dxa"/>
          </w:tcPr>
          <w:p>
            <w:pPr>
              <w:pStyle w:val="TableNAm"/>
              <w:keepNext/>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in Gazette 24 Mar 2015 p. 1010</w:t>
      </w:r>
      <w:r>
        <w:noBreakHyphen/>
        <w:t>11; amended in Gazette 23 Mar 2016 p. 864.]</w:t>
      </w:r>
    </w:p>
    <w:p>
      <w:pPr>
        <w:pStyle w:val="Heading5"/>
      </w:pPr>
      <w:bookmarkStart w:id="58" w:name="_Toc453072153"/>
      <w:r>
        <w:rPr>
          <w:rStyle w:val="CharSectno"/>
        </w:rPr>
        <w:t>7F</w:t>
      </w:r>
      <w:r>
        <w:t>.</w:t>
      </w:r>
      <w:r>
        <w:tab/>
        <w:t>Financial matters to be included in residence contract</w:t>
      </w:r>
      <w:bookmarkEnd w:id="58"/>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(b)</w:t>
            </w:r>
            <w:r>
              <w:tab/>
              <w:t>the basis for the determination of the current and future amounts of the payments; and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pPr>
            <w:r>
              <w:t>6.</w:t>
            </w:r>
          </w:p>
        </w:tc>
        <w:tc>
          <w:tcPr>
            <w:tcW w:w="4819" w:type="dxa"/>
            <w:tcBorders>
              <w:bottom w:val="nil"/>
            </w:tcBorders>
          </w:tcPr>
          <w:p>
            <w:pPr>
              <w:pStyle w:val="TableNAm"/>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in Gazette 24 Mar 2015 p. 1011</w:t>
      </w:r>
      <w:r>
        <w:noBreakHyphen/>
        <w:t>15; amended in Gazette 23 Mar 2016 p. 865.]</w:t>
      </w:r>
    </w:p>
    <w:p>
      <w:pPr>
        <w:pStyle w:val="Heading5"/>
      </w:pPr>
      <w:bookmarkStart w:id="59" w:name="_Toc453072154"/>
      <w:r>
        <w:rPr>
          <w:rStyle w:val="CharSectno"/>
        </w:rPr>
        <w:t>7G</w:t>
      </w:r>
      <w:r>
        <w:t>.</w:t>
      </w:r>
      <w:r>
        <w:tab/>
        <w:t>Matters relating to condition of premises to be included in residence contract</w:t>
      </w:r>
      <w:bookmarkEnd w:id="59"/>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condition of premises</w:t>
            </w:r>
          </w:p>
        </w:tc>
      </w:tr>
      <w:tr>
        <w:trPr>
          <w:cantSplit/>
        </w:trPr>
        <w:tc>
          <w:tcPr>
            <w:tcW w:w="709" w:type="dxa"/>
            <w:tcBorders>
              <w:bottom w:val="nil"/>
            </w:tcBorders>
          </w:tcPr>
          <w:p>
            <w:pPr>
              <w:pStyle w:val="TableNAm"/>
              <w:keepNext/>
              <w:keepLines/>
            </w:pPr>
            <w:r>
              <w:t>1.</w:t>
            </w:r>
          </w:p>
        </w:tc>
        <w:tc>
          <w:tcPr>
            <w:tcW w:w="4819" w:type="dxa"/>
            <w:tcBorders>
              <w:bottom w:val="nil"/>
            </w:tcBorders>
          </w:tcPr>
          <w:p>
            <w:pPr>
              <w:pStyle w:val="TableNAm"/>
              <w:keepNext/>
            </w:pPr>
            <w:r>
              <w:t xml:space="preserve">A provision setting out — </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single" w:sz="4" w:space="0" w:color="auto"/>
            </w:tcBorders>
          </w:tcPr>
          <w:p>
            <w:pPr>
              <w:pStyle w:val="TableNAm"/>
              <w:keepNext/>
              <w:keepLines/>
              <w:spacing w:before="0"/>
            </w:pPr>
          </w:p>
        </w:tc>
        <w:tc>
          <w:tcPr>
            <w:tcW w:w="4819" w:type="dxa"/>
            <w:tcBorders>
              <w:top w:val="nil"/>
              <w:bottom w:val="single" w:sz="4" w:space="0" w:color="auto"/>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single" w:sz="4" w:space="0" w:color="auto"/>
              <w:bottom w:val="nil"/>
            </w:tcBorders>
          </w:tcPr>
          <w:p>
            <w:pPr>
              <w:pStyle w:val="TableNAm"/>
              <w:keepNext/>
              <w:keepLines/>
              <w:spacing w:before="0"/>
            </w:pPr>
          </w:p>
        </w:tc>
        <w:tc>
          <w:tcPr>
            <w:tcW w:w="4819" w:type="dxa"/>
            <w:tcBorders>
              <w:top w:val="single" w:sz="4" w:space="0" w:color="auto"/>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5.</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zTableNAm"/>
              <w:spacing w:before="0"/>
            </w:pPr>
          </w:p>
        </w:tc>
        <w:tc>
          <w:tcPr>
            <w:tcW w:w="4819" w:type="dxa"/>
            <w:tcBorders>
              <w:top w:val="single" w:sz="4" w:space="0" w:color="auto"/>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in Gazette 24 Mar 2015 p. 1016</w:t>
      </w:r>
      <w:r>
        <w:noBreakHyphen/>
        <w:t>19; amended in Gazette 23 Mar 2016 p. 865.]</w:t>
      </w:r>
    </w:p>
    <w:p>
      <w:pPr>
        <w:pStyle w:val="Heading5"/>
      </w:pPr>
      <w:bookmarkStart w:id="60" w:name="_Toc453072155"/>
      <w:r>
        <w:rPr>
          <w:rStyle w:val="CharSectno"/>
        </w:rPr>
        <w:t>7H</w:t>
      </w:r>
      <w:r>
        <w:t>.</w:t>
      </w:r>
      <w:r>
        <w:tab/>
        <w:t>Matters relating to urgent repairs to be included in residence contract</w:t>
      </w:r>
      <w:bookmarkEnd w:id="60"/>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61" w:name="_Toc431393582"/>
      <w:bookmarkStart w:id="62" w:name="_Toc431393892"/>
      <w:bookmarkStart w:id="63" w:name="_Toc442446450"/>
      <w:bookmarkStart w:id="64" w:name="_Toc446511783"/>
      <w:bookmarkStart w:id="65" w:name="_Toc446512498"/>
      <w:bookmarkStart w:id="66" w:name="_Toc446514095"/>
      <w:bookmarkStart w:id="67" w:name="_Toc453072156"/>
      <w:r>
        <w:rPr>
          <w:rStyle w:val="CharDivNo"/>
        </w:rPr>
        <w:t>Division 4</w:t>
      </w:r>
      <w:r>
        <w:t> — </w:t>
      </w:r>
      <w:r>
        <w:rPr>
          <w:rStyle w:val="CharDivText"/>
        </w:rPr>
        <w:t>Matters not to be included in residence contract</w:t>
      </w:r>
      <w:bookmarkEnd w:id="61"/>
      <w:bookmarkEnd w:id="62"/>
      <w:bookmarkEnd w:id="63"/>
      <w:bookmarkEnd w:id="64"/>
      <w:bookmarkEnd w:id="65"/>
      <w:bookmarkEnd w:id="66"/>
      <w:bookmarkEnd w:id="67"/>
    </w:p>
    <w:p>
      <w:pPr>
        <w:pStyle w:val="Footnoteheading"/>
      </w:pPr>
      <w:r>
        <w:tab/>
        <w:t>[Heading inserted in Gazette 24 Mar 2015 p. 1022.]</w:t>
      </w:r>
    </w:p>
    <w:p>
      <w:pPr>
        <w:pStyle w:val="Heading5"/>
      </w:pPr>
      <w:bookmarkStart w:id="68" w:name="_Toc453072157"/>
      <w:r>
        <w:rPr>
          <w:rStyle w:val="CharSectno"/>
        </w:rPr>
        <w:t>7I</w:t>
      </w:r>
      <w:r>
        <w:t>.</w:t>
      </w:r>
      <w:r>
        <w:tab/>
        <w:t>Provisions relating to certain powers of attorney not be included in residence contract</w:t>
      </w:r>
      <w:bookmarkEnd w:id="68"/>
    </w:p>
    <w:p>
      <w:pPr>
        <w:pStyle w:val="Subsection"/>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 amended in Gazette 23 Mar 2016 p. 865</w:t>
      </w:r>
      <w:r>
        <w:noBreakHyphen/>
        <w:t>6.]</w:t>
      </w:r>
    </w:p>
    <w:p>
      <w:pPr>
        <w:pStyle w:val="Heading5"/>
      </w:pPr>
      <w:bookmarkStart w:id="69" w:name="_Toc453072158"/>
      <w:r>
        <w:rPr>
          <w:rStyle w:val="CharSectno"/>
        </w:rPr>
        <w:t>7J</w:t>
      </w:r>
      <w:r>
        <w:t>.</w:t>
      </w:r>
      <w:r>
        <w:tab/>
        <w:t>Matters relating to variation and notice not to be included in residence contract</w:t>
      </w:r>
      <w:bookmarkEnd w:id="6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70" w:name="_Toc453072159"/>
      <w:r>
        <w:rPr>
          <w:rStyle w:val="CharSectno"/>
        </w:rPr>
        <w:t>7K</w:t>
      </w:r>
      <w:r>
        <w:t>.</w:t>
      </w:r>
      <w:r>
        <w:tab/>
        <w:t>Financial matters not to be included in residence contract</w:t>
      </w:r>
      <w:bookmarkEnd w:id="7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71" w:name="_Toc453072160"/>
      <w:r>
        <w:rPr>
          <w:rStyle w:val="CharSectno"/>
        </w:rPr>
        <w:t>7L</w:t>
      </w:r>
      <w:r>
        <w:t>.</w:t>
      </w:r>
      <w:r>
        <w:tab/>
        <w:t>Application of section 6(2) of the Act</w:t>
      </w:r>
      <w:bookmarkEnd w:id="7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72" w:name="_Toc414890093"/>
      <w:bookmarkStart w:id="73" w:name="_Toc414973531"/>
      <w:bookmarkStart w:id="74" w:name="_Toc431393587"/>
      <w:bookmarkStart w:id="75" w:name="_Toc431393897"/>
      <w:bookmarkStart w:id="76" w:name="_Toc442446455"/>
      <w:bookmarkStart w:id="77" w:name="_Toc446511788"/>
      <w:bookmarkStart w:id="78" w:name="_Toc446512503"/>
      <w:bookmarkStart w:id="79" w:name="_Toc446514100"/>
      <w:bookmarkStart w:id="80" w:name="_Toc453072161"/>
      <w:r>
        <w:rPr>
          <w:rStyle w:val="CharPartNo"/>
        </w:rPr>
        <w:t>Part 3</w:t>
      </w:r>
      <w:r>
        <w:rPr>
          <w:b w:val="0"/>
        </w:rPr>
        <w:t> </w:t>
      </w:r>
      <w:r>
        <w:t>—</w:t>
      </w:r>
      <w:r>
        <w:rPr>
          <w:b w:val="0"/>
        </w:rPr>
        <w:t> </w:t>
      </w:r>
      <w:r>
        <w:rPr>
          <w:rStyle w:val="CharPartText"/>
        </w:rPr>
        <w:t>Abandoned goods</w:t>
      </w:r>
      <w:bookmarkEnd w:id="72"/>
      <w:bookmarkEnd w:id="73"/>
      <w:bookmarkEnd w:id="74"/>
      <w:bookmarkEnd w:id="75"/>
      <w:bookmarkEnd w:id="76"/>
      <w:bookmarkEnd w:id="77"/>
      <w:bookmarkEnd w:id="78"/>
      <w:bookmarkEnd w:id="79"/>
      <w:bookmarkEnd w:id="80"/>
    </w:p>
    <w:p>
      <w:pPr>
        <w:pStyle w:val="Footnoteheading"/>
        <w:rPr>
          <w:snapToGrid w:val="0"/>
        </w:rPr>
      </w:pPr>
      <w:r>
        <w:tab/>
        <w:t>[Heading inserted in Gazette 24 Mar 2015 p. 1026.]</w:t>
      </w:r>
    </w:p>
    <w:p>
      <w:pPr>
        <w:pStyle w:val="Heading5"/>
        <w:rPr>
          <w:snapToGrid w:val="0"/>
        </w:rPr>
      </w:pPr>
      <w:bookmarkStart w:id="81" w:name="_Toc383159663"/>
      <w:bookmarkStart w:id="82" w:name="_Toc453072162"/>
      <w:r>
        <w:rPr>
          <w:rStyle w:val="CharSectno"/>
        </w:rPr>
        <w:t>7</w:t>
      </w:r>
      <w:r>
        <w:rPr>
          <w:snapToGrid w:val="0"/>
        </w:rPr>
        <w:t>.</w:t>
      </w:r>
      <w:r>
        <w:rPr>
          <w:snapToGrid w:val="0"/>
        </w:rPr>
        <w:tab/>
        <w:t>Disposal of abandoned goods</w:t>
      </w:r>
      <w:bookmarkEnd w:id="81"/>
      <w:bookmarkEnd w:id="82"/>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83" w:name="_Toc383159664"/>
      <w:bookmarkStart w:id="84" w:name="_Toc453072163"/>
      <w:r>
        <w:rPr>
          <w:rStyle w:val="CharSectno"/>
        </w:rPr>
        <w:t>8</w:t>
      </w:r>
      <w:r>
        <w:rPr>
          <w:snapToGrid w:val="0"/>
        </w:rPr>
        <w:t>.</w:t>
      </w:r>
      <w:r>
        <w:rPr>
          <w:snapToGrid w:val="0"/>
        </w:rPr>
        <w:tab/>
        <w:t>Proceeds of sale of abandoned goods</w:t>
      </w:r>
      <w:bookmarkEnd w:id="83"/>
      <w:bookmarkEnd w:id="84"/>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85" w:name="_Toc414890096"/>
      <w:bookmarkStart w:id="86" w:name="_Toc414973534"/>
      <w:bookmarkStart w:id="87" w:name="_Toc431393590"/>
      <w:bookmarkStart w:id="88" w:name="_Toc431393900"/>
      <w:bookmarkStart w:id="89" w:name="_Toc442446458"/>
      <w:bookmarkStart w:id="90" w:name="_Toc446511791"/>
      <w:bookmarkStart w:id="91" w:name="_Toc446512506"/>
      <w:bookmarkStart w:id="92" w:name="_Toc446514103"/>
      <w:bookmarkStart w:id="93" w:name="_Toc453072164"/>
      <w:r>
        <w:rPr>
          <w:rStyle w:val="CharPartNo"/>
        </w:rPr>
        <w:t>Part 4</w:t>
      </w:r>
      <w:r>
        <w:rPr>
          <w:b w:val="0"/>
        </w:rPr>
        <w:t> </w:t>
      </w:r>
      <w:r>
        <w:t>—</w:t>
      </w:r>
      <w:r>
        <w:rPr>
          <w:b w:val="0"/>
        </w:rPr>
        <w:t> </w:t>
      </w:r>
      <w:r>
        <w:rPr>
          <w:rStyle w:val="CharPartText"/>
        </w:rPr>
        <w:t>Other matters</w:t>
      </w:r>
      <w:bookmarkEnd w:id="85"/>
      <w:bookmarkEnd w:id="86"/>
      <w:bookmarkEnd w:id="87"/>
      <w:bookmarkEnd w:id="88"/>
      <w:bookmarkEnd w:id="89"/>
      <w:bookmarkEnd w:id="90"/>
      <w:bookmarkEnd w:id="91"/>
      <w:bookmarkEnd w:id="92"/>
      <w:bookmarkEnd w:id="93"/>
    </w:p>
    <w:p>
      <w:pPr>
        <w:pStyle w:val="Footnoteheading"/>
      </w:pPr>
      <w:r>
        <w:tab/>
        <w:t>[Heading inserted in Gazette 24 Mar 2015 p. 1026.]</w:t>
      </w:r>
    </w:p>
    <w:p>
      <w:pPr>
        <w:pStyle w:val="Heading5"/>
      </w:pPr>
      <w:bookmarkStart w:id="94" w:name="_Toc383159665"/>
      <w:bookmarkStart w:id="95" w:name="_Toc453072165"/>
      <w:r>
        <w:rPr>
          <w:rStyle w:val="CharSectno"/>
        </w:rPr>
        <w:t>9</w:t>
      </w:r>
      <w:r>
        <w:t>.</w:t>
      </w:r>
      <w:r>
        <w:tab/>
        <w:t>Former resident’s liability to pay recurrent charges (Act s. 23(3))</w:t>
      </w:r>
      <w:bookmarkEnd w:id="94"/>
      <w:bookmarkEnd w:id="9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96" w:name="_Toc383159666"/>
      <w:bookmarkStart w:id="97" w:name="_Toc453072166"/>
      <w:r>
        <w:rPr>
          <w:rStyle w:val="CharSectno"/>
        </w:rPr>
        <w:t>10</w:t>
      </w:r>
      <w:r>
        <w:t>.</w:t>
      </w:r>
      <w:r>
        <w:tab/>
        <w:t>Interest payable on recurrent charges (Act s. 24(5))</w:t>
      </w:r>
      <w:bookmarkEnd w:id="96"/>
      <w:bookmarkEnd w:id="97"/>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98" w:name="_Toc383159667"/>
      <w:bookmarkStart w:id="99" w:name="_Toc453072167"/>
      <w:r>
        <w:rPr>
          <w:rStyle w:val="CharSectno"/>
        </w:rPr>
        <w:t>11</w:t>
      </w:r>
      <w:r>
        <w:t>.</w:t>
      </w:r>
      <w:r>
        <w:tab/>
        <w:t>Matters in respect of which administering body is not to require payment (Act s. 25)</w:t>
      </w:r>
      <w:bookmarkEnd w:id="98"/>
      <w:bookmarkEnd w:id="9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100" w:name="_Toc383159668"/>
      <w:bookmarkStart w:id="101" w:name="_Toc453072168"/>
      <w:r>
        <w:rPr>
          <w:rStyle w:val="CharSectno"/>
        </w:rPr>
        <w:t>12</w:t>
      </w:r>
      <w:r>
        <w:t>.</w:t>
      </w:r>
      <w:r>
        <w:tab/>
        <w:t>Exemption certificates (Act s. 77C)</w:t>
      </w:r>
      <w:bookmarkEnd w:id="100"/>
      <w:bookmarkEnd w:id="101"/>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pStyle w:val="Heading5"/>
      </w:pPr>
      <w:bookmarkStart w:id="102" w:name="_Toc453072169"/>
      <w:r>
        <w:t>13.</w:t>
      </w:r>
      <w:r>
        <w:tab/>
        <w:t>Transitional provision — section 13 statement</w:t>
      </w:r>
      <w:bookmarkEnd w:id="10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in Gazette 23 Mar 2016 p. 866.]</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03" w:name="AautoSch"/>
      <w:bookmarkStart w:id="104" w:name="_Toc383093682"/>
      <w:bookmarkStart w:id="105" w:name="_Toc383093698"/>
      <w:bookmarkStart w:id="106" w:name="_Toc383093903"/>
      <w:bookmarkStart w:id="107" w:name="_Toc383159669"/>
      <w:bookmarkStart w:id="108" w:name="_Toc414889010"/>
      <w:bookmarkStart w:id="109" w:name="_Toc414889049"/>
      <w:bookmarkStart w:id="110" w:name="_Toc414890101"/>
      <w:bookmarkStart w:id="111" w:name="_Toc414973539"/>
      <w:bookmarkStart w:id="112" w:name="_Toc431393595"/>
      <w:bookmarkStart w:id="113" w:name="_Toc431393905"/>
      <w:bookmarkStart w:id="114" w:name="_Toc442446464"/>
      <w:bookmarkStart w:id="115" w:name="_Toc446511797"/>
      <w:bookmarkStart w:id="116" w:name="_Toc446512512"/>
      <w:bookmarkStart w:id="117" w:name="_Toc446514109"/>
      <w:bookmarkStart w:id="118" w:name="_Toc453072170"/>
      <w:bookmarkEnd w:id="103"/>
      <w:r>
        <w:rPr>
          <w:rStyle w:val="CharSchNo"/>
        </w:rPr>
        <w:t>Schedule 1</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 xml:space="preserve"> </w:t>
      </w:r>
    </w:p>
    <w:p>
      <w:pPr>
        <w:pStyle w:val="yHeading2"/>
        <w:outlineLvl w:val="9"/>
        <w:rPr>
          <w:b w:val="0"/>
          <w:snapToGrid/>
          <w:sz w:val="24"/>
        </w:rPr>
      </w:pPr>
      <w:bookmarkStart w:id="119" w:name="_Toc383093683"/>
      <w:bookmarkStart w:id="120" w:name="_Toc383093699"/>
      <w:bookmarkStart w:id="121" w:name="_Toc383093904"/>
      <w:bookmarkStart w:id="122" w:name="_Toc383159670"/>
      <w:bookmarkStart w:id="123" w:name="_Toc414889011"/>
      <w:bookmarkStart w:id="124" w:name="_Toc414889050"/>
      <w:bookmarkStart w:id="125" w:name="_Toc414890102"/>
      <w:bookmarkStart w:id="126" w:name="_Toc414973540"/>
      <w:bookmarkStart w:id="127" w:name="_Toc431393596"/>
      <w:bookmarkStart w:id="128" w:name="_Toc431393906"/>
      <w:bookmarkStart w:id="129" w:name="_Toc442446465"/>
      <w:bookmarkStart w:id="130" w:name="_Toc446511798"/>
      <w:bookmarkStart w:id="131" w:name="_Toc446512513"/>
      <w:bookmarkStart w:id="132" w:name="_Toc446514110"/>
      <w:bookmarkStart w:id="133" w:name="_Toc453072171"/>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b w:val="0"/>
          <w:snapToGrid/>
          <w:sz w:val="24"/>
        </w:rPr>
        <w:t xml:space="preserve"> </w:t>
      </w:r>
    </w:p>
    <w:p>
      <w:pPr>
        <w:pStyle w:val="yMiscellaneousHeading"/>
        <w:rPr>
          <w:b/>
          <w:snapToGrid w:val="0"/>
        </w:rPr>
      </w:pPr>
      <w:r>
        <w:rPr>
          <w:b/>
          <w:snapToGrid w:val="0"/>
        </w:rPr>
        <w:t>Form 1</w:t>
      </w:r>
    </w:p>
    <w:p>
      <w:pPr>
        <w:pStyle w:val="yMiscellaneousHeading"/>
        <w:rPr>
          <w:i/>
          <w:snapToGrid w:val="0"/>
        </w:rPr>
      </w:pPr>
      <w:r>
        <w:rPr>
          <w:i/>
          <w:snapToGrid w:val="0"/>
        </w:rPr>
        <w:t>Retirement Villages Act 1992</w:t>
      </w:r>
    </w:p>
    <w:p>
      <w:pPr>
        <w:pStyle w:val="yShoulderClause"/>
        <w:rPr>
          <w:snapToGrid w:val="0"/>
        </w:rPr>
      </w:pPr>
      <w:r>
        <w:rPr>
          <w:snapToGrid w:val="0"/>
        </w:rPr>
        <w:t>[r. 4(a)]</w:t>
      </w:r>
    </w:p>
    <w:p>
      <w:pPr>
        <w:pStyle w:val="yMiscellaneousHeading"/>
        <w:rPr>
          <w:b/>
          <w:snapToGrid w:val="0"/>
        </w:rPr>
      </w:pPr>
      <w:r>
        <w:rPr>
          <w:b/>
          <w:snapToGrid w:val="0"/>
        </w:rPr>
        <w:t>Information statement for prospective resident</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 xml:space="preserve">THE OWNER MUST ANSWER EACH OF THE FOLLOWING QUESTIONS IN WRITING BELOW EACH QUESTION — </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rPr>
          <w:b/>
          <w:snapToGrid w:val="0"/>
        </w:rPr>
      </w:pPr>
      <w:r>
        <w:rPr>
          <w:b/>
          <w:snapToGrid w:val="0"/>
        </w:rPr>
        <w:t>Disclosure statement for prospective resident</w:t>
      </w:r>
    </w:p>
    <w:p>
      <w:pPr>
        <w:pStyle w:val="yMiscellaneousBody"/>
        <w:ind w:left="284"/>
      </w:pPr>
      <w:r>
        <w:t>The owner, or a person authorised to act on behalf of the owner, must complete all sections of this disclosure statement in writing.</w:t>
      </w:r>
    </w:p>
    <w:p>
      <w:pPr>
        <w:pStyle w:val="yMiscellaneousBody"/>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(individual/company/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individual/company/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 of how much visitors parking is available:</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section 75(1)]</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rPr>
          <w:cantSplit/>
          <w:trHeight w:val="20"/>
        </w:trPr>
        <w:tc>
          <w:tcPr>
            <w:tcW w:w="567" w:type="dxa"/>
            <w:tcBorders>
              <w:top w:val="single" w:sz="4" w:space="0" w:color="auto"/>
              <w:bottom w:val="nil"/>
            </w:tcBorders>
          </w:tcPr>
          <w:p>
            <w:pPr>
              <w:pStyle w:val="yTableNAm"/>
            </w:pPr>
            <w:r>
              <w:rPr>
                <w:sz w:val="24"/>
              </w:rPr>
              <w:br w:type="page"/>
            </w:r>
            <w:r>
              <w:t>A</w:t>
            </w:r>
          </w:p>
        </w:tc>
        <w:tc>
          <w:tcPr>
            <w:tcW w:w="2126" w:type="dxa"/>
            <w:gridSpan w:val="5"/>
            <w:tcBorders>
              <w:top w:val="single" w:sz="4" w:space="0" w:color="auto"/>
              <w:bottom w:val="nil"/>
            </w:tcBorders>
          </w:tcPr>
          <w:p>
            <w:pPr>
              <w:pStyle w:val="yTableNAm"/>
            </w:pPr>
            <w:r>
              <w:t>To live in the village, the prospective resident will be required to pay the following amounts:</w:t>
            </w:r>
          </w:p>
          <w:p>
            <w:pPr>
              <w:pStyle w:val="yTableNAm"/>
              <w:rPr>
                <w:i/>
              </w:rPr>
            </w:pPr>
            <w:r>
              <w:rPr>
                <w:i/>
              </w:rPr>
              <w:t>Tick whether the following amounts apply to:</w:t>
            </w:r>
          </w:p>
          <w:p>
            <w:pPr>
              <w:pStyle w:val="yTableNAm"/>
              <w:ind w:left="583" w:hanging="583"/>
            </w:pPr>
            <w:r>
              <w:rPr>
                <w:sz w:val="28"/>
                <w:szCs w:val="28"/>
              </w:rPr>
              <w:sym w:font="Wingdings 2" w:char="F0A3"/>
            </w:r>
            <w:r>
              <w:tab/>
              <w:t>single occupant</w:t>
            </w:r>
          </w:p>
          <w:p>
            <w:pPr>
              <w:pStyle w:val="yTableNAm"/>
              <w:ind w:left="583" w:hanging="583"/>
            </w:pPr>
            <w:r>
              <w:rPr>
                <w:sz w:val="28"/>
                <w:szCs w:val="28"/>
              </w:rPr>
              <w:sym w:font="Wingdings 2" w:char="F0A3"/>
            </w:r>
            <w:r>
              <w:tab/>
              <w:t>couple</w:t>
            </w:r>
          </w:p>
        </w:tc>
        <w:tc>
          <w:tcPr>
            <w:tcW w:w="4111" w:type="dxa"/>
            <w:gridSpan w:val="18"/>
            <w:tcBorders>
              <w:top w:val="single" w:sz="4" w:space="0" w:color="auto"/>
              <w:bottom w:val="nil"/>
            </w:tcBorders>
          </w:tcPr>
          <w:p>
            <w:pPr>
              <w:pStyle w:val="yTableNAm"/>
            </w:pPr>
            <w:r>
              <w:rPr>
                <w:i/>
              </w:rPr>
              <w:t>Tick those costs that apply:</w:t>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Recurrent charges </w:t>
            </w:r>
            <w:r>
              <w:rPr>
                <w:szCs w:val="22"/>
                <w:vertAlign w:val="superscript"/>
              </w:rPr>
              <w:t>4</w:t>
            </w:r>
            <w:r>
              <w:rPr>
                <w:szCs w:val="22"/>
              </w:rPr>
              <w:t xml:space="preserve"> per </w:t>
            </w:r>
            <w:r>
              <w:rPr>
                <w:szCs w:val="22"/>
              </w:rPr>
              <w:br/>
            </w:r>
            <w:r>
              <w:rPr>
                <w:i/>
                <w:szCs w:val="22"/>
              </w:rPr>
              <w:t>[week/fortnight/month]</w:t>
            </w:r>
            <w:r>
              <w:rPr>
                <w:szCs w:val="22"/>
              </w:rPr>
              <w:tab/>
              <w:t>$</w:t>
            </w:r>
            <w:r>
              <w:rPr>
                <w:szCs w:val="22"/>
              </w:rPr>
              <w:tab/>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Reserve fund </w:t>
            </w:r>
            <w:r>
              <w:rPr>
                <w:szCs w:val="22"/>
                <w:vertAlign w:val="superscript"/>
              </w:rPr>
              <w:t>5</w:t>
            </w:r>
            <w:r>
              <w:rPr>
                <w:szCs w:val="22"/>
              </w:rPr>
              <w:t xml:space="preserve"> charge per </w:t>
            </w:r>
            <w:r>
              <w:rPr>
                <w:szCs w:val="22"/>
              </w:rPr>
              <w:br/>
            </w:r>
            <w:r>
              <w:rPr>
                <w:i/>
                <w:szCs w:val="22"/>
              </w:rPr>
              <w:t>[week/fortnight/month]</w:t>
            </w:r>
            <w:r>
              <w:rPr>
                <w:szCs w:val="22"/>
              </w:rPr>
              <w:tab/>
              <w:t xml:space="preserve">$ </w:t>
            </w:r>
            <w:r>
              <w:rPr>
                <w:szCs w:val="22"/>
              </w:rPr>
              <w:tab/>
            </w:r>
          </w:p>
          <w:p>
            <w:pPr>
              <w:pStyle w:val="yTableNAm"/>
              <w:rPr>
                <w:i/>
              </w:rPr>
            </w:pPr>
            <w:r>
              <w:rPr>
                <w:i/>
              </w:rPr>
              <w:t>[Provide further information about reserve fund contributions at item 11]</w:t>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Any other charges per </w:t>
            </w:r>
            <w:r>
              <w:rPr>
                <w:szCs w:val="22"/>
              </w:rPr>
              <w:br/>
            </w:r>
            <w:r>
              <w:rPr>
                <w:i/>
                <w:szCs w:val="22"/>
              </w:rPr>
              <w:t>[week/fortnight/month]</w:t>
            </w:r>
            <w:r>
              <w:rPr>
                <w:szCs w:val="22"/>
              </w:rPr>
              <w:tab/>
              <w:t xml:space="preserve">$ </w:t>
            </w:r>
            <w:r>
              <w:rPr>
                <w:szCs w:val="22"/>
              </w:rPr>
              <w:tab/>
            </w:r>
          </w:p>
          <w:p>
            <w:pPr>
              <w:pStyle w:val="yTableNAm"/>
              <w:tabs>
                <w:tab w:val="left" w:pos="2727"/>
                <w:tab w:val="right" w:leader="dot" w:pos="3734"/>
              </w:tabs>
              <w:ind w:left="584" w:hanging="584"/>
              <w:rPr>
                <w:szCs w:val="22"/>
              </w:rPr>
            </w:pPr>
            <w:r>
              <w:rPr>
                <w:szCs w:val="22"/>
              </w:rPr>
              <w:tab/>
            </w:r>
            <w:r>
              <w:rPr>
                <w:i/>
                <w:szCs w:val="22"/>
              </w:rPr>
              <w:t>[specify other charges]</w:t>
            </w:r>
            <w:r>
              <w:rPr>
                <w:szCs w:val="22"/>
              </w:rPr>
              <w:tab/>
              <w:t xml:space="preserve">$ </w:t>
            </w:r>
            <w:r>
              <w:rPr>
                <w:szCs w:val="22"/>
              </w:rPr>
              <w:tab/>
            </w:r>
          </w:p>
        </w:tc>
      </w:tr>
      <w:tr>
        <w:trPr>
          <w:cantSplit/>
          <w:trHeight w:val="1134"/>
        </w:trPr>
        <w:tc>
          <w:tcPr>
            <w:tcW w:w="567" w:type="dxa"/>
            <w:tcBorders>
              <w:top w:val="nil"/>
              <w:bottom w:val="single" w:sz="4" w:space="0" w:color="auto"/>
            </w:tcBorders>
          </w:tcPr>
          <w:p>
            <w:pPr>
              <w:pStyle w:val="zyTableNAm"/>
              <w:rPr>
                <w:sz w:val="24"/>
              </w:rPr>
            </w:pPr>
          </w:p>
        </w:tc>
        <w:tc>
          <w:tcPr>
            <w:tcW w:w="2126" w:type="dxa"/>
            <w:gridSpan w:val="5"/>
            <w:tcBorders>
              <w:top w:val="nil"/>
              <w:bottom w:val="single" w:sz="4" w:space="0" w:color="auto"/>
            </w:tcBorders>
          </w:tcPr>
          <w:p>
            <w:pPr>
              <w:pStyle w:val="yTableNAm"/>
              <w:ind w:left="583" w:hanging="583"/>
            </w:pPr>
            <w:r>
              <w:rPr>
                <w:sz w:val="28"/>
                <w:szCs w:val="28"/>
              </w:rPr>
              <w:sym w:font="Wingdings 2" w:char="F0A3"/>
            </w:r>
            <w:r>
              <w:tab/>
              <w:t>not dependent on single / couple occupancy</w:t>
            </w:r>
          </w:p>
          <w:p>
            <w:pPr>
              <w:pStyle w:val="yTableNAm"/>
            </w:pPr>
          </w:p>
          <w:p>
            <w:pPr>
              <w:pStyle w:val="yTableNAm"/>
            </w:pPr>
            <w:r>
              <w:t>NB: The amount may vary each financial year depending on operating expenses.</w:t>
            </w:r>
          </w:p>
        </w:tc>
        <w:tc>
          <w:tcPr>
            <w:tcW w:w="4111" w:type="dxa"/>
            <w:gridSpan w:val="18"/>
            <w:tcBorders>
              <w:top w:val="nil"/>
              <w:bottom w:val="single" w:sz="4" w:space="0" w:color="auto"/>
            </w:tcBorders>
          </w:tcPr>
          <w:p>
            <w:pPr>
              <w:pStyle w:val="yTableNAm"/>
            </w:pPr>
          </w:p>
          <w:p>
            <w:pPr>
              <w:pStyle w:val="yTableNAm"/>
              <w:tabs>
                <w:tab w:val="clear" w:pos="567"/>
                <w:tab w:val="left" w:pos="431"/>
                <w:tab w:val="left" w:leader="dot" w:pos="2019"/>
                <w:tab w:val="right" w:leader="dot" w:pos="3741"/>
              </w:tabs>
            </w:pPr>
            <w:r>
              <w:tab/>
            </w:r>
            <w:r>
              <w:tab/>
              <w:t xml:space="preserve"> $</w:t>
            </w:r>
            <w:r>
              <w:tab/>
            </w:r>
          </w:p>
          <w:p>
            <w:pPr>
              <w:pStyle w:val="yTableNAm"/>
              <w:tabs>
                <w:tab w:val="clear" w:pos="567"/>
                <w:tab w:val="left" w:pos="431"/>
                <w:tab w:val="left" w:leader="dot" w:pos="2019"/>
                <w:tab w:val="right" w:leader="dot" w:pos="3741"/>
              </w:tabs>
            </w:pPr>
            <w:r>
              <w:tab/>
            </w:r>
            <w:r>
              <w:tab/>
              <w:t xml:space="preserve"> $</w:t>
            </w:r>
            <w:r>
              <w:tab/>
            </w:r>
          </w:p>
          <w:p>
            <w:pPr>
              <w:pStyle w:val="yTableNAm"/>
            </w:pPr>
          </w:p>
          <w:p>
            <w:pPr>
              <w:pStyle w:val="yTableNAm"/>
            </w:pPr>
            <w:r>
              <w:rPr>
                <w:b/>
              </w:rPr>
              <w:t>Total amount payable</w:t>
            </w:r>
          </w:p>
          <w:p>
            <w:pPr>
              <w:pStyle w:val="yTableNAm"/>
              <w:rPr>
                <w:i/>
              </w:rPr>
            </w:pPr>
            <w:r>
              <w:tab/>
            </w:r>
            <w:r>
              <w:rPr>
                <w:i/>
              </w:rPr>
              <w:t>[week/fortnight/month]</w:t>
            </w:r>
            <w:r>
              <w:tab/>
              <w:t>$ ..............</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Contents insurance [see also item 12]</w:t>
            </w:r>
          </w:p>
          <w:p>
            <w:pPr>
              <w:pStyle w:val="yTableNAm"/>
              <w:ind w:left="601" w:hanging="601"/>
            </w:pPr>
            <w:r>
              <w:rPr>
                <w:sz w:val="28"/>
                <w:szCs w:val="28"/>
              </w:rPr>
              <w:sym w:font="Wingdings 2" w:char="F0A3"/>
            </w:r>
            <w:r>
              <w:tab/>
              <w:t xml:space="preserve">Council rates </w:t>
            </w:r>
            <w:r>
              <w:rPr>
                <w:i/>
              </w:rPr>
              <w:t xml:space="preserve">[not applicable to all retirement villages </w:t>
            </w:r>
            <w:r>
              <w:rPr>
                <w:rFonts w:ascii="Times New Roman Italic" w:hAnsi="Times New Roman Italic"/>
                <w:i/>
                <w:vertAlign w:val="superscript"/>
              </w:rPr>
              <w:t>7</w:t>
            </w:r>
            <w:r>
              <w:rPr>
                <w:i/>
              </w:rP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contribute to an exit fee contribution to a reserve/sinking fund when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village is strata titled, include information about whether or not there is one or more sinking fund operating in relation to the village, for example one relating to the retirement village scheme under the Retirement Villages Act and one relating to the common property under the Strata Titles Act: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 between:</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tab/>
              <w:t xml:space="preserve">…….... am and …….... pm </w:t>
            </w:r>
            <w:r>
              <w:br/>
            </w:r>
            <w:r>
              <w:rPr>
                <w:i/>
              </w:rPr>
              <w:t>[number]</w:t>
            </w:r>
            <w: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community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community amenities.</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waiting list fee refundable?</w:t>
            </w:r>
          </w:p>
          <w:p>
            <w:pPr>
              <w:pStyle w:val="yTableNAm"/>
              <w:ind w:left="567" w:hanging="567"/>
            </w:pPr>
            <w:r>
              <w:rPr>
                <w:sz w:val="28"/>
                <w:szCs w:val="28"/>
              </w:rPr>
              <w:sym w:font="Wingdings 2" w:char="F0A3"/>
            </w:r>
            <w:r>
              <w:tab/>
              <w:t>on entry to the village?</w:t>
            </w:r>
          </w:p>
          <w:p>
            <w:pPr>
              <w:pStyle w:val="yTableNAm"/>
              <w:ind w:left="567" w:hanging="567"/>
            </w:pPr>
            <w:r>
              <w:rPr>
                <w:sz w:val="28"/>
                <w:szCs w:val="28"/>
              </w:rPr>
              <w:sym w:font="Wingdings 2" w:char="F0A3"/>
            </w:r>
            <w:r>
              <w:tab/>
              <w:t>if the resident decides not to move into the village?</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br/>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an ongoing contribution paid 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 for 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Act 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w:t>
      </w:r>
      <w:r>
        <w:rPr>
          <w:rFonts w:eastAsiaTheme="minorHAnsi"/>
          <w:sz w:val="18"/>
          <w:szCs w:val="18"/>
        </w:rPr>
        <w:t xml:space="preserve"> work means maintenance, repair, replacement or renovation work carried out in respect of residential premises that return the residential premises to a reasonable condition (</w:t>
      </w:r>
      <w:r>
        <w:rPr>
          <w:rFonts w:eastAsiaTheme="minorHAnsi"/>
          <w:i/>
          <w:sz w:val="18"/>
          <w:szCs w:val="18"/>
        </w:rPr>
        <w:t>Fair Trading (Retirement Villages Code) Regulations 2015</w:t>
      </w:r>
      <w:r>
        <w:rPr>
          <w:rFonts w:eastAsiaTheme="minorHAnsi"/>
          <w:sz w:val="18"/>
          <w:szCs w:val="18"/>
        </w:rPr>
        <w:t xml:space="preserve"> 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 2015</w:t>
      </w:r>
      <w:r>
        <w:rPr>
          <w:rFonts w:eastAsiaTheme="minorHAnsi"/>
          <w:sz w:val="18"/>
          <w:szCs w:val="18"/>
        </w:rPr>
        <w:t xml:space="preserve"> 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See footnote 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See footnote 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Relevant contract clauses or residence rules clauses that apply to restrictions or conditions of use of residential premises and personal and community amenities.</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in Gazette 23 Mar 2016 p. 867</w:t>
      </w:r>
      <w:r>
        <w:noBreakHyphen/>
        <w:t>903.]</w:t>
      </w:r>
    </w:p>
    <w:p>
      <w:pPr>
        <w:pStyle w:val="yMiscellaneousHeading"/>
        <w:rPr>
          <w:b/>
          <w:snapToGrid w:val="0"/>
        </w:rPr>
      </w:pPr>
      <w:r>
        <w:rPr>
          <w:b/>
          <w:snapToGrid w:val="0"/>
        </w:rPr>
        <w:t>Form 1A</w:t>
      </w:r>
    </w:p>
    <w:p>
      <w:pPr>
        <w:pStyle w:val="yMiscellaneousHeading"/>
        <w:rPr>
          <w:i/>
          <w:snapToGrid w:val="0"/>
        </w:rPr>
      </w:pPr>
      <w:r>
        <w:rPr>
          <w:i/>
          <w:snapToGrid w:val="0"/>
        </w:rPr>
        <w:t>Retirement Villages Act 1992</w:t>
      </w:r>
    </w:p>
    <w:p>
      <w:pPr>
        <w:pStyle w:val="zyMiscellaneousHeading"/>
        <w:jc w:val="right"/>
        <w:rPr>
          <w:bCs/>
        </w:rPr>
      </w:pPr>
      <w:r>
        <w:rPr>
          <w:bCs/>
        </w:rPr>
        <w:t>[r. 4(b)]</w:t>
      </w:r>
    </w:p>
    <w:p>
      <w:pPr>
        <w:pStyle w:val="yMiscellaneousHeading"/>
        <w:rPr>
          <w:b/>
          <w:snapToGrid w:val="0"/>
        </w:rPr>
      </w:pPr>
      <w:r>
        <w:rPr>
          <w:b/>
          <w:snapToGrid w:val="0"/>
        </w:rPr>
        <w:t>Information statement for prospective resident — short</w:t>
      </w:r>
      <w:r>
        <w:rPr>
          <w:b/>
          <w:snapToGrid w:val="0"/>
        </w:rPr>
        <w:noBreakHyphen/>
        <w:t>term residence contract</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 xml:space="preserve">THE OWNER MUST ANSWER EACH OF THE FOLLOWING QUESTIONS IN WRITING BELOW EACH QUESTION — </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rPr>
          <w:b/>
          <w:snapToGrid w:val="0"/>
        </w:rPr>
      </w:pPr>
      <w:r>
        <w:rPr>
          <w:b/>
          <w:snapToGrid w:val="0"/>
        </w:rPr>
        <w:t>Disclosure statement for prospective resident</w:t>
      </w:r>
    </w:p>
    <w:p>
      <w:pPr>
        <w:pStyle w:val="yMiscellaneousBody"/>
        <w:spacing w:after="120"/>
      </w:pPr>
      <w:r>
        <w:t>The owner, or a person authorised to act on behalf of the owner, must complete all sections of this disclosure statement in writing.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425"/>
        <w:gridCol w:w="567"/>
        <w:gridCol w:w="378"/>
        <w:gridCol w:w="712"/>
        <w:gridCol w:w="327"/>
        <w:gridCol w:w="473"/>
        <w:gridCol w:w="1516"/>
      </w:tblGrid>
      <w:tr>
        <w:trPr>
          <w:cantSplit/>
        </w:trPr>
        <w:tc>
          <w:tcPr>
            <w:tcW w:w="6946" w:type="dxa"/>
            <w:gridSpan w:val="10"/>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4"/>
          </w:tcPr>
          <w:p>
            <w:pPr>
              <w:pStyle w:val="yTableNAm"/>
            </w:pPr>
            <w:r>
              <w:t>Name of the retirement village</w:t>
            </w:r>
          </w:p>
        </w:tc>
        <w:tc>
          <w:tcPr>
            <w:tcW w:w="3402"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4"/>
          </w:tcPr>
          <w:p>
            <w:pPr>
              <w:pStyle w:val="yTableNAm"/>
            </w:pPr>
            <w:r>
              <w:t>Address of the retirement village</w:t>
            </w:r>
          </w:p>
        </w:tc>
        <w:tc>
          <w:tcPr>
            <w:tcW w:w="3402"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4"/>
          </w:tcPr>
          <w:p>
            <w:pPr>
              <w:pStyle w:val="yTableNAm"/>
            </w:pPr>
            <w:r>
              <w:t>Has this village commenced operation?</w:t>
            </w:r>
          </w:p>
        </w:tc>
        <w:tc>
          <w:tcPr>
            <w:tcW w:w="3402"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4"/>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2"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4"/>
          </w:tcPr>
          <w:p>
            <w:pPr>
              <w:pStyle w:val="yTableNAm"/>
            </w:pPr>
            <w:r>
              <w:rPr>
                <w:b/>
              </w:rPr>
              <w:t>Aged care facility</w:t>
            </w:r>
          </w:p>
          <w:p>
            <w:pPr>
              <w:pStyle w:val="yTableNAm"/>
            </w:pPr>
            <w:r>
              <w:t>Is there an aged care facility adjacent to the village?</w:t>
            </w:r>
          </w:p>
        </w:tc>
        <w:tc>
          <w:tcPr>
            <w:tcW w:w="3402"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46" w:type="dxa"/>
            <w:gridSpan w:val="10"/>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46" w:type="dxa"/>
            <w:gridSpan w:val="10"/>
          </w:tcPr>
          <w:p>
            <w:pPr>
              <w:pStyle w:val="yTableNAm"/>
            </w:pPr>
            <w:r>
              <w:rPr>
                <w:b/>
              </w:rPr>
              <w:t>2.</w:t>
            </w:r>
            <w:r>
              <w:rPr>
                <w:b/>
              </w:rPr>
              <w:tab/>
              <w:t>Owner administering body/management of the retirement village</w:t>
            </w:r>
          </w:p>
        </w:tc>
      </w:tr>
      <w:tr>
        <w:trPr>
          <w:cantSplit/>
        </w:trPr>
        <w:tc>
          <w:tcPr>
            <w:tcW w:w="567" w:type="dxa"/>
          </w:tcPr>
          <w:p>
            <w:pPr>
              <w:pStyle w:val="yTableNAm"/>
            </w:pPr>
            <w:r>
              <w:t>A</w:t>
            </w:r>
          </w:p>
        </w:tc>
        <w:tc>
          <w:tcPr>
            <w:tcW w:w="2977" w:type="dxa"/>
            <w:gridSpan w:val="4"/>
          </w:tcPr>
          <w:p>
            <w:pPr>
              <w:pStyle w:val="yTableNAm"/>
            </w:pPr>
            <w:r>
              <w:rPr>
                <w:b/>
              </w:rPr>
              <w:t>Owner:</w:t>
            </w:r>
          </w:p>
          <w:p>
            <w:pPr>
              <w:pStyle w:val="yTableNAm"/>
            </w:pPr>
            <w:r>
              <w:t>Details of the owner of the land on which the retirement village facilities are located (individual/company/ organisation):</w:t>
            </w:r>
          </w:p>
        </w:tc>
        <w:tc>
          <w:tcPr>
            <w:tcW w:w="3402"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4"/>
          </w:tcPr>
          <w:p>
            <w:pPr>
              <w:pStyle w:val="yTableNAm"/>
            </w:pPr>
            <w:r>
              <w:rPr>
                <w:b/>
              </w:rPr>
              <w:t>Administering body:</w:t>
            </w:r>
            <w:r>
              <w:t xml:space="preserve"> </w:t>
            </w:r>
          </w:p>
          <w:p>
            <w:pPr>
              <w:pStyle w:val="yTableNAm"/>
            </w:pPr>
            <w:r>
              <w:t>If the village is administered by a person or entity other than the owner of the land, the details of that individual/company/ organisation.</w:t>
            </w:r>
          </w:p>
        </w:tc>
        <w:tc>
          <w:tcPr>
            <w:tcW w:w="3402"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4"/>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2"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46" w:type="dxa"/>
            <w:gridSpan w:val="10"/>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4"/>
          </w:tcPr>
          <w:p>
            <w:pPr>
              <w:pStyle w:val="yTableNAm"/>
            </w:pPr>
            <w:r>
              <w:t>The type of residential premises is:</w:t>
            </w:r>
          </w:p>
        </w:tc>
        <w:tc>
          <w:tcPr>
            <w:tcW w:w="3402"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Other [specify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4"/>
          </w:tcPr>
          <w:p>
            <w:pPr>
              <w:pStyle w:val="yTableNAm"/>
            </w:pPr>
            <w:r>
              <w:t>The term of occupancy:</w:t>
            </w:r>
          </w:p>
        </w:tc>
        <w:tc>
          <w:tcPr>
            <w:tcW w:w="3402"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With [tick the box that applies, if any]</w:t>
            </w:r>
            <w:r>
              <w:rPr>
                <w:i/>
                <w:vertAlign w:val="superscript"/>
              </w:rPr>
              <w:t xml:space="preserve"> 1</w:t>
            </w:r>
            <w:r>
              <w:t>:</w:t>
            </w:r>
          </w:p>
          <w:p>
            <w:pPr>
              <w:pStyle w:val="yTableNAm"/>
              <w:tabs>
                <w:tab w:val="right" w:leader="dot" w:pos="3010"/>
              </w:tabs>
              <w:ind w:left="588" w:hanging="554"/>
            </w:pPr>
            <w:r>
              <w:rPr>
                <w:sz w:val="28"/>
                <w:szCs w:val="28"/>
              </w:rPr>
              <w:sym w:font="Wingdings 2" w:char="F0A3"/>
            </w:r>
            <w:r>
              <w:tab/>
              <w:t>an option to renew or vary the residence contract on the same terms</w:t>
            </w:r>
          </w:p>
          <w:p>
            <w:pPr>
              <w:pStyle w:val="yTableNAm"/>
              <w:tabs>
                <w:tab w:val="right" w:leader="dot" w:pos="3010"/>
              </w:tabs>
              <w:ind w:left="588" w:hanging="554"/>
            </w:pPr>
            <w:r>
              <w:rPr>
                <w:sz w:val="28"/>
                <w:szCs w:val="28"/>
              </w:rPr>
              <w:sym w:font="Wingdings 2" w:char="F0A3"/>
            </w:r>
            <w:r>
              <w:tab/>
              <w:t>an option to move to a periodic tenancy on the same terms at the end of the fixed period</w:t>
            </w:r>
          </w:p>
          <w:p>
            <w:pPr>
              <w:pStyle w:val="yTableNAm"/>
              <w:tabs>
                <w:tab w:val="right" w:leader="dot" w:pos="3010"/>
              </w:tabs>
              <w:ind w:left="588" w:hanging="554"/>
            </w:pPr>
            <w:r>
              <w:rPr>
                <w:sz w:val="28"/>
                <w:szCs w:val="28"/>
              </w:rPr>
              <w:sym w:font="Wingdings 2" w:char="F0A3"/>
            </w:r>
            <w:r>
              <w:tab/>
              <w:t>an option to move to a new fixed term tenancy on the same terms at the end of the term</w:t>
            </w:r>
          </w:p>
        </w:tc>
      </w:tr>
      <w:tr>
        <w:trPr>
          <w:cantSplit/>
        </w:trPr>
        <w:tc>
          <w:tcPr>
            <w:tcW w:w="6946" w:type="dxa"/>
            <w:gridSpan w:val="10"/>
            <w:tcBorders>
              <w:bottom w:val="single" w:sz="4" w:space="0" w:color="auto"/>
            </w:tcBorders>
          </w:tcPr>
          <w:p>
            <w:pPr>
              <w:pStyle w:val="yTableNAm"/>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4"/>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2"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 how much visitors parking is available:</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4"/>
            <w:tcBorders>
              <w:top w:val="nil"/>
              <w:bottom w:val="single" w:sz="4" w:space="0" w:color="auto"/>
            </w:tcBorders>
          </w:tcPr>
          <w:p>
            <w:pPr>
              <w:pStyle w:val="yTableNAm"/>
            </w:pPr>
            <w:r>
              <w:t>Are there any other arrangements in place for the parking of vehicles, caravans or boats?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46" w:type="dxa"/>
            <w:gridSpan w:val="10"/>
            <w:tcBorders>
              <w:top w:val="single" w:sz="4" w:space="0" w:color="auto"/>
              <w:bottom w:val="single" w:sz="4" w:space="0" w:color="auto"/>
            </w:tcBorders>
          </w:tcPr>
          <w:p>
            <w:pPr>
              <w:pStyle w:val="yTableNAm"/>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rPr>
          <w:cantSplit/>
        </w:trPr>
        <w:tc>
          <w:tcPr>
            <w:tcW w:w="567" w:type="dxa"/>
            <w:tcBorders>
              <w:top w:val="single" w:sz="4" w:space="0" w:color="auto"/>
              <w:bottom w:val="nil"/>
            </w:tcBorders>
          </w:tcPr>
          <w:p>
            <w:pPr>
              <w:pStyle w:val="yTableNAm"/>
            </w:pPr>
            <w:r>
              <w:t>A</w:t>
            </w:r>
          </w:p>
        </w:tc>
        <w:tc>
          <w:tcPr>
            <w:tcW w:w="1985" w:type="dxa"/>
            <w:gridSpan w:val="2"/>
            <w:tcBorders>
              <w:top w:val="single" w:sz="4" w:space="0" w:color="auto"/>
              <w:bottom w:val="nil"/>
            </w:tcBorders>
          </w:tcPr>
          <w:p>
            <w:pPr>
              <w:pStyle w:val="yTableNAm"/>
            </w:pPr>
            <w:r>
              <w:t>To live in the village, the prospective resident will be required to pay the following amounts:</w:t>
            </w:r>
          </w:p>
        </w:tc>
        <w:tc>
          <w:tcPr>
            <w:tcW w:w="4394" w:type="dxa"/>
            <w:gridSpan w:val="7"/>
            <w:tcBorders>
              <w:top w:val="single" w:sz="4" w:space="0" w:color="auto"/>
              <w:bottom w:val="nil"/>
            </w:tcBorders>
          </w:tcPr>
          <w:p>
            <w:pPr>
              <w:pStyle w:val="yTableNAm"/>
            </w:pPr>
            <w:r>
              <w:rPr>
                <w:i/>
              </w:rPr>
              <w:t>Tick each box that applies:</w:t>
            </w:r>
          </w:p>
          <w:p>
            <w:pPr>
              <w:pStyle w:val="yTableNAm"/>
              <w:ind w:left="569" w:hanging="569"/>
            </w:pPr>
            <w:r>
              <w:rPr>
                <w:sz w:val="28"/>
                <w:szCs w:val="28"/>
              </w:rPr>
              <w:sym w:font="Wingdings 2" w:char="F0A3"/>
            </w:r>
            <w:r>
              <w:tab/>
              <w:t xml:space="preserve">Recurrent charges </w:t>
            </w:r>
            <w:r>
              <w:rPr>
                <w:vertAlign w:val="superscript"/>
              </w:rPr>
              <w:t>3</w:t>
            </w:r>
            <w:r>
              <w:t xml:space="preserve"> per </w:t>
            </w:r>
            <w:r>
              <w:rPr>
                <w:i/>
              </w:rPr>
              <w:t>[week/fortnight/month]</w:t>
            </w:r>
            <w:r>
              <w:tab/>
              <w:t>$...................</w:t>
            </w:r>
          </w:p>
          <w:p>
            <w:pPr>
              <w:pStyle w:val="yTableNAm"/>
              <w:ind w:left="569" w:hanging="569"/>
            </w:pPr>
            <w:r>
              <w:rPr>
                <w:sz w:val="28"/>
                <w:szCs w:val="28"/>
              </w:rPr>
              <w:sym w:font="Wingdings 2" w:char="F0A3"/>
            </w:r>
            <w:r>
              <w:tab/>
              <w:t xml:space="preserve">Reserve fund </w:t>
            </w:r>
            <w:r>
              <w:rPr>
                <w:vertAlign w:val="superscript"/>
              </w:rPr>
              <w:t>4</w:t>
            </w:r>
            <w:r>
              <w:t xml:space="preserve"> charge per </w:t>
            </w:r>
            <w:r>
              <w:rPr>
                <w:i/>
              </w:rPr>
              <w:t>[week/fortnight/month]</w:t>
            </w:r>
            <w:r>
              <w:tab/>
              <w:t>$...................</w:t>
            </w:r>
          </w:p>
        </w:tc>
      </w:tr>
      <w:tr>
        <w:trPr>
          <w:cantSplit/>
        </w:trPr>
        <w:tc>
          <w:tcPr>
            <w:tcW w:w="567" w:type="dxa"/>
            <w:tcBorders>
              <w:top w:val="nil"/>
              <w:bottom w:val="nil"/>
            </w:tcBorders>
          </w:tcPr>
          <w:p>
            <w:pPr>
              <w:pStyle w:val="zyTableNAm"/>
              <w:spacing w:before="0"/>
            </w:pPr>
          </w:p>
        </w:tc>
        <w:tc>
          <w:tcPr>
            <w:tcW w:w="1985" w:type="dxa"/>
            <w:gridSpan w:val="2"/>
            <w:tcBorders>
              <w:top w:val="nil"/>
              <w:bottom w:val="nil"/>
            </w:tcBorders>
          </w:tcPr>
          <w:p>
            <w:pPr>
              <w:pStyle w:val="yTableNAm"/>
            </w:pPr>
            <w:r>
              <w:rPr>
                <w:i/>
              </w:rPr>
              <w:t>Tick whether the amounts apply to</w:t>
            </w:r>
            <w:r>
              <w:t>:</w:t>
            </w:r>
          </w:p>
          <w:p>
            <w:pPr>
              <w:pStyle w:val="yTableNAm"/>
              <w:ind w:left="569" w:hanging="569"/>
            </w:pPr>
            <w:r>
              <w:rPr>
                <w:sz w:val="28"/>
                <w:szCs w:val="28"/>
              </w:rPr>
              <w:sym w:font="Wingdings 2" w:char="F0A3"/>
            </w:r>
            <w:r>
              <w:tab/>
              <w:t>single occupant</w:t>
            </w:r>
          </w:p>
          <w:p>
            <w:pPr>
              <w:pStyle w:val="yTableNAm"/>
              <w:ind w:left="569" w:hanging="569"/>
            </w:pPr>
            <w:r>
              <w:rPr>
                <w:sz w:val="28"/>
                <w:szCs w:val="28"/>
              </w:rPr>
              <w:sym w:font="Wingdings 2" w:char="F0A3"/>
            </w:r>
            <w:r>
              <w:tab/>
              <w:t>couple</w:t>
            </w:r>
          </w:p>
          <w:p>
            <w:pPr>
              <w:pStyle w:val="yTableNAm"/>
              <w:ind w:left="569" w:hanging="569"/>
            </w:pPr>
            <w:r>
              <w:rPr>
                <w:sz w:val="28"/>
                <w:szCs w:val="28"/>
              </w:rPr>
              <w:sym w:font="Wingdings 2" w:char="F0A3"/>
            </w:r>
            <w:r>
              <w:tab/>
              <w:t>not dependent on single/couple occupancy</w:t>
            </w:r>
          </w:p>
        </w:tc>
        <w:tc>
          <w:tcPr>
            <w:tcW w:w="4394" w:type="dxa"/>
            <w:gridSpan w:val="7"/>
            <w:tcBorders>
              <w:top w:val="nil"/>
              <w:bottom w:val="nil"/>
            </w:tcBorders>
          </w:tcPr>
          <w:p>
            <w:pPr>
              <w:pStyle w:val="yTableNAm"/>
              <w:ind w:left="569" w:hanging="569"/>
            </w:pPr>
            <w:r>
              <w:rPr>
                <w:sz w:val="28"/>
                <w:szCs w:val="28"/>
              </w:rPr>
              <w:sym w:font="Wingdings 2" w:char="F0A3"/>
            </w:r>
            <w:r>
              <w:tab/>
              <w:t xml:space="preserve">Any other charges </w:t>
            </w:r>
            <w:r>
              <w:rPr>
                <w:vertAlign w:val="superscript"/>
              </w:rPr>
              <w:t>5</w:t>
            </w:r>
            <w:r>
              <w:t xml:space="preserve"> per </w:t>
            </w:r>
            <w:r>
              <w:rPr>
                <w:i/>
              </w:rPr>
              <w:t>[week/fortnight/month]</w:t>
            </w:r>
            <w:r>
              <w:tab/>
              <w:t>$...................</w:t>
            </w:r>
          </w:p>
          <w:p>
            <w:pPr>
              <w:pStyle w:val="yTableNAm"/>
            </w:pPr>
            <w:r>
              <w:tab/>
            </w:r>
            <w:r>
              <w:rPr>
                <w:i/>
              </w:rPr>
              <w:t>[specify other charges]</w:t>
            </w:r>
          </w:p>
          <w:p>
            <w:pPr>
              <w:pStyle w:val="yTableNAm"/>
            </w:pPr>
            <w:r>
              <w:tab/>
              <w:t>…………………………</w:t>
            </w:r>
            <w:r>
              <w:tab/>
              <w:t>$...................</w:t>
            </w:r>
          </w:p>
          <w:p>
            <w:pPr>
              <w:pStyle w:val="yTableNAm"/>
            </w:pPr>
            <w:r>
              <w:tab/>
              <w:t>…………………….......</w:t>
            </w:r>
            <w:r>
              <w:tab/>
              <w:t>$ ..................</w:t>
            </w:r>
          </w:p>
          <w:p>
            <w:pPr>
              <w:pStyle w:val="yTableNAm"/>
            </w:pPr>
            <w:r>
              <w:tab/>
              <w:t>…………………….......</w:t>
            </w:r>
            <w:r>
              <w:tab/>
              <w:t>$ ..................</w:t>
            </w:r>
          </w:p>
          <w:p>
            <w:pPr>
              <w:pStyle w:val="yTableNAm"/>
            </w:pPr>
            <w:r>
              <w:tab/>
              <w:t xml:space="preserve">Total amount payable </w:t>
            </w:r>
            <w:r>
              <w:br/>
            </w:r>
            <w:r>
              <w:rPr>
                <w:i/>
              </w:rPr>
              <w:tab/>
              <w:t>[week/fortnight/month]</w:t>
            </w:r>
            <w:r>
              <w:tab/>
              <w:t>$..................</w:t>
            </w:r>
          </w:p>
        </w:tc>
      </w:tr>
      <w:tr>
        <w:trPr>
          <w:cantSplit/>
        </w:trPr>
        <w:tc>
          <w:tcPr>
            <w:tcW w:w="567" w:type="dxa"/>
            <w:tcBorders>
              <w:top w:val="nil"/>
              <w:bottom w:val="single" w:sz="4" w:space="0" w:color="auto"/>
            </w:tcBorders>
          </w:tcPr>
          <w:p>
            <w:pPr>
              <w:pStyle w:val="zyTableNAm"/>
            </w:pPr>
          </w:p>
        </w:tc>
        <w:tc>
          <w:tcPr>
            <w:tcW w:w="1985" w:type="dxa"/>
            <w:gridSpan w:val="2"/>
            <w:tcBorders>
              <w:top w:val="nil"/>
              <w:bottom w:val="single" w:sz="4" w:space="0" w:color="auto"/>
            </w:tcBorders>
          </w:tcPr>
          <w:p>
            <w:pPr>
              <w:pStyle w:val="yTableNAm"/>
            </w:pPr>
            <w:r>
              <w:t>NB: The amount may vary each financial year depending on operating expenses.</w:t>
            </w:r>
          </w:p>
        </w:tc>
        <w:tc>
          <w:tcPr>
            <w:tcW w:w="4394" w:type="dxa"/>
            <w:gridSpan w:val="7"/>
            <w:tcBorders>
              <w:top w:val="nil"/>
              <w:bottom w:val="single" w:sz="4" w:space="0" w:color="auto"/>
            </w:tcBorders>
          </w:tcPr>
          <w:p>
            <w:pPr>
              <w:pStyle w:val="yTableNAm"/>
            </w:pP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4" w:type="dxa"/>
            <w:gridSpan w:val="7"/>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Contents insurance [see also item 12]</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4" w:type="dxa"/>
            <w:gridSpan w:val="7"/>
            <w:tcBorders>
              <w:top w:val="single" w:sz="4" w:space="0" w:color="auto"/>
            </w:tcBorders>
          </w:tcPr>
          <w:p>
            <w:pPr>
              <w:pStyle w:val="yTableNAm"/>
            </w:pPr>
            <w:r>
              <w:rPr>
                <w:i/>
              </w:rPr>
              <w:t>If yes, briefly explain the resident’s responsibilities including whether the resident is to organise the repairs and pay for the repair:</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46" w:type="dxa"/>
            <w:gridSpan w:val="10"/>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What amounts are allocated in the village’s operating budget for the current financial year?</w:t>
            </w:r>
          </w:p>
        </w:tc>
        <w:tc>
          <w:tcPr>
            <w:tcW w:w="3969"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46" w:type="dxa"/>
            <w:gridSpan w:val="10"/>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3"/>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3"/>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3"/>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5"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3"/>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When is the administering body required to pay the resident?</w:t>
            </w:r>
          </w:p>
        </w:tc>
        <w:tc>
          <w:tcPr>
            <w:tcW w:w="3969"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46" w:type="dxa"/>
            <w:gridSpan w:val="10"/>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Does the administering body pass on the costs of insurance cover for the retirement village (listed at item 8C) to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79" w:type="dxa"/>
            <w:gridSpan w:val="9"/>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4"/>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2"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Pr>
        <w:tc>
          <w:tcPr>
            <w:tcW w:w="6946" w:type="dxa"/>
            <w:gridSpan w:val="10"/>
            <w:tcBorders>
              <w:top w:val="single" w:sz="4" w:space="0" w:color="auto"/>
              <w:bottom w:val="single" w:sz="4" w:space="0" w:color="auto"/>
            </w:tcBorders>
          </w:tcPr>
          <w:p>
            <w:pPr>
              <w:pStyle w:val="yTableNAm"/>
            </w:pPr>
            <w:r>
              <w:rPr>
                <w:b/>
              </w:rPr>
              <w:t>9.</w:t>
            </w:r>
            <w:r>
              <w:rPr>
                <w:b/>
              </w:rPr>
              <w:tab/>
              <w:t>Communal amenities</w:t>
            </w:r>
          </w:p>
        </w:tc>
      </w:tr>
      <w:tr>
        <w:trPr>
          <w:cantSplit/>
        </w:trPr>
        <w:tc>
          <w:tcPr>
            <w:tcW w:w="6946" w:type="dxa"/>
            <w:gridSpan w:val="10"/>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06"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5"/>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46" w:type="dxa"/>
            <w:gridSpan w:val="10"/>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village:</w:t>
            </w:r>
          </w:p>
        </w:tc>
        <w:tc>
          <w:tcPr>
            <w:tcW w:w="3969"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69"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46" w:type="dxa"/>
            <w:gridSpan w:val="10"/>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69"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46" w:type="dxa"/>
            <w:gridSpan w:val="10"/>
            <w:tcBorders>
              <w:top w:val="single" w:sz="4" w:space="0" w:color="auto"/>
              <w:bottom w:val="single" w:sz="4" w:space="0" w:color="auto"/>
            </w:tcBorders>
          </w:tcPr>
          <w:p>
            <w:pPr>
              <w:pStyle w:val="yTableNAm"/>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69"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If yes, provide details of the emergency call system, including the name of the current provider.</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The emergency call system is currently monitored between:</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tabs>
                <w:tab w:val="left" w:pos="2727"/>
              </w:tabs>
            </w:pPr>
            <w:r>
              <w:rPr>
                <w:sz w:val="28"/>
                <w:szCs w:val="28"/>
              </w:rPr>
              <w:sym w:font="Wingdings 2" w:char="F0A3"/>
            </w:r>
            <w:r>
              <w:tab/>
              <w:t xml:space="preserve">…….. am and …….. pm </w:t>
            </w:r>
          </w:p>
          <w:p>
            <w:pPr>
              <w:pStyle w:val="yTableNAm"/>
            </w:pPr>
            <w:r>
              <w:rPr>
                <w:i/>
              </w:rPr>
              <w:tab/>
              <w:t>[number]</w:t>
            </w:r>
            <w:r>
              <w:t xml:space="preserve"> ........ days per week</w:t>
            </w:r>
          </w:p>
        </w:tc>
      </w:tr>
      <w:tr>
        <w:trPr>
          <w:cantSplit/>
        </w:trPr>
        <w:tc>
          <w:tcPr>
            <w:tcW w:w="6946" w:type="dxa"/>
            <w:gridSpan w:val="10"/>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Are there any restrictions on the use of residential premises or personal and community amenities in regard to:</w:t>
            </w:r>
          </w:p>
        </w:tc>
        <w:tc>
          <w:tcPr>
            <w:tcW w:w="3969"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6946" w:type="dxa"/>
            <w:gridSpan w:val="10"/>
            <w:tcBorders>
              <w:top w:val="single" w:sz="4" w:space="0" w:color="auto"/>
              <w:bottom w:val="single" w:sz="4" w:space="0" w:color="auto"/>
            </w:tcBorders>
          </w:tcPr>
          <w:p>
            <w:pPr>
              <w:pStyle w:val="yTableNAm"/>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69"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46" w:type="dxa"/>
            <w:gridSpan w:val="10"/>
            <w:tcBorders>
              <w:top w:val="single" w:sz="4" w:space="0" w:color="auto"/>
              <w:bottom w:val="single" w:sz="4" w:space="0" w:color="auto"/>
            </w:tcBorders>
          </w:tcPr>
          <w:p>
            <w:pPr>
              <w:pStyle w:val="yTableNAm"/>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69"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p>
        </w:tc>
      </w:tr>
      <w:tr>
        <w:trPr>
          <w:cantSplit/>
        </w:trPr>
        <w:tc>
          <w:tcPr>
            <w:tcW w:w="6946" w:type="dxa"/>
            <w:gridSpan w:val="10"/>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46" w:type="dxa"/>
            <w:gridSpan w:val="10"/>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3"/>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3"/>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69"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Is the waiting list fee refundable: </w:t>
            </w:r>
          </w:p>
          <w:p>
            <w:pPr>
              <w:pStyle w:val="yTableNAm"/>
            </w:pPr>
            <w:r>
              <w:rPr>
                <w:sz w:val="28"/>
                <w:szCs w:val="28"/>
              </w:rPr>
              <w:sym w:font="Wingdings 2" w:char="F0A3"/>
            </w:r>
            <w:r>
              <w:tab/>
              <w:t>on entry to the village?</w:t>
            </w:r>
          </w:p>
          <w:p>
            <w:pPr>
              <w:pStyle w:val="yTableNAm"/>
            </w:pPr>
          </w:p>
          <w:p>
            <w:pPr>
              <w:pStyle w:val="yTableNAm"/>
            </w:pPr>
            <w:r>
              <w:rPr>
                <w:sz w:val="28"/>
                <w:szCs w:val="28"/>
              </w:rPr>
              <w:sym w:font="Wingdings 2" w:char="F0A3"/>
            </w:r>
            <w:r>
              <w:tab/>
              <w:t>if the resident decides not to move into the village?</w:t>
            </w:r>
          </w:p>
        </w:tc>
        <w:tc>
          <w:tcPr>
            <w:tcW w:w="3969" w:type="dxa"/>
            <w:gridSpan w:val="6"/>
            <w:tcBorders>
              <w:top w:val="single" w:sz="4" w:space="0" w:color="auto"/>
              <w:bottom w:val="single" w:sz="4" w:space="0" w:color="auto"/>
            </w:tcBorders>
          </w:tcPr>
          <w:p>
            <w:pPr>
              <w:pStyle w:val="yTableNAm"/>
            </w:pPr>
            <w:r>
              <w:rPr>
                <w:szCs w:val="22"/>
              </w:rPr>
              <w:br/>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r>
              <w:br/>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46" w:type="dxa"/>
            <w:gridSpan w:val="10"/>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3"/>
            <w:tcBorders>
              <w:top w:val="single" w:sz="4" w:space="0" w:color="auto"/>
              <w:bottom w:val="nil"/>
            </w:tcBorders>
          </w:tcPr>
          <w:p>
            <w:pPr>
              <w:pStyle w:val="yTableNAm"/>
            </w:pPr>
            <w:r>
              <w:t>Are there any plans for development in the village expected to commence in the next 18 months?</w:t>
            </w:r>
          </w:p>
        </w:tc>
        <w:tc>
          <w:tcPr>
            <w:tcW w:w="3969"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3"/>
            <w:tcBorders>
              <w:top w:val="nil"/>
              <w:bottom w:val="nil"/>
            </w:tcBorders>
          </w:tcPr>
          <w:p>
            <w:pPr>
              <w:pStyle w:val="yTableNAm"/>
            </w:pPr>
            <w:r>
              <w:t>Has planning permission been sought for the development?</w:t>
            </w:r>
          </w:p>
          <w:p>
            <w:pPr>
              <w:pStyle w:val="zyTableNAm"/>
            </w:pPr>
          </w:p>
        </w:tc>
        <w:tc>
          <w:tcPr>
            <w:tcW w:w="3969"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3"/>
            <w:tcBorders>
              <w:top w:val="nil"/>
              <w:bottom w:val="single" w:sz="4" w:space="0" w:color="auto"/>
            </w:tcBorders>
          </w:tcPr>
          <w:p>
            <w:pPr>
              <w:pStyle w:val="yTableNAm"/>
            </w:pPr>
            <w:r>
              <w:t>Has planning permission been granted for the development?</w:t>
            </w:r>
          </w:p>
        </w:tc>
        <w:tc>
          <w:tcPr>
            <w:tcW w:w="3969"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79" w:type="dxa"/>
            <w:gridSpan w:val="9"/>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Borders>
              <w:top w:val="single" w:sz="4" w:space="0" w:color="auto"/>
              <w:bottom w:val="single" w:sz="4" w:space="0" w:color="auto"/>
            </w:tcBorders>
          </w:tcPr>
          <w:p>
            <w:pPr>
              <w:pStyle w:val="yTableNAm"/>
            </w:pPr>
            <w:r>
              <w:t>D</w:t>
            </w:r>
          </w:p>
        </w:tc>
        <w:tc>
          <w:tcPr>
            <w:tcW w:w="2410" w:type="dxa"/>
            <w:gridSpan w:val="3"/>
            <w:tcBorders>
              <w:top w:val="single" w:sz="4" w:space="0" w:color="auto"/>
              <w:bottom w:val="single" w:sz="4" w:space="0" w:color="auto"/>
            </w:tcBorders>
          </w:tcPr>
          <w:p>
            <w:pPr>
              <w:pStyle w:val="yTableNAm"/>
            </w:pPr>
            <w:r>
              <w:t>Do residents have access to documents relating to the development in the village?</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See footnote 9.</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See footnote 9.</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estimated refund entitlement based on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community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tc>
        <w:tc>
          <w:tcPr>
            <w:tcW w:w="2233" w:type="dxa"/>
          </w:tcPr>
          <w:p>
            <w:pPr>
              <w:pStyle w:val="yTableNAm"/>
            </w:pPr>
            <w:r>
              <w:rPr>
                <w:b/>
                <w:i/>
              </w:rPr>
              <w:t>At the end of one year</w:t>
            </w:r>
          </w:p>
        </w:tc>
      </w:tr>
      <w:tr>
        <w:tc>
          <w:tcPr>
            <w:tcW w:w="4678" w:type="dxa"/>
          </w:tcPr>
          <w:p>
            <w:pPr>
              <w:pStyle w:val="yTableNAm"/>
            </w:pPr>
            <w:r>
              <w:rPr>
                <w:b/>
              </w:rP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in Gazette 23 Mar 2016 p. 903</w:t>
      </w:r>
      <w:r>
        <w:noBreakHyphen/>
        <w:t>24.]</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 xml:space="preserve">9; 9 Sep 2003 p. 4047-52; 30 Dec 2004 p. 6926.] </w:t>
      </w:r>
    </w:p>
    <w:p>
      <w:pPr>
        <w:sectPr>
          <w:headerReference w:type="even" r:id="rId27"/>
          <w:headerReference w:type="default" r:id="rId28"/>
          <w:headerReference w:type="first" r:id="rId29"/>
          <w:pgSz w:w="11907" w:h="16840" w:code="9"/>
          <w:pgMar w:top="2381" w:right="2410" w:bottom="3544" w:left="2410" w:header="720" w:footer="3380" w:gutter="0"/>
          <w:cols w:space="720"/>
          <w:noEndnote/>
          <w:docGrid w:linePitch="326"/>
        </w:sectPr>
      </w:pPr>
    </w:p>
    <w:p>
      <w:pPr>
        <w:pStyle w:val="yScheduleHeading"/>
      </w:pPr>
      <w:bookmarkStart w:id="134" w:name="_Toc431393597"/>
      <w:bookmarkStart w:id="135" w:name="_Toc431393907"/>
      <w:bookmarkStart w:id="136" w:name="_Toc442446466"/>
      <w:bookmarkStart w:id="137" w:name="_Toc446511799"/>
      <w:bookmarkStart w:id="138" w:name="_Toc446512514"/>
      <w:bookmarkStart w:id="139" w:name="_Toc446514111"/>
      <w:bookmarkStart w:id="140" w:name="_Toc453072172"/>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34"/>
      <w:bookmarkEnd w:id="135"/>
      <w:bookmarkEnd w:id="136"/>
      <w:bookmarkEnd w:id="137"/>
      <w:bookmarkEnd w:id="138"/>
      <w:bookmarkEnd w:id="139"/>
      <w:bookmarkEnd w:id="140"/>
    </w:p>
    <w:p>
      <w:pPr>
        <w:pStyle w:val="yShoulderClause"/>
      </w:pPr>
      <w:r>
        <w:t>[r. 7A]</w:t>
      </w:r>
    </w:p>
    <w:p>
      <w:pPr>
        <w:pStyle w:val="yFootnoteheading"/>
      </w:pPr>
      <w:r>
        <w:tab/>
        <w:t>[Heading inserted in Gazette 24 Mar 2015 p. 1027.]</w:t>
      </w:r>
    </w:p>
    <w:p>
      <w:pPr>
        <w:pStyle w:val="yHeading5"/>
        <w:spacing w:after="120"/>
      </w:pPr>
      <w:bookmarkStart w:id="141" w:name="_Toc453072173"/>
      <w:r>
        <w:rPr>
          <w:rStyle w:val="CharSClsNo"/>
        </w:rPr>
        <w:t>1</w:t>
      </w:r>
      <w:r>
        <w:t>.</w:t>
      </w:r>
      <w:r>
        <w:tab/>
        <w:t>Statement on terms of access to aged care services</w:t>
      </w:r>
      <w:bookmarkEnd w:id="141"/>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42" w:name="_Toc453072174"/>
      <w:r>
        <w:rPr>
          <w:rStyle w:val="CharSClsNo"/>
        </w:rPr>
        <w:t>2</w:t>
      </w:r>
      <w:r>
        <w:t>.</w:t>
      </w:r>
      <w:r>
        <w:tab/>
        <w:t>Notes</w:t>
      </w:r>
      <w:bookmarkEnd w:id="14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43" w:name="_Toc453072175"/>
      <w:r>
        <w:rPr>
          <w:rStyle w:val="CharSClsNo"/>
        </w:rPr>
        <w:t>3</w:t>
      </w:r>
      <w:r>
        <w:t>.</w:t>
      </w:r>
      <w:r>
        <w:tab/>
        <w:t>Statement about seeking independent legal and financial advice</w:t>
      </w:r>
      <w:bookmarkEnd w:id="143"/>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pStyle w:val="CentredBaseLine"/>
        <w:jc w:val="center"/>
        <w:sectPr>
          <w:headerReference w:type="even" r:id="rId30"/>
          <w:headerReference w:type="default" r:id="rId31"/>
          <w:headerReference w:type="first" r:id="rId32"/>
          <w:pgSz w:w="11907" w:h="16840" w:code="9"/>
          <w:pgMar w:top="2381" w:right="2410" w:bottom="3544" w:left="2410" w:header="720" w:footer="3380" w:gutter="0"/>
          <w:cols w:space="720"/>
          <w:noEndnote/>
          <w:docGrid w:linePitch="326"/>
        </w:sectPr>
      </w:pPr>
    </w:p>
    <w:p>
      <w:pPr>
        <w:pStyle w:val="nHeading2"/>
      </w:pPr>
      <w:bookmarkStart w:id="145" w:name="_Toc383093684"/>
      <w:bookmarkStart w:id="146" w:name="_Toc383093700"/>
      <w:bookmarkStart w:id="147" w:name="_Toc383093905"/>
      <w:bookmarkStart w:id="148" w:name="_Toc383159671"/>
      <w:bookmarkStart w:id="149" w:name="_Toc414889012"/>
      <w:bookmarkStart w:id="150" w:name="_Toc414889051"/>
      <w:bookmarkStart w:id="151" w:name="_Toc414890103"/>
      <w:bookmarkStart w:id="152" w:name="_Toc414973541"/>
      <w:bookmarkStart w:id="153" w:name="_Toc431393601"/>
      <w:bookmarkStart w:id="154" w:name="_Toc431393911"/>
      <w:bookmarkStart w:id="155" w:name="_Toc442446470"/>
      <w:bookmarkStart w:id="156" w:name="_Toc446511803"/>
      <w:bookmarkStart w:id="157" w:name="_Toc446512518"/>
      <w:bookmarkStart w:id="158" w:name="_Toc446514115"/>
      <w:bookmarkStart w:id="159" w:name="_Toc453072176"/>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0" w:name="_Toc383159672"/>
      <w:bookmarkStart w:id="161" w:name="_Toc453072177"/>
      <w:r>
        <w:rPr>
          <w:snapToGrid w:val="0"/>
        </w:rPr>
        <w:t>Compilation table</w:t>
      </w:r>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Regulations other than r. 1, 2, 6, 8 and 12-14: 1 Apr 2015 (see r. 2(b));</w:t>
            </w:r>
            <w:r>
              <w:br/>
              <w:t>r. 6, 8 and 12-14: 1 Oct 2015 (see r. 2(c))</w:t>
            </w:r>
          </w:p>
        </w:tc>
      </w:tr>
      <w:tr>
        <w:tc>
          <w:tcPr>
            <w:tcW w:w="3118" w:type="dxa"/>
            <w:tcBorders>
              <w:bottom w:val="single" w:sz="4" w:space="0" w:color="auto"/>
            </w:tcBorders>
          </w:tcPr>
          <w:p>
            <w:pPr>
              <w:pStyle w:val="nTable"/>
              <w:spacing w:after="40"/>
              <w:rPr>
                <w:i/>
              </w:rPr>
            </w:pPr>
            <w:r>
              <w:rPr>
                <w:i/>
              </w:rPr>
              <w:t>Retirement Villages Amendment Regulations 2016</w:t>
            </w:r>
          </w:p>
        </w:tc>
        <w:tc>
          <w:tcPr>
            <w:tcW w:w="1276" w:type="dxa"/>
            <w:tcBorders>
              <w:bottom w:val="single" w:sz="4" w:space="0" w:color="auto"/>
            </w:tcBorders>
          </w:tcPr>
          <w:p>
            <w:pPr>
              <w:pStyle w:val="nTable"/>
              <w:spacing w:after="40"/>
            </w:pPr>
            <w:r>
              <w:t>23 Mar 2016 p. 861</w:t>
            </w:r>
            <w:r>
              <w:noBreakHyphen/>
              <w:t>924</w:t>
            </w:r>
          </w:p>
        </w:tc>
        <w:tc>
          <w:tcPr>
            <w:tcW w:w="2693" w:type="dxa"/>
            <w:tcBorders>
              <w:bottom w:val="single" w:sz="4" w:space="0" w:color="auto"/>
            </w:tcBorders>
          </w:tcPr>
          <w:p>
            <w:pPr>
              <w:pStyle w:val="nTable"/>
              <w:spacing w:after="40"/>
            </w:pPr>
            <w:r>
              <w:t>r. 1 and 2: 23 Mar 2016 (see r. 2(a));</w:t>
            </w:r>
            <w:r>
              <w:br/>
              <w:t>Regulations other than r. 1 and 2: 1 Apr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2" w:name="_Toc453051109"/>
      <w:bookmarkStart w:id="163" w:name="_Toc453072178"/>
      <w:r>
        <w:t>Provisions that have not come into operation</w:t>
      </w:r>
      <w:bookmarkEnd w:id="162"/>
      <w:bookmarkEnd w:id="1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18 </w:t>
            </w:r>
            <w:r>
              <w:rPr>
                <w:vertAlign w:val="superscript"/>
              </w:rPr>
              <w:t>5</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keepNext/>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nSubsection"/>
        <w:rPr>
          <w:snapToGrid w:val="0"/>
        </w:rPr>
      </w:pPr>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18</w:t>
      </w:r>
      <w:r>
        <w:rPr>
          <w:i/>
        </w:rPr>
        <w:t xml:space="preserve"> </w:t>
      </w:r>
      <w:r>
        <w:rPr>
          <w:snapToGrid w:val="0"/>
        </w:rPr>
        <w:t>had not come into operation.  It reads as follows:</w:t>
      </w:r>
    </w:p>
    <w:p>
      <w:pPr>
        <w:pStyle w:val="BlankOpen"/>
        <w:rPr>
          <w:snapToGrid w:val="0"/>
        </w:rPr>
      </w:pPr>
    </w:p>
    <w:p>
      <w:pPr>
        <w:pStyle w:val="nzHeading2"/>
      </w:pPr>
      <w:bookmarkStart w:id="164" w:name="_Toc450647094"/>
      <w:bookmarkStart w:id="165" w:name="_Toc450647151"/>
      <w:bookmarkStart w:id="166" w:name="_Toc450647846"/>
      <w:bookmarkStart w:id="167" w:name="_Toc450653453"/>
      <w:bookmarkStart w:id="168" w:name="_Toc450654768"/>
      <w:r>
        <w:rPr>
          <w:rStyle w:val="CharPartNo"/>
        </w:rPr>
        <w:t>Part 18</w:t>
      </w:r>
      <w:r>
        <w:rPr>
          <w:rStyle w:val="CharDivNo"/>
        </w:rPr>
        <w:t> </w:t>
      </w:r>
      <w:r>
        <w:t>—</w:t>
      </w:r>
      <w:r>
        <w:rPr>
          <w:rStyle w:val="CharDivText"/>
        </w:rPr>
        <w:t> </w:t>
      </w:r>
      <w:r>
        <w:rPr>
          <w:rStyle w:val="CharPartText"/>
          <w:i/>
        </w:rPr>
        <w:t>Retirement Villages Regulations 1992</w:t>
      </w:r>
      <w:r>
        <w:rPr>
          <w:rStyle w:val="CharPartText"/>
        </w:rPr>
        <w:t> amended</w:t>
      </w:r>
      <w:bookmarkEnd w:id="164"/>
      <w:bookmarkEnd w:id="165"/>
      <w:bookmarkEnd w:id="166"/>
      <w:bookmarkEnd w:id="167"/>
      <w:bookmarkEnd w:id="168"/>
    </w:p>
    <w:p>
      <w:pPr>
        <w:pStyle w:val="nzHeading5"/>
        <w:rPr>
          <w:snapToGrid w:val="0"/>
        </w:rPr>
      </w:pPr>
      <w:bookmarkStart w:id="169" w:name="_Toc450647152"/>
      <w:bookmarkStart w:id="170" w:name="_Toc450654769"/>
      <w:r>
        <w:rPr>
          <w:rStyle w:val="CharSectno"/>
        </w:rPr>
        <w:t>35</w:t>
      </w:r>
      <w:r>
        <w:rPr>
          <w:snapToGrid w:val="0"/>
        </w:rPr>
        <w:t>.</w:t>
      </w:r>
      <w:r>
        <w:rPr>
          <w:snapToGrid w:val="0"/>
        </w:rPr>
        <w:tab/>
        <w:t>Regulations amended</w:t>
      </w:r>
      <w:bookmarkEnd w:id="169"/>
      <w:bookmarkEnd w:id="170"/>
    </w:p>
    <w:p>
      <w:pPr>
        <w:pStyle w:val="nzSubsection"/>
      </w:pPr>
      <w:r>
        <w:tab/>
      </w:r>
      <w:r>
        <w:tab/>
      </w:r>
      <w:r>
        <w:rPr>
          <w:spacing w:val="-2"/>
        </w:rPr>
        <w:t>This</w:t>
      </w:r>
      <w:r>
        <w:t xml:space="preserve"> Part amends the </w:t>
      </w:r>
      <w:r>
        <w:rPr>
          <w:i/>
        </w:rPr>
        <w:t>Retirement Villages Regulations 1992</w:t>
      </w:r>
      <w:r>
        <w:t>.</w:t>
      </w:r>
    </w:p>
    <w:p>
      <w:pPr>
        <w:pStyle w:val="nzHeading5"/>
      </w:pPr>
      <w:bookmarkStart w:id="171" w:name="_Toc450647153"/>
      <w:bookmarkStart w:id="172" w:name="_Toc450654770"/>
      <w:r>
        <w:rPr>
          <w:rStyle w:val="CharSectno"/>
        </w:rPr>
        <w:t>36</w:t>
      </w:r>
      <w:r>
        <w:t>.</w:t>
      </w:r>
      <w:r>
        <w:tab/>
        <w:t>Regulation 12 amended</w:t>
      </w:r>
      <w:bookmarkEnd w:id="171"/>
      <w:bookmarkEnd w:id="172"/>
    </w:p>
    <w:p>
      <w:pPr>
        <w:pStyle w:val="nzSubsection"/>
      </w:pPr>
      <w:r>
        <w:tab/>
      </w:r>
      <w:r>
        <w:tab/>
        <w:t>In regulation 12(1) delete “$700.” and insert:</w:t>
      </w:r>
    </w:p>
    <w:p>
      <w:pPr>
        <w:pStyle w:val="BlankOpen"/>
      </w:pPr>
    </w:p>
    <w:p>
      <w:pPr>
        <w:pStyle w:val="nzSubsection"/>
      </w:pPr>
      <w:r>
        <w:tab/>
      </w:r>
      <w:r>
        <w:tab/>
        <w:t>$144.00.</w:t>
      </w:r>
    </w:p>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74" w:name="_Toc446511805"/>
      <w:bookmarkStart w:id="175" w:name="_Toc446512520"/>
      <w:bookmarkStart w:id="176" w:name="_Toc446514117"/>
      <w:bookmarkStart w:id="177" w:name="_Toc453072179"/>
      <w:r>
        <w:rPr>
          <w:sz w:val="28"/>
        </w:rPr>
        <w:t>Defined terms</w:t>
      </w:r>
      <w:bookmarkEnd w:id="174"/>
      <w:bookmarkEnd w:id="175"/>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r>
        </w:p>
      </w:tc>
    </w:tr>
  </w:tbl>
  <w:p>
    <w:pPr>
      <w:pStyle w:val="Header"/>
      <w:pBdr>
        <w:top w:val="single" w:sz="4" w:space="1" w:color="auto"/>
      </w:pBdr>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4" w:name="Schedule"/>
    <w:bookmarkEnd w:id="144"/>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27"/>
  </w:num>
  <w:num w:numId="17">
    <w:abstractNumId w:val="13"/>
  </w:num>
  <w:num w:numId="18">
    <w:abstractNumId w:val="26"/>
  </w:num>
  <w:num w:numId="19">
    <w:abstractNumId w:val="10"/>
  </w:num>
  <w:num w:numId="20">
    <w:abstractNumId w:val="28"/>
  </w:num>
  <w:num w:numId="21">
    <w:abstractNumId w:val="20"/>
  </w:num>
  <w:num w:numId="22">
    <w:abstractNumId w:val="18"/>
  </w:num>
  <w:num w:numId="23">
    <w:abstractNumId w:val="25"/>
  </w:num>
  <w:num w:numId="24">
    <w:abstractNumId w:val="12"/>
  </w:num>
  <w:num w:numId="25">
    <w:abstractNumId w:val="29"/>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0313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3EEF-A915-4E69-8AC4-A3C94456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20937</Words>
  <Characters>107411</Characters>
  <Application>Microsoft Office Word</Application>
  <DocSecurity>0</DocSecurity>
  <Lines>4882</Lines>
  <Paragraphs>2376</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1992 - 01-g0-00</dc:title>
  <dc:subject/>
  <dc:creator/>
  <cp:keywords/>
  <dc:description/>
  <cp:lastModifiedBy>svcMRProcess</cp:lastModifiedBy>
  <cp:revision>4</cp:revision>
  <cp:lastPrinted>2015-09-30T07:03:00Z</cp:lastPrinted>
  <dcterms:created xsi:type="dcterms:W3CDTF">2019-04-08T01:43:00Z</dcterms:created>
  <dcterms:modified xsi:type="dcterms:W3CDTF">2019-04-08T01:43:00Z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AsAtDate">
    <vt:lpwstr>03 Jun 2016</vt:lpwstr>
  </property>
  <property fmtid="{D5CDD505-2E9C-101B-9397-08002B2CF9AE}" pid="6" name="Suffix">
    <vt:lpwstr>01-g0-00</vt:lpwstr>
  </property>
  <property fmtid="{D5CDD505-2E9C-101B-9397-08002B2CF9AE}" pid="7" name="CommencementDate">
    <vt:lpwstr>20160603</vt:lpwstr>
  </property>
</Properties>
</file>