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CRIMES (CONFISCATION OF PROFITS) ACT 1988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Crimes (Confiscation of Profits) (Corresponding Laws) Regulations 1990</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Criminal Property Confiscation Regulations 2000 </w:t>
      </w:r>
      <w:r>
        <w:rPr>
          <w:color w:val="000000"/>
          <w:sz w:val="22"/>
          <w:szCs w:val="22"/>
        </w:rPr>
        <w:t xml:space="preserve">r. 7(a) as at 1 Jan 2001 (see </w:t>
      </w:r>
      <w:r>
        <w:rPr>
          <w:i/>
          <w:color w:val="000000"/>
          <w:sz w:val="22"/>
          <w:szCs w:val="22"/>
        </w:rPr>
        <w:t>Gazette</w:t>
      </w:r>
      <w:r>
        <w:rPr>
          <w:color w:val="000000"/>
          <w:sz w:val="22"/>
          <w:szCs w:val="22"/>
        </w:rPr>
        <w:t xml:space="preserve"> 19 Dec 2000 p. 7268).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Crimes (Confiscation of Profits) (Corresponding Laws) Regulations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_Toc426105217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_Toc426105218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New South Wales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the New South Wales Act (1985)</w:t>
      </w:r>
    </w:p>
    <w:p>
      <w:pPr>
        <w:pStyle w:val="TOC8"/>
        <w:rPr>
          <w:rFonts w:asciiTheme="minorHAnsi" w:eastAsiaTheme="minorEastAsia" w:hAnsiTheme="minorHAnsi" w:cstheme="minorBidi"/>
          <w:szCs w:val="22"/>
        </w:rPr>
      </w:pPr>
      <w:r>
        <w:t>3</w:t>
      </w:r>
      <w:r>
        <w:rPr>
          <w:snapToGrid w:val="0"/>
        </w:rPr>
        <w:t>.</w:t>
      </w:r>
      <w:r>
        <w:rPr>
          <w:snapToGrid w:val="0"/>
        </w:rPr>
        <w:tab/>
        <w:t>Declaration — corresponding law</w:t>
      </w:r>
      <w:r>
        <w:tab/>
      </w:r>
      <w:r>
        <w:fldChar w:fldCharType="begin"/>
      </w:r>
      <w:r>
        <w:instrText xml:space="preserve"> PAGEREF _Toc426105221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 forfeiture order</w:t>
      </w:r>
      <w:r>
        <w:tab/>
      </w:r>
      <w:r>
        <w:fldChar w:fldCharType="begin"/>
      </w:r>
      <w:r>
        <w:instrText xml:space="preserve"> PAGEREF _Toc426105222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Declaration — pecuniary penalty order</w:t>
      </w:r>
      <w:r>
        <w:tab/>
      </w:r>
      <w:r>
        <w:fldChar w:fldCharType="begin"/>
      </w:r>
      <w:r>
        <w:instrText xml:space="preserve"> PAGEREF _Toc426105223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Declaration — restraining order</w:t>
      </w:r>
      <w:r>
        <w:tab/>
      </w:r>
      <w:r>
        <w:fldChar w:fldCharType="begin"/>
      </w:r>
      <w:r>
        <w:instrText xml:space="preserve"> PAGEREF _Toc426105224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 of the New South Wales Act (1989)</w:t>
      </w:r>
    </w:p>
    <w:p>
      <w:pPr>
        <w:pStyle w:val="TOC8"/>
        <w:rPr>
          <w:rFonts w:asciiTheme="minorHAnsi" w:eastAsiaTheme="minorEastAsia" w:hAnsiTheme="minorHAnsi" w:cstheme="minorBidi"/>
          <w:szCs w:val="22"/>
        </w:rPr>
      </w:pPr>
      <w:r>
        <w:t>7</w:t>
      </w:r>
      <w:r>
        <w:rPr>
          <w:snapToGrid w:val="0"/>
        </w:rPr>
        <w:t>.</w:t>
      </w:r>
      <w:r>
        <w:rPr>
          <w:snapToGrid w:val="0"/>
        </w:rPr>
        <w:tab/>
        <w:t>Declaration — corresponding law</w:t>
      </w:r>
      <w:r>
        <w:tab/>
      </w:r>
      <w:r>
        <w:fldChar w:fldCharType="begin"/>
      </w:r>
      <w:r>
        <w:instrText xml:space="preserve"> PAGEREF _Toc426105226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Declaration — drug proceeds order</w:t>
      </w:r>
      <w:r>
        <w:tab/>
      </w:r>
      <w:r>
        <w:fldChar w:fldCharType="begin"/>
      </w:r>
      <w:r>
        <w:instrText xml:space="preserve"> PAGEREF _Toc426105227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Declaration — forfeiture order</w:t>
      </w:r>
      <w:r>
        <w:tab/>
      </w:r>
      <w:r>
        <w:fldChar w:fldCharType="begin"/>
      </w:r>
      <w:r>
        <w:instrText xml:space="preserve"> PAGEREF _Toc426105228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Declaration — pecuniary penalty order</w:t>
      </w:r>
      <w:r>
        <w:tab/>
      </w:r>
      <w:r>
        <w:fldChar w:fldCharType="begin"/>
      </w:r>
      <w:r>
        <w:instrText xml:space="preserve"> PAGEREF _Toc426105229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Declaration — restraining order</w:t>
      </w:r>
      <w:r>
        <w:tab/>
      </w:r>
      <w:r>
        <w:fldChar w:fldCharType="begin"/>
      </w:r>
      <w:r>
        <w:instrText xml:space="preserve"> PAGEREF _Toc426105230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Application of the New South Wales Act (1990)</w:t>
      </w:r>
    </w:p>
    <w:p>
      <w:pPr>
        <w:pStyle w:val="TOC8"/>
        <w:rPr>
          <w:rFonts w:asciiTheme="minorHAnsi" w:eastAsiaTheme="minorEastAsia" w:hAnsiTheme="minorHAnsi" w:cstheme="minorBidi"/>
          <w:szCs w:val="22"/>
        </w:rPr>
      </w:pPr>
      <w:r>
        <w:t>11A.</w:t>
      </w:r>
      <w:r>
        <w:tab/>
        <w:t>Declaration — corresponding law</w:t>
      </w:r>
      <w:r>
        <w:tab/>
      </w:r>
      <w:r>
        <w:fldChar w:fldCharType="begin"/>
      </w:r>
      <w:r>
        <w:instrText xml:space="preserve"> PAGEREF _Toc426105232 \h </w:instrText>
      </w:r>
      <w:r>
        <w:fldChar w:fldCharType="separate"/>
      </w:r>
      <w:r>
        <w:t>5</w:t>
      </w:r>
      <w:r>
        <w:fldChar w:fldCharType="end"/>
      </w:r>
    </w:p>
    <w:p>
      <w:pPr>
        <w:pStyle w:val="TOC8"/>
        <w:rPr>
          <w:rFonts w:asciiTheme="minorHAnsi" w:eastAsiaTheme="minorEastAsia" w:hAnsiTheme="minorHAnsi" w:cstheme="minorBidi"/>
          <w:szCs w:val="22"/>
        </w:rPr>
      </w:pPr>
      <w:r>
        <w:t>11B.</w:t>
      </w:r>
      <w:r>
        <w:tab/>
        <w:t>Declaration — forfeiture order</w:t>
      </w:r>
      <w:r>
        <w:tab/>
      </w:r>
      <w:r>
        <w:fldChar w:fldCharType="begin"/>
      </w:r>
      <w:r>
        <w:instrText xml:space="preserve"> PAGEREF _Toc426105233 \h </w:instrText>
      </w:r>
      <w:r>
        <w:fldChar w:fldCharType="separate"/>
      </w:r>
      <w:r>
        <w:t>5</w:t>
      </w:r>
      <w:r>
        <w:fldChar w:fldCharType="end"/>
      </w:r>
    </w:p>
    <w:p>
      <w:pPr>
        <w:pStyle w:val="TOC8"/>
        <w:rPr>
          <w:rFonts w:asciiTheme="minorHAnsi" w:eastAsiaTheme="minorEastAsia" w:hAnsiTheme="minorHAnsi" w:cstheme="minorBidi"/>
          <w:szCs w:val="22"/>
        </w:rPr>
      </w:pPr>
      <w:r>
        <w:t>11C.</w:t>
      </w:r>
      <w:r>
        <w:tab/>
        <w:t>Declaration — pecuniary penalty order</w:t>
      </w:r>
      <w:r>
        <w:tab/>
      </w:r>
      <w:r>
        <w:fldChar w:fldCharType="begin"/>
      </w:r>
      <w:r>
        <w:instrText xml:space="preserve"> PAGEREF _Toc426105234 \h </w:instrText>
      </w:r>
      <w:r>
        <w:fldChar w:fldCharType="separate"/>
      </w:r>
      <w:r>
        <w:t>5</w:t>
      </w:r>
      <w:r>
        <w:fldChar w:fldCharType="end"/>
      </w:r>
    </w:p>
    <w:p>
      <w:pPr>
        <w:pStyle w:val="TOC8"/>
        <w:rPr>
          <w:rFonts w:asciiTheme="minorHAnsi" w:eastAsiaTheme="minorEastAsia" w:hAnsiTheme="minorHAnsi" w:cstheme="minorBidi"/>
          <w:szCs w:val="22"/>
        </w:rPr>
      </w:pPr>
      <w:r>
        <w:t>11D.</w:t>
      </w:r>
      <w:r>
        <w:tab/>
        <w:t>Declaration — restraining order</w:t>
      </w:r>
      <w:r>
        <w:tab/>
      </w:r>
      <w:r>
        <w:fldChar w:fldCharType="begin"/>
      </w:r>
      <w:r>
        <w:instrText xml:space="preserve"> PAGEREF _Toc426105235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Northern Territory</w:t>
      </w:r>
    </w:p>
    <w:p>
      <w:pPr>
        <w:pStyle w:val="TOC8"/>
        <w:rPr>
          <w:rFonts w:asciiTheme="minorHAnsi" w:eastAsiaTheme="minorEastAsia" w:hAnsiTheme="minorHAnsi" w:cstheme="minorBidi"/>
          <w:szCs w:val="22"/>
        </w:rPr>
      </w:pPr>
      <w:r>
        <w:t>12</w:t>
      </w:r>
      <w:r>
        <w:rPr>
          <w:snapToGrid w:val="0"/>
        </w:rPr>
        <w:t>.</w:t>
      </w:r>
      <w:r>
        <w:rPr>
          <w:snapToGrid w:val="0"/>
        </w:rPr>
        <w:tab/>
        <w:t>Declaration — corresponding law</w:t>
      </w:r>
      <w:r>
        <w:tab/>
      </w:r>
      <w:r>
        <w:fldChar w:fldCharType="begin"/>
      </w:r>
      <w:r>
        <w:instrText xml:space="preserve"> PAGEREF _Toc426105237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Declaration — forfeiture order</w:t>
      </w:r>
      <w:r>
        <w:tab/>
      </w:r>
      <w:r>
        <w:fldChar w:fldCharType="begin"/>
      </w:r>
      <w:r>
        <w:instrText xml:space="preserve"> PAGEREF _Toc426105238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Declaration — pecuniary penalty order</w:t>
      </w:r>
      <w:r>
        <w:tab/>
      </w:r>
      <w:r>
        <w:fldChar w:fldCharType="begin"/>
      </w:r>
      <w:r>
        <w:instrText xml:space="preserve"> PAGEREF _Toc426105239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Declaration — restraining order</w:t>
      </w:r>
      <w:r>
        <w:tab/>
      </w:r>
      <w:r>
        <w:fldChar w:fldCharType="begin"/>
      </w:r>
      <w:r>
        <w:instrText xml:space="preserve"> PAGEREF _Toc426105240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Queensland</w:t>
      </w:r>
    </w:p>
    <w:p>
      <w:pPr>
        <w:pStyle w:val="TOC8"/>
        <w:rPr>
          <w:rFonts w:asciiTheme="minorHAnsi" w:eastAsiaTheme="minorEastAsia" w:hAnsiTheme="minorHAnsi" w:cstheme="minorBidi"/>
          <w:szCs w:val="22"/>
        </w:rPr>
      </w:pPr>
      <w:r>
        <w:t>16.</w:t>
      </w:r>
      <w:r>
        <w:tab/>
        <w:t>Declaration — corresponding laws</w:t>
      </w:r>
      <w:r>
        <w:tab/>
      </w:r>
      <w:r>
        <w:fldChar w:fldCharType="begin"/>
      </w:r>
      <w:r>
        <w:instrText xml:space="preserve"> PAGEREF _Toc426105242 \h </w:instrText>
      </w:r>
      <w:r>
        <w:fldChar w:fldCharType="separate"/>
      </w:r>
      <w:r>
        <w:t>8</w:t>
      </w:r>
      <w:r>
        <w:fldChar w:fldCharType="end"/>
      </w:r>
    </w:p>
    <w:p>
      <w:pPr>
        <w:pStyle w:val="TOC8"/>
        <w:rPr>
          <w:rFonts w:asciiTheme="minorHAnsi" w:eastAsiaTheme="minorEastAsia" w:hAnsiTheme="minorHAnsi" w:cstheme="minorBidi"/>
          <w:szCs w:val="22"/>
        </w:rPr>
      </w:pPr>
      <w:r>
        <w:t>17.</w:t>
      </w:r>
      <w:r>
        <w:tab/>
        <w:t>Declaration — forfeiture order</w:t>
      </w:r>
      <w:r>
        <w:tab/>
      </w:r>
      <w:r>
        <w:fldChar w:fldCharType="begin"/>
      </w:r>
      <w:r>
        <w:instrText xml:space="preserve"> PAGEREF _Toc426105243 \h </w:instrText>
      </w:r>
      <w:r>
        <w:fldChar w:fldCharType="separate"/>
      </w:r>
      <w:r>
        <w:t>8</w:t>
      </w:r>
      <w:r>
        <w:fldChar w:fldCharType="end"/>
      </w:r>
    </w:p>
    <w:p>
      <w:pPr>
        <w:pStyle w:val="TOC8"/>
        <w:rPr>
          <w:rFonts w:asciiTheme="minorHAnsi" w:eastAsiaTheme="minorEastAsia" w:hAnsiTheme="minorHAnsi" w:cstheme="minorBidi"/>
          <w:szCs w:val="22"/>
        </w:rPr>
      </w:pPr>
      <w:r>
        <w:t>18.</w:t>
      </w:r>
      <w:r>
        <w:tab/>
        <w:t>Declaration — special forfeiture order</w:t>
      </w:r>
      <w:r>
        <w:tab/>
      </w:r>
      <w:r>
        <w:fldChar w:fldCharType="begin"/>
      </w:r>
      <w:r>
        <w:instrText xml:space="preserve"> PAGEREF _Toc426105244 \h </w:instrText>
      </w:r>
      <w:r>
        <w:fldChar w:fldCharType="separate"/>
      </w:r>
      <w:r>
        <w:t>8</w:t>
      </w:r>
      <w:r>
        <w:fldChar w:fldCharType="end"/>
      </w:r>
    </w:p>
    <w:p>
      <w:pPr>
        <w:pStyle w:val="TOC8"/>
        <w:rPr>
          <w:rFonts w:asciiTheme="minorHAnsi" w:eastAsiaTheme="minorEastAsia" w:hAnsiTheme="minorHAnsi" w:cstheme="minorBidi"/>
          <w:szCs w:val="22"/>
        </w:rPr>
      </w:pPr>
      <w:r>
        <w:t>19.</w:t>
      </w:r>
      <w:r>
        <w:tab/>
        <w:t>Declaration — pecuniary penalty order</w:t>
      </w:r>
      <w:r>
        <w:tab/>
      </w:r>
      <w:r>
        <w:fldChar w:fldCharType="begin"/>
      </w:r>
      <w:r>
        <w:instrText xml:space="preserve"> PAGEREF _Toc426105245 \h </w:instrText>
      </w:r>
      <w:r>
        <w:fldChar w:fldCharType="separate"/>
      </w:r>
      <w:r>
        <w:t>9</w:t>
      </w:r>
      <w:r>
        <w:fldChar w:fldCharType="end"/>
      </w:r>
    </w:p>
    <w:p>
      <w:pPr>
        <w:pStyle w:val="TOC8"/>
        <w:rPr>
          <w:rFonts w:asciiTheme="minorHAnsi" w:eastAsiaTheme="minorEastAsia" w:hAnsiTheme="minorHAnsi" w:cstheme="minorBidi"/>
          <w:szCs w:val="22"/>
        </w:rPr>
      </w:pPr>
      <w:r>
        <w:t>20.</w:t>
      </w:r>
      <w:r>
        <w:tab/>
        <w:t>Declaration — restraining order</w:t>
      </w:r>
      <w:r>
        <w:tab/>
      </w:r>
      <w:r>
        <w:fldChar w:fldCharType="begin"/>
      </w:r>
      <w:r>
        <w:instrText xml:space="preserve"> PAGEREF _Toc426105246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 — South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South Australian Act (1986)</w:t>
      </w:r>
    </w:p>
    <w:p>
      <w:pPr>
        <w:pStyle w:val="TOC8"/>
        <w:rPr>
          <w:rFonts w:asciiTheme="minorHAnsi" w:eastAsiaTheme="minorEastAsia" w:hAnsiTheme="minorHAnsi" w:cstheme="minorBidi"/>
          <w:szCs w:val="22"/>
        </w:rPr>
      </w:pPr>
      <w:r>
        <w:t>21</w:t>
      </w:r>
      <w:r>
        <w:rPr>
          <w:snapToGrid w:val="0"/>
        </w:rPr>
        <w:t>.</w:t>
      </w:r>
      <w:r>
        <w:rPr>
          <w:snapToGrid w:val="0"/>
        </w:rPr>
        <w:tab/>
        <w:t>Declaration — corresponding law</w:t>
      </w:r>
      <w:r>
        <w:tab/>
      </w:r>
      <w:r>
        <w:fldChar w:fldCharType="begin"/>
      </w:r>
      <w:r>
        <w:instrText xml:space="preserve"> PAGEREF _Toc426105249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Declaration — forfeiture order</w:t>
      </w:r>
      <w:r>
        <w:tab/>
      </w:r>
      <w:r>
        <w:fldChar w:fldCharType="begin"/>
      </w:r>
      <w:r>
        <w:instrText xml:space="preserve"> PAGEREF _Toc426105250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Declaration — sequestration order</w:t>
      </w:r>
      <w:r>
        <w:tab/>
      </w:r>
      <w:r>
        <w:fldChar w:fldCharType="begin"/>
      </w:r>
      <w:r>
        <w:instrText xml:space="preserve"> PAGEREF _Toc426105251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South Australian Act (1996)</w:t>
      </w:r>
    </w:p>
    <w:p>
      <w:pPr>
        <w:pStyle w:val="TOC8"/>
        <w:rPr>
          <w:rFonts w:asciiTheme="minorHAnsi" w:eastAsiaTheme="minorEastAsia" w:hAnsiTheme="minorHAnsi" w:cstheme="minorBidi"/>
          <w:szCs w:val="22"/>
        </w:rPr>
      </w:pPr>
      <w:r>
        <w:t>23A</w:t>
      </w:r>
      <w:r>
        <w:rPr>
          <w:snapToGrid w:val="0"/>
        </w:rPr>
        <w:t xml:space="preserve">. </w:t>
      </w:r>
      <w:r>
        <w:rPr>
          <w:snapToGrid w:val="0"/>
        </w:rPr>
        <w:tab/>
        <w:t>Declaration — corresponding law</w:t>
      </w:r>
      <w:r>
        <w:tab/>
      </w:r>
      <w:r>
        <w:fldChar w:fldCharType="begin"/>
      </w:r>
      <w:r>
        <w:instrText xml:space="preserve"> PAGEREF _Toc426105253 \h </w:instrText>
      </w:r>
      <w:r>
        <w:fldChar w:fldCharType="separate"/>
      </w:r>
      <w:r>
        <w:t>10</w:t>
      </w:r>
      <w:r>
        <w:fldChar w:fldCharType="end"/>
      </w:r>
    </w:p>
    <w:p>
      <w:pPr>
        <w:pStyle w:val="TOC8"/>
        <w:rPr>
          <w:rFonts w:asciiTheme="minorHAnsi" w:eastAsiaTheme="minorEastAsia" w:hAnsiTheme="minorHAnsi" w:cstheme="minorBidi"/>
          <w:szCs w:val="22"/>
        </w:rPr>
      </w:pPr>
      <w:r>
        <w:t>23B</w:t>
      </w:r>
      <w:r>
        <w:rPr>
          <w:snapToGrid w:val="0"/>
        </w:rPr>
        <w:t xml:space="preserve">. </w:t>
      </w:r>
      <w:r>
        <w:rPr>
          <w:snapToGrid w:val="0"/>
        </w:rPr>
        <w:tab/>
        <w:t>Declaration — interstate forfeiture order</w:t>
      </w:r>
      <w:r>
        <w:tab/>
      </w:r>
      <w:r>
        <w:fldChar w:fldCharType="begin"/>
      </w:r>
      <w:r>
        <w:instrText xml:space="preserve"> PAGEREF _Toc426105254 \h </w:instrText>
      </w:r>
      <w:r>
        <w:fldChar w:fldCharType="separate"/>
      </w:r>
      <w:r>
        <w:t>11</w:t>
      </w:r>
      <w:r>
        <w:fldChar w:fldCharType="end"/>
      </w:r>
    </w:p>
    <w:p>
      <w:pPr>
        <w:pStyle w:val="TOC8"/>
        <w:rPr>
          <w:rFonts w:asciiTheme="minorHAnsi" w:eastAsiaTheme="minorEastAsia" w:hAnsiTheme="minorHAnsi" w:cstheme="minorBidi"/>
          <w:szCs w:val="22"/>
        </w:rPr>
      </w:pPr>
      <w:r>
        <w:t>23C</w:t>
      </w:r>
      <w:r>
        <w:rPr>
          <w:snapToGrid w:val="0"/>
        </w:rPr>
        <w:t xml:space="preserve">. </w:t>
      </w:r>
      <w:r>
        <w:rPr>
          <w:snapToGrid w:val="0"/>
        </w:rPr>
        <w:tab/>
        <w:t>Declaration — interstate forfeiture order</w:t>
      </w:r>
      <w:r>
        <w:tab/>
      </w:r>
      <w:r>
        <w:fldChar w:fldCharType="begin"/>
      </w:r>
      <w:r>
        <w:instrText xml:space="preserve"> PAGEREF _Toc426105255 \h </w:instrText>
      </w:r>
      <w:r>
        <w:fldChar w:fldCharType="separate"/>
      </w:r>
      <w:r>
        <w:t>11</w:t>
      </w:r>
      <w:r>
        <w:fldChar w:fldCharType="end"/>
      </w:r>
    </w:p>
    <w:p>
      <w:pPr>
        <w:pStyle w:val="TOC8"/>
        <w:rPr>
          <w:rFonts w:asciiTheme="minorHAnsi" w:eastAsiaTheme="minorEastAsia" w:hAnsiTheme="minorHAnsi" w:cstheme="minorBidi"/>
          <w:szCs w:val="22"/>
        </w:rPr>
      </w:pPr>
      <w:r>
        <w:t>23D</w:t>
      </w:r>
      <w:r>
        <w:rPr>
          <w:snapToGrid w:val="0"/>
        </w:rPr>
        <w:t xml:space="preserve">. </w:t>
      </w:r>
      <w:r>
        <w:rPr>
          <w:snapToGrid w:val="0"/>
        </w:rPr>
        <w:tab/>
        <w:t>Declaration — interstate restraining order</w:t>
      </w:r>
      <w:r>
        <w:tab/>
      </w:r>
      <w:r>
        <w:fldChar w:fldCharType="begin"/>
      </w:r>
      <w:r>
        <w:instrText xml:space="preserve"> PAGEREF _Toc426105256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VI — Victoria</w:t>
      </w:r>
    </w:p>
    <w:p>
      <w:pPr>
        <w:pStyle w:val="TOC4"/>
        <w:tabs>
          <w:tab w:val="right" w:leader="dot" w:pos="7077"/>
        </w:tabs>
        <w:rPr>
          <w:rFonts w:asciiTheme="minorHAnsi" w:eastAsiaTheme="minorEastAsia" w:hAnsiTheme="minorHAnsi" w:cstheme="minorBidi"/>
          <w:b w:val="0"/>
          <w:szCs w:val="22"/>
        </w:rPr>
      </w:pPr>
      <w:r>
        <w:t>Division 1 — Application of the Victorian Act (1986)</w:t>
      </w:r>
    </w:p>
    <w:p>
      <w:pPr>
        <w:pStyle w:val="TOC8"/>
        <w:rPr>
          <w:rFonts w:asciiTheme="minorHAnsi" w:eastAsiaTheme="minorEastAsia" w:hAnsiTheme="minorHAnsi" w:cstheme="minorBidi"/>
          <w:szCs w:val="22"/>
        </w:rPr>
      </w:pPr>
      <w:r>
        <w:t>24</w:t>
      </w:r>
      <w:r>
        <w:rPr>
          <w:snapToGrid w:val="0"/>
        </w:rPr>
        <w:t>.</w:t>
      </w:r>
      <w:r>
        <w:rPr>
          <w:snapToGrid w:val="0"/>
        </w:rPr>
        <w:tab/>
        <w:t>Declaration — corresponding law</w:t>
      </w:r>
      <w:r>
        <w:tab/>
      </w:r>
      <w:r>
        <w:fldChar w:fldCharType="begin"/>
      </w:r>
      <w:r>
        <w:instrText xml:space="preserve"> PAGEREF _Toc426105259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Declaration — forfeiture order</w:t>
      </w:r>
      <w:r>
        <w:tab/>
      </w:r>
      <w:r>
        <w:fldChar w:fldCharType="begin"/>
      </w:r>
      <w:r>
        <w:instrText xml:space="preserve"> PAGEREF _Toc426105260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Declaration — pecuniary penalty order</w:t>
      </w:r>
      <w:r>
        <w:tab/>
      </w:r>
      <w:r>
        <w:fldChar w:fldCharType="begin"/>
      </w:r>
      <w:r>
        <w:instrText xml:space="preserve"> PAGEREF _Toc426105261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Declaration — restraining order</w:t>
      </w:r>
      <w:r>
        <w:tab/>
      </w:r>
      <w:r>
        <w:fldChar w:fldCharType="begin"/>
      </w:r>
      <w:r>
        <w:instrText xml:space="preserve"> PAGEREF _Toc426105262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 of the Victorian Act (1997)</w:t>
      </w:r>
    </w:p>
    <w:p>
      <w:pPr>
        <w:pStyle w:val="TOC8"/>
        <w:rPr>
          <w:rFonts w:asciiTheme="minorHAnsi" w:eastAsiaTheme="minorEastAsia" w:hAnsiTheme="minorHAnsi" w:cstheme="minorBidi"/>
          <w:szCs w:val="22"/>
        </w:rPr>
      </w:pPr>
      <w:r>
        <w:t>27A.</w:t>
      </w:r>
      <w:r>
        <w:tab/>
        <w:t>Declaration — corresponding law</w:t>
      </w:r>
      <w:r>
        <w:tab/>
      </w:r>
      <w:r>
        <w:fldChar w:fldCharType="begin"/>
      </w:r>
      <w:r>
        <w:instrText xml:space="preserve"> PAGEREF _Toc426105264 \h </w:instrText>
      </w:r>
      <w:r>
        <w:fldChar w:fldCharType="separate"/>
      </w:r>
      <w:r>
        <w:t>13</w:t>
      </w:r>
      <w:r>
        <w:fldChar w:fldCharType="end"/>
      </w:r>
    </w:p>
    <w:p>
      <w:pPr>
        <w:pStyle w:val="TOC8"/>
        <w:rPr>
          <w:rFonts w:asciiTheme="minorHAnsi" w:eastAsiaTheme="minorEastAsia" w:hAnsiTheme="minorHAnsi" w:cstheme="minorBidi"/>
          <w:szCs w:val="22"/>
        </w:rPr>
      </w:pPr>
      <w:r>
        <w:t>27B.</w:t>
      </w:r>
      <w:r>
        <w:tab/>
        <w:t>Declaration — forfeiture order</w:t>
      </w:r>
      <w:r>
        <w:tab/>
      </w:r>
      <w:r>
        <w:fldChar w:fldCharType="begin"/>
      </w:r>
      <w:r>
        <w:instrText xml:space="preserve"> PAGEREF _Toc426105265 \h </w:instrText>
      </w:r>
      <w:r>
        <w:fldChar w:fldCharType="separate"/>
      </w:r>
      <w:r>
        <w:t>13</w:t>
      </w:r>
      <w:r>
        <w:fldChar w:fldCharType="end"/>
      </w:r>
    </w:p>
    <w:p>
      <w:pPr>
        <w:pStyle w:val="TOC8"/>
        <w:rPr>
          <w:rFonts w:asciiTheme="minorHAnsi" w:eastAsiaTheme="minorEastAsia" w:hAnsiTheme="minorHAnsi" w:cstheme="minorBidi"/>
          <w:szCs w:val="22"/>
        </w:rPr>
      </w:pPr>
      <w:r>
        <w:t>27C.</w:t>
      </w:r>
      <w:r>
        <w:tab/>
        <w:t>Declaration — pecuniary penalty order</w:t>
      </w:r>
      <w:r>
        <w:tab/>
      </w:r>
      <w:r>
        <w:fldChar w:fldCharType="begin"/>
      </w:r>
      <w:r>
        <w:instrText xml:space="preserve"> PAGEREF _Toc426105266 \h </w:instrText>
      </w:r>
      <w:r>
        <w:fldChar w:fldCharType="separate"/>
      </w:r>
      <w:r>
        <w:t>13</w:t>
      </w:r>
      <w:r>
        <w:fldChar w:fldCharType="end"/>
      </w:r>
    </w:p>
    <w:p>
      <w:pPr>
        <w:pStyle w:val="TOC8"/>
        <w:rPr>
          <w:rFonts w:asciiTheme="minorHAnsi" w:eastAsiaTheme="minorEastAsia" w:hAnsiTheme="minorHAnsi" w:cstheme="minorBidi"/>
          <w:szCs w:val="22"/>
        </w:rPr>
      </w:pPr>
      <w:r>
        <w:t>27D.</w:t>
      </w:r>
      <w:r>
        <w:tab/>
        <w:t>Declaration — restraining order</w:t>
      </w:r>
      <w:r>
        <w:tab/>
      </w:r>
      <w:r>
        <w:fldChar w:fldCharType="begin"/>
      </w:r>
      <w:r>
        <w:instrText xml:space="preserve"> PAGEREF _Toc426105267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VII — Tasmania</w:t>
      </w:r>
    </w:p>
    <w:p>
      <w:pPr>
        <w:pStyle w:val="TOC8"/>
        <w:rPr>
          <w:rFonts w:asciiTheme="minorHAnsi" w:eastAsiaTheme="minorEastAsia" w:hAnsiTheme="minorHAnsi" w:cstheme="minorBidi"/>
          <w:szCs w:val="22"/>
        </w:rPr>
      </w:pPr>
      <w:r>
        <w:t>28</w:t>
      </w:r>
      <w:r>
        <w:rPr>
          <w:snapToGrid w:val="0"/>
        </w:rPr>
        <w:t>.</w:t>
      </w:r>
      <w:r>
        <w:rPr>
          <w:snapToGrid w:val="0"/>
        </w:rPr>
        <w:tab/>
        <w:t>Declaration — corresponding law</w:t>
      </w:r>
      <w:r>
        <w:tab/>
      </w:r>
      <w:r>
        <w:fldChar w:fldCharType="begin"/>
      </w:r>
      <w:r>
        <w:instrText xml:space="preserve"> PAGEREF _Toc426105269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Declaration — forfeiture order</w:t>
      </w:r>
      <w:r>
        <w:tab/>
      </w:r>
      <w:r>
        <w:fldChar w:fldCharType="begin"/>
      </w:r>
      <w:r>
        <w:instrText xml:space="preserve"> PAGEREF _Toc426105270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Declaration — pecuniary penalty order</w:t>
      </w:r>
      <w:r>
        <w:tab/>
      </w:r>
      <w:r>
        <w:fldChar w:fldCharType="begin"/>
      </w:r>
      <w:r>
        <w:instrText xml:space="preserve"> PAGEREF _Toc426105271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Declaration — restraining order</w:t>
      </w:r>
      <w:r>
        <w:tab/>
      </w:r>
      <w:r>
        <w:fldChar w:fldCharType="begin"/>
      </w:r>
      <w:r>
        <w:instrText xml:space="preserve"> PAGEREF _Toc426105272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VIII — Australian Capital Territory</w:t>
      </w:r>
    </w:p>
    <w:p>
      <w:pPr>
        <w:pStyle w:val="TOC8"/>
        <w:rPr>
          <w:rFonts w:asciiTheme="minorHAnsi" w:eastAsiaTheme="minorEastAsia" w:hAnsiTheme="minorHAnsi" w:cstheme="minorBidi"/>
          <w:szCs w:val="22"/>
        </w:rPr>
      </w:pPr>
      <w:r>
        <w:t>32</w:t>
      </w:r>
      <w:r>
        <w:rPr>
          <w:snapToGrid w:val="0"/>
        </w:rPr>
        <w:t>.</w:t>
      </w:r>
      <w:r>
        <w:rPr>
          <w:snapToGrid w:val="0"/>
        </w:rPr>
        <w:tab/>
        <w:t>Declaration — corresponding law</w:t>
      </w:r>
      <w:r>
        <w:tab/>
      </w:r>
      <w:r>
        <w:fldChar w:fldCharType="begin"/>
      </w:r>
      <w:r>
        <w:instrText xml:space="preserve"> PAGEREF _Toc426105274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Declaration — forfeiture order</w:t>
      </w:r>
      <w:r>
        <w:tab/>
      </w:r>
      <w:r>
        <w:fldChar w:fldCharType="begin"/>
      </w:r>
      <w:r>
        <w:instrText xml:space="preserve"> PAGEREF _Toc426105275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Declaration — pecuniary penalty order</w:t>
      </w:r>
      <w:r>
        <w:tab/>
      </w:r>
      <w:r>
        <w:fldChar w:fldCharType="begin"/>
      </w:r>
      <w:r>
        <w:instrText xml:space="preserve"> PAGEREF _Toc426105276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Declaration — order for forfeiture</w:t>
      </w:r>
      <w:r>
        <w:tab/>
      </w:r>
      <w:r>
        <w:fldChar w:fldCharType="begin"/>
      </w:r>
      <w:r>
        <w:instrText xml:space="preserve"> PAGEREF _Toc426105277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Declaration — restraining order</w:t>
      </w:r>
      <w:r>
        <w:tab/>
      </w:r>
      <w:r>
        <w:fldChar w:fldCharType="begin"/>
      </w:r>
      <w:r>
        <w:instrText xml:space="preserve"> PAGEREF _Toc426105278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_Toc426105280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CRIMES (CONFISCATION OF PROFITS) ACT 1988</w:t>
      </w:r>
    </w:p>
    <w:p>
      <w:pPr>
        <w:pStyle w:val="NameofActReg"/>
      </w:pPr>
      <w:r>
        <w:t>Crimes (Confiscation of Profits) (Corresponding Laws) Regulations 1990</w:t>
      </w:r>
    </w:p>
    <w:p>
      <w:pPr>
        <w:pStyle w:val="MadeBy"/>
      </w:pPr>
      <w:r>
        <w:t>Made by His Excellency the Governor in Executive Council under sections 56 and 61.</w:t>
      </w:r>
    </w:p>
    <w:p>
      <w:pPr>
        <w:pStyle w:val="Heading2"/>
      </w:pPr>
      <w:bookmarkStart w:id="4" w:name="_Toc380139615"/>
      <w:bookmarkStart w:id="5" w:name="_Toc380139680"/>
      <w:bookmarkStart w:id="6" w:name="_Toc426105216"/>
      <w:r>
        <w:rPr>
          <w:rStyle w:val="CharPartNo"/>
        </w:rPr>
        <w:t>Part I</w:t>
      </w:r>
      <w:r>
        <w:t> — </w:t>
      </w:r>
      <w:r>
        <w:rPr>
          <w:rStyle w:val="CharPartText"/>
        </w:rPr>
        <w:t>Preliminary</w:t>
      </w:r>
      <w:bookmarkEnd w:id="4"/>
      <w:bookmarkEnd w:id="5"/>
      <w:bookmarkEnd w:id="6"/>
    </w:p>
    <w:p>
      <w:pPr>
        <w:pStyle w:val="Heading5"/>
        <w:rPr>
          <w:snapToGrid w:val="0"/>
        </w:rPr>
      </w:pPr>
      <w:bookmarkStart w:id="7" w:name="_Toc380139681"/>
      <w:bookmarkStart w:id="8" w:name="_Toc426105217"/>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Crimes (Confiscation of Profits) (Corresponding Laws) Regulations 1990.</w:t>
      </w:r>
      <w:r>
        <w:rPr>
          <w:snapToGrid w:val="0"/>
        </w:rPr>
        <w:t xml:space="preserve"> </w:t>
      </w:r>
    </w:p>
    <w:p>
      <w:pPr>
        <w:pStyle w:val="Footnotesection"/>
      </w:pPr>
      <w:r>
        <w:tab/>
        <w:t xml:space="preserve">[Regulation 1 amended by Gazette 3 December 1993 p.6480.] </w:t>
      </w:r>
    </w:p>
    <w:p>
      <w:pPr>
        <w:pStyle w:val="Heading5"/>
        <w:rPr>
          <w:snapToGrid w:val="0"/>
        </w:rPr>
      </w:pPr>
      <w:bookmarkStart w:id="9" w:name="_Toc380139682"/>
      <w:bookmarkStart w:id="10" w:name="_Toc426105218"/>
      <w:r>
        <w:rPr>
          <w:rStyle w:val="CharSectno"/>
        </w:rPr>
        <w:t>2</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b/>
        </w:rPr>
        <w:t>“the Australian Capital Territory Act”</w:t>
      </w:r>
      <w:r>
        <w:t xml:space="preserve"> means the </w:t>
      </w:r>
      <w:r>
        <w:rPr>
          <w:i/>
        </w:rPr>
        <w:t>Proceeds of Crime Act 1991</w:t>
      </w:r>
      <w:r>
        <w:t xml:space="preserve"> of the Australian Capital Territory as amended from time to time;</w:t>
      </w:r>
    </w:p>
    <w:p>
      <w:pPr>
        <w:pStyle w:val="Defstart"/>
      </w:pPr>
      <w:r>
        <w:rPr>
          <w:b/>
        </w:rPr>
        <w:tab/>
        <w:t>“the New South Wales Act (1985)”</w:t>
      </w:r>
      <w:r>
        <w:t xml:space="preserve"> means the </w:t>
      </w:r>
      <w:r>
        <w:rPr>
          <w:i/>
        </w:rPr>
        <w:t>Crimes (Confiscation of Profits) Act 1985</w:t>
      </w:r>
      <w:r>
        <w:t xml:space="preserve"> of New South Wales as amended from time to time;</w:t>
      </w:r>
    </w:p>
    <w:p>
      <w:pPr>
        <w:pStyle w:val="Defstart"/>
      </w:pPr>
      <w:r>
        <w:rPr>
          <w:b/>
        </w:rPr>
        <w:tab/>
        <w:t>“the New South Wales Act (1989)”</w:t>
      </w:r>
      <w:r>
        <w:t xml:space="preserve"> means the </w:t>
      </w:r>
      <w:r>
        <w:rPr>
          <w:i/>
        </w:rPr>
        <w:t>Confiscation of Proceeds of Crime Act 1989</w:t>
      </w:r>
      <w:r>
        <w:t xml:space="preserve"> of New South Wales as amended from time to time;</w:t>
      </w:r>
    </w:p>
    <w:p>
      <w:pPr>
        <w:pStyle w:val="Defstart"/>
      </w:pPr>
      <w:r>
        <w:tab/>
      </w:r>
      <w:r>
        <w:rPr>
          <w:b/>
        </w:rPr>
        <w:t>“</w:t>
      </w:r>
      <w:r>
        <w:rPr>
          <w:rStyle w:val="CharDefText"/>
        </w:rPr>
        <w:t>the New South Wales Act (1990)</w:t>
      </w:r>
      <w:r>
        <w:rPr>
          <w:b/>
        </w:rPr>
        <w:t>”</w:t>
      </w:r>
      <w:r>
        <w:t xml:space="preserve"> means the </w:t>
      </w:r>
      <w:r>
        <w:rPr>
          <w:i/>
        </w:rPr>
        <w:t>Criminal Assets Recovery Act 1990</w:t>
      </w:r>
      <w:r>
        <w:t xml:space="preserve"> of New South Wales as amended from time to time;</w:t>
      </w:r>
    </w:p>
    <w:p>
      <w:pPr>
        <w:pStyle w:val="Defstart"/>
      </w:pPr>
      <w:r>
        <w:rPr>
          <w:b/>
        </w:rPr>
        <w:tab/>
        <w:t>“the Northern Territory Act”</w:t>
      </w:r>
      <w:r>
        <w:t xml:space="preserve"> means the </w:t>
      </w:r>
      <w:r>
        <w:rPr>
          <w:i/>
        </w:rPr>
        <w:t>Crimes (Forfeiture of Proceeds) Act 1988</w:t>
      </w:r>
      <w:r>
        <w:t xml:space="preserve"> of the Northern Territory as amended from time to time;</w:t>
      </w:r>
    </w:p>
    <w:p>
      <w:pPr>
        <w:pStyle w:val="Defstart"/>
      </w:pPr>
      <w:r>
        <w:tab/>
      </w:r>
      <w:r>
        <w:rPr>
          <w:b/>
        </w:rPr>
        <w:t>“the South Australian Act (1986)”</w:t>
      </w:r>
      <w:r>
        <w:t xml:space="preserve"> means the </w:t>
      </w:r>
      <w:r>
        <w:rPr>
          <w:i/>
        </w:rPr>
        <w:t>Crimes (Confiscation of Profits) Act 1986</w:t>
      </w:r>
      <w:r>
        <w:t xml:space="preserve"> of South Australia as amended from time to time;</w:t>
      </w:r>
    </w:p>
    <w:p>
      <w:pPr>
        <w:pStyle w:val="Defstart"/>
      </w:pPr>
      <w:r>
        <w:tab/>
      </w:r>
      <w:r>
        <w:rPr>
          <w:b/>
        </w:rPr>
        <w:t>“the South Australian Act (1996)”</w:t>
      </w:r>
      <w:r>
        <w:t xml:space="preserve"> means the </w:t>
      </w:r>
      <w:r>
        <w:rPr>
          <w:i/>
        </w:rPr>
        <w:t>Criminal Assets Confiscation Act 1996</w:t>
      </w:r>
      <w:r>
        <w:t xml:space="preserve"> of South Australia as amended from time to time;</w:t>
      </w:r>
    </w:p>
    <w:p>
      <w:pPr>
        <w:pStyle w:val="Defstart"/>
      </w:pPr>
      <w:r>
        <w:rPr>
          <w:b/>
        </w:rPr>
        <w:tab/>
        <w:t>“the Tasmanian Act”</w:t>
      </w:r>
      <w:r>
        <w:t xml:space="preserve"> means the </w:t>
      </w:r>
      <w:r>
        <w:rPr>
          <w:i/>
        </w:rPr>
        <w:t>Crime (Confiscation of Profit) Act 1993</w:t>
      </w:r>
      <w:r>
        <w:t xml:space="preserve"> of Tasmania as amended from time to time;</w:t>
      </w:r>
    </w:p>
    <w:p>
      <w:pPr>
        <w:pStyle w:val="Defstart"/>
      </w:pPr>
      <w:r>
        <w:tab/>
      </w:r>
      <w:r>
        <w:rPr>
          <w:b/>
        </w:rPr>
        <w:t>“</w:t>
      </w:r>
      <w:r>
        <w:rPr>
          <w:rStyle w:val="CharDefText"/>
        </w:rPr>
        <w:t>the Victorian Act (1986)</w:t>
      </w:r>
      <w:r>
        <w:rPr>
          <w:b/>
        </w:rPr>
        <w:t>”</w:t>
      </w:r>
      <w:r>
        <w:t xml:space="preserve"> means the </w:t>
      </w:r>
      <w:r>
        <w:rPr>
          <w:i/>
        </w:rPr>
        <w:t>Crimes (Confiscation of Profits) Act 1986</w:t>
      </w:r>
      <w:r>
        <w:t xml:space="preserve"> of Victoria as amended from time to time;</w:t>
      </w:r>
    </w:p>
    <w:p>
      <w:pPr>
        <w:pStyle w:val="Defstart"/>
      </w:pPr>
      <w:r>
        <w:tab/>
      </w:r>
      <w:r>
        <w:rPr>
          <w:b/>
        </w:rPr>
        <w:t>“</w:t>
      </w:r>
      <w:r>
        <w:rPr>
          <w:rStyle w:val="CharDefText"/>
        </w:rPr>
        <w:t>the Victorian Act (1997)</w:t>
      </w:r>
      <w:r>
        <w:rPr>
          <w:b/>
        </w:rPr>
        <w:t>”</w:t>
      </w:r>
      <w:r>
        <w:t xml:space="preserve"> means the </w:t>
      </w:r>
      <w:r>
        <w:rPr>
          <w:i/>
        </w:rPr>
        <w:t>Confiscation Act 1997</w:t>
      </w:r>
      <w:r>
        <w:t xml:space="preserve"> of Victoria as amended from time to time.</w:t>
      </w:r>
    </w:p>
    <w:p>
      <w:pPr>
        <w:pStyle w:val="Footnotesection"/>
      </w:pPr>
      <w:r>
        <w:tab/>
        <w:t>[Regulation 2 amended by Gazettes 3 December 1993 p.6480; 8 December 1995 p.5972; 12 December 1997 pp.7264</w:t>
      </w:r>
      <w:r>
        <w:noBreakHyphen/>
        <w:t xml:space="preserve">5; 29 October 1999 pp.5397-8; 13 October 2000 p.5719.] </w:t>
      </w:r>
    </w:p>
    <w:p>
      <w:pPr>
        <w:pStyle w:val="Heading2"/>
      </w:pPr>
      <w:bookmarkStart w:id="11" w:name="_Toc380139618"/>
      <w:bookmarkStart w:id="12" w:name="_Toc380139683"/>
      <w:bookmarkStart w:id="13" w:name="_Toc426105219"/>
      <w:r>
        <w:rPr>
          <w:rStyle w:val="CharPartNo"/>
        </w:rPr>
        <w:t>Part II</w:t>
      </w:r>
      <w:r>
        <w:t> — </w:t>
      </w:r>
      <w:r>
        <w:rPr>
          <w:rStyle w:val="CharPartText"/>
        </w:rPr>
        <w:t>New South Wales</w:t>
      </w:r>
      <w:bookmarkEnd w:id="11"/>
      <w:bookmarkEnd w:id="12"/>
      <w:bookmarkEnd w:id="13"/>
      <w:r>
        <w:rPr>
          <w:rStyle w:val="CharPartText"/>
        </w:rPr>
        <w:t xml:space="preserve"> </w:t>
      </w:r>
    </w:p>
    <w:p>
      <w:pPr>
        <w:pStyle w:val="Heading3"/>
        <w:rPr>
          <w:snapToGrid w:val="0"/>
        </w:rPr>
      </w:pPr>
      <w:bookmarkStart w:id="14" w:name="_Toc380139619"/>
      <w:bookmarkStart w:id="15" w:name="_Toc380139684"/>
      <w:bookmarkStart w:id="16" w:name="_Toc426105220"/>
      <w:r>
        <w:rPr>
          <w:rStyle w:val="CharDivNo"/>
        </w:rPr>
        <w:t>Division 1</w:t>
      </w:r>
      <w:r>
        <w:rPr>
          <w:snapToGrid w:val="0"/>
        </w:rPr>
        <w:t> — </w:t>
      </w:r>
      <w:r>
        <w:rPr>
          <w:rStyle w:val="CharDivText"/>
        </w:rPr>
        <w:t>Application of the New South Wales Act (1985)</w:t>
      </w:r>
      <w:bookmarkEnd w:id="14"/>
      <w:bookmarkEnd w:id="15"/>
      <w:bookmarkEnd w:id="16"/>
      <w:r>
        <w:rPr>
          <w:rStyle w:val="CharDivText"/>
        </w:rPr>
        <w:t xml:space="preserve"> </w:t>
      </w:r>
    </w:p>
    <w:p>
      <w:pPr>
        <w:pStyle w:val="Heading5"/>
        <w:rPr>
          <w:snapToGrid w:val="0"/>
        </w:rPr>
      </w:pPr>
      <w:bookmarkStart w:id="17" w:name="_Toc380139685"/>
      <w:bookmarkStart w:id="18" w:name="_Toc426105221"/>
      <w:r>
        <w:rPr>
          <w:rStyle w:val="CharSectno"/>
        </w:rPr>
        <w:t>3</w:t>
      </w:r>
      <w:r>
        <w:rPr>
          <w:snapToGrid w:val="0"/>
        </w:rPr>
        <w:t>.</w:t>
      </w:r>
      <w:r>
        <w:rPr>
          <w:snapToGrid w:val="0"/>
        </w:rPr>
        <w:tab/>
        <w:t>Declaration — corresponding law</w:t>
      </w:r>
      <w:bookmarkEnd w:id="17"/>
      <w:bookmarkEnd w:id="18"/>
      <w:r>
        <w:rPr>
          <w:snapToGrid w:val="0"/>
        </w:rPr>
        <w:t xml:space="preserve"> </w:t>
      </w:r>
    </w:p>
    <w:p>
      <w:pPr>
        <w:pStyle w:val="Subsection"/>
        <w:rPr>
          <w:snapToGrid w:val="0"/>
        </w:rPr>
      </w:pPr>
      <w:r>
        <w:rPr>
          <w:snapToGrid w:val="0"/>
        </w:rPr>
        <w:tab/>
      </w:r>
      <w:r>
        <w:rPr>
          <w:snapToGrid w:val="0"/>
        </w:rPr>
        <w:tab/>
        <w:t>The New South Wales Act (1985) is declared to be a law which corresponds to the Act.</w:t>
      </w:r>
    </w:p>
    <w:p>
      <w:pPr>
        <w:pStyle w:val="Heading5"/>
        <w:rPr>
          <w:snapToGrid w:val="0"/>
        </w:rPr>
      </w:pPr>
      <w:bookmarkStart w:id="19" w:name="_Toc380139686"/>
      <w:bookmarkStart w:id="20" w:name="_Toc426105222"/>
      <w:r>
        <w:rPr>
          <w:rStyle w:val="CharSectno"/>
        </w:rPr>
        <w:t>4</w:t>
      </w:r>
      <w:r>
        <w:rPr>
          <w:snapToGrid w:val="0"/>
        </w:rPr>
        <w:t>.</w:t>
      </w:r>
      <w:r>
        <w:rPr>
          <w:snapToGrid w:val="0"/>
        </w:rPr>
        <w:tab/>
        <w:t>Declaration — forfeiture order</w:t>
      </w:r>
      <w:bookmarkEnd w:id="19"/>
      <w:bookmarkEnd w:id="20"/>
      <w:r>
        <w:rPr>
          <w:snapToGrid w:val="0"/>
        </w:rPr>
        <w:t xml:space="preserve"> </w:t>
      </w:r>
    </w:p>
    <w:p>
      <w:pPr>
        <w:pStyle w:val="Subsection"/>
        <w:rPr>
          <w:snapToGrid w:val="0"/>
        </w:rPr>
      </w:pPr>
      <w:r>
        <w:rPr>
          <w:snapToGrid w:val="0"/>
        </w:rPr>
        <w:tab/>
      </w:r>
      <w:r>
        <w:rPr>
          <w:snapToGrid w:val="0"/>
        </w:rPr>
        <w:tab/>
        <w:t>A forfeiture order made under section 5 (1) of the New South Wales Act (1985) is declared to be an order within the definition of “interstate forfeiture order” in section 3 (1) of the Act.</w:t>
      </w:r>
    </w:p>
    <w:p>
      <w:pPr>
        <w:pStyle w:val="Heading5"/>
        <w:rPr>
          <w:snapToGrid w:val="0"/>
        </w:rPr>
      </w:pPr>
      <w:bookmarkStart w:id="21" w:name="_Toc380139687"/>
      <w:bookmarkStart w:id="22" w:name="_Toc426105223"/>
      <w:r>
        <w:rPr>
          <w:rStyle w:val="CharSectno"/>
        </w:rPr>
        <w:t>5</w:t>
      </w:r>
      <w:r>
        <w:rPr>
          <w:snapToGrid w:val="0"/>
        </w:rPr>
        <w:t>.</w:t>
      </w:r>
      <w:r>
        <w:rPr>
          <w:snapToGrid w:val="0"/>
        </w:rPr>
        <w:tab/>
        <w:t>Declaration — pecuniary penalty order</w:t>
      </w:r>
      <w:bookmarkEnd w:id="21"/>
      <w:bookmarkEnd w:id="22"/>
      <w:r>
        <w:rPr>
          <w:snapToGrid w:val="0"/>
        </w:rPr>
        <w:t xml:space="preserve"> </w:t>
      </w:r>
    </w:p>
    <w:p>
      <w:pPr>
        <w:pStyle w:val="Subsection"/>
        <w:rPr>
          <w:snapToGrid w:val="0"/>
        </w:rPr>
      </w:pPr>
      <w:r>
        <w:rPr>
          <w:snapToGrid w:val="0"/>
        </w:rPr>
        <w:tab/>
      </w:r>
      <w:r>
        <w:rPr>
          <w:snapToGrid w:val="0"/>
        </w:rPr>
        <w:tab/>
        <w:t>A pecuniary penalty order made under section 10 (1) of the New South Wales Act (1985) is declared to be an order within the definition of “interstate pecuniary penalty order” in section 3 (1) of the Act.</w:t>
      </w:r>
    </w:p>
    <w:p>
      <w:pPr>
        <w:pStyle w:val="Heading5"/>
        <w:rPr>
          <w:snapToGrid w:val="0"/>
        </w:rPr>
      </w:pPr>
      <w:bookmarkStart w:id="23" w:name="_Toc380139688"/>
      <w:bookmarkStart w:id="24" w:name="_Toc426105224"/>
      <w:r>
        <w:rPr>
          <w:rStyle w:val="CharSectno"/>
        </w:rPr>
        <w:t>6</w:t>
      </w:r>
      <w:r>
        <w:rPr>
          <w:snapToGrid w:val="0"/>
        </w:rPr>
        <w:t>.</w:t>
      </w:r>
      <w:r>
        <w:rPr>
          <w:snapToGrid w:val="0"/>
        </w:rPr>
        <w:tab/>
        <w:t>Declaration — restraining order</w:t>
      </w:r>
      <w:bookmarkEnd w:id="23"/>
      <w:bookmarkEnd w:id="24"/>
      <w:r>
        <w:rPr>
          <w:snapToGrid w:val="0"/>
        </w:rPr>
        <w:t xml:space="preserve"> </w:t>
      </w:r>
    </w:p>
    <w:p>
      <w:pPr>
        <w:pStyle w:val="Subsection"/>
        <w:rPr>
          <w:snapToGrid w:val="0"/>
        </w:rPr>
      </w:pPr>
      <w:r>
        <w:rPr>
          <w:snapToGrid w:val="0"/>
        </w:rPr>
        <w:tab/>
      </w:r>
      <w:r>
        <w:rPr>
          <w:snapToGrid w:val="0"/>
        </w:rPr>
        <w:tab/>
        <w:t>A restraining order made under section 12 (2) of the New South Wales Act (1985) is declared to be an order within the definition of “interstate restraining order” in section 3 (1) of the Act.</w:t>
      </w:r>
    </w:p>
    <w:p>
      <w:pPr>
        <w:pStyle w:val="Heading3"/>
        <w:rPr>
          <w:snapToGrid w:val="0"/>
        </w:rPr>
      </w:pPr>
      <w:bookmarkStart w:id="25" w:name="_Toc380139624"/>
      <w:bookmarkStart w:id="26" w:name="_Toc380139689"/>
      <w:bookmarkStart w:id="27" w:name="_Toc426105225"/>
      <w:r>
        <w:rPr>
          <w:rStyle w:val="CharDivNo"/>
        </w:rPr>
        <w:t>Division 2</w:t>
      </w:r>
      <w:r>
        <w:rPr>
          <w:snapToGrid w:val="0"/>
        </w:rPr>
        <w:t> — </w:t>
      </w:r>
      <w:r>
        <w:rPr>
          <w:rStyle w:val="CharDivText"/>
        </w:rPr>
        <w:t>Application of the New South Wales Act (1989)</w:t>
      </w:r>
      <w:bookmarkEnd w:id="25"/>
      <w:bookmarkEnd w:id="26"/>
      <w:bookmarkEnd w:id="27"/>
      <w:r>
        <w:rPr>
          <w:rStyle w:val="CharDivText"/>
        </w:rPr>
        <w:t xml:space="preserve"> </w:t>
      </w:r>
    </w:p>
    <w:p>
      <w:pPr>
        <w:pStyle w:val="Heading5"/>
        <w:rPr>
          <w:snapToGrid w:val="0"/>
        </w:rPr>
      </w:pPr>
      <w:bookmarkStart w:id="28" w:name="_Toc380139690"/>
      <w:bookmarkStart w:id="29" w:name="_Toc426105226"/>
      <w:r>
        <w:rPr>
          <w:rStyle w:val="CharSectno"/>
        </w:rPr>
        <w:t>7</w:t>
      </w:r>
      <w:r>
        <w:rPr>
          <w:snapToGrid w:val="0"/>
        </w:rPr>
        <w:t>.</w:t>
      </w:r>
      <w:r>
        <w:rPr>
          <w:snapToGrid w:val="0"/>
        </w:rPr>
        <w:tab/>
        <w:t>Declaration — corresponding law</w:t>
      </w:r>
      <w:bookmarkEnd w:id="28"/>
      <w:bookmarkEnd w:id="29"/>
      <w:r>
        <w:rPr>
          <w:snapToGrid w:val="0"/>
        </w:rPr>
        <w:t xml:space="preserve"> </w:t>
      </w:r>
    </w:p>
    <w:p>
      <w:pPr>
        <w:pStyle w:val="Subsection"/>
        <w:rPr>
          <w:snapToGrid w:val="0"/>
        </w:rPr>
      </w:pPr>
      <w:r>
        <w:rPr>
          <w:snapToGrid w:val="0"/>
        </w:rPr>
        <w:tab/>
      </w:r>
      <w:r>
        <w:rPr>
          <w:snapToGrid w:val="0"/>
        </w:rPr>
        <w:tab/>
        <w:t>The New South Wales Act (1989) is declared to be a law which corresponds to the Act.</w:t>
      </w:r>
    </w:p>
    <w:p>
      <w:pPr>
        <w:pStyle w:val="Heading5"/>
        <w:rPr>
          <w:snapToGrid w:val="0"/>
        </w:rPr>
      </w:pPr>
      <w:bookmarkStart w:id="30" w:name="_Toc380139691"/>
      <w:bookmarkStart w:id="31" w:name="_Toc426105227"/>
      <w:r>
        <w:rPr>
          <w:rStyle w:val="CharSectno"/>
        </w:rPr>
        <w:t>8</w:t>
      </w:r>
      <w:r>
        <w:rPr>
          <w:snapToGrid w:val="0"/>
        </w:rPr>
        <w:t>.</w:t>
      </w:r>
      <w:r>
        <w:rPr>
          <w:snapToGrid w:val="0"/>
        </w:rPr>
        <w:tab/>
        <w:t>Declaration — drug proceeds order</w:t>
      </w:r>
      <w:bookmarkEnd w:id="30"/>
      <w:bookmarkEnd w:id="31"/>
      <w:r>
        <w:rPr>
          <w:snapToGrid w:val="0"/>
        </w:rPr>
        <w:t xml:space="preserve"> </w:t>
      </w:r>
    </w:p>
    <w:p>
      <w:pPr>
        <w:pStyle w:val="Subsection"/>
        <w:rPr>
          <w:snapToGrid w:val="0"/>
        </w:rPr>
      </w:pPr>
      <w:r>
        <w:rPr>
          <w:snapToGrid w:val="0"/>
        </w:rPr>
        <w:tab/>
      </w:r>
      <w:r>
        <w:rPr>
          <w:snapToGrid w:val="0"/>
        </w:rPr>
        <w:tab/>
        <w:t>A drug proceeds order made under section 29 (1) of the New South Wales Act (1989) is declared to be an order within the definition of “interstate forfeiture order” in section 3 (1) of the Act.</w:t>
      </w:r>
    </w:p>
    <w:p>
      <w:pPr>
        <w:pStyle w:val="Heading5"/>
        <w:rPr>
          <w:snapToGrid w:val="0"/>
        </w:rPr>
      </w:pPr>
      <w:bookmarkStart w:id="32" w:name="_Toc380139692"/>
      <w:bookmarkStart w:id="33" w:name="_Toc426105228"/>
      <w:r>
        <w:rPr>
          <w:rStyle w:val="CharSectno"/>
        </w:rPr>
        <w:t>9</w:t>
      </w:r>
      <w:r>
        <w:rPr>
          <w:snapToGrid w:val="0"/>
        </w:rPr>
        <w:t>.</w:t>
      </w:r>
      <w:r>
        <w:rPr>
          <w:snapToGrid w:val="0"/>
        </w:rPr>
        <w:tab/>
        <w:t>Declaration — forfeiture order</w:t>
      </w:r>
      <w:bookmarkEnd w:id="32"/>
      <w:bookmarkEnd w:id="33"/>
      <w:r>
        <w:rPr>
          <w:snapToGrid w:val="0"/>
        </w:rPr>
        <w:t xml:space="preserve"> </w:t>
      </w:r>
    </w:p>
    <w:p>
      <w:pPr>
        <w:pStyle w:val="Subsection"/>
        <w:rPr>
          <w:snapToGrid w:val="0"/>
        </w:rPr>
      </w:pPr>
      <w:r>
        <w:rPr>
          <w:snapToGrid w:val="0"/>
        </w:rPr>
        <w:tab/>
      </w:r>
      <w:r>
        <w:rPr>
          <w:snapToGrid w:val="0"/>
        </w:rPr>
        <w:tab/>
        <w:t>A forfeiture order made under section 18 (1) of the New South Wales Act (1989) is declared to be an order within the definition of “interstate forfeiture order” in section 3 (1) of the Act.</w:t>
      </w:r>
    </w:p>
    <w:p>
      <w:pPr>
        <w:pStyle w:val="Heading5"/>
        <w:rPr>
          <w:snapToGrid w:val="0"/>
        </w:rPr>
      </w:pPr>
      <w:bookmarkStart w:id="34" w:name="_Toc380139693"/>
      <w:bookmarkStart w:id="35" w:name="_Toc426105229"/>
      <w:r>
        <w:rPr>
          <w:rStyle w:val="CharSectno"/>
        </w:rPr>
        <w:t>10</w:t>
      </w:r>
      <w:r>
        <w:rPr>
          <w:snapToGrid w:val="0"/>
        </w:rPr>
        <w:t>.</w:t>
      </w:r>
      <w:r>
        <w:rPr>
          <w:snapToGrid w:val="0"/>
        </w:rPr>
        <w:tab/>
        <w:t>Declaration — pecuniary penalty order</w:t>
      </w:r>
      <w:bookmarkEnd w:id="34"/>
      <w:bookmarkEnd w:id="35"/>
      <w:r>
        <w:rPr>
          <w:snapToGrid w:val="0"/>
        </w:rPr>
        <w:t xml:space="preserve"> </w:t>
      </w:r>
    </w:p>
    <w:p>
      <w:pPr>
        <w:pStyle w:val="Subsection"/>
        <w:rPr>
          <w:snapToGrid w:val="0"/>
        </w:rPr>
      </w:pPr>
      <w:r>
        <w:rPr>
          <w:snapToGrid w:val="0"/>
        </w:rPr>
        <w:tab/>
      </w:r>
      <w:r>
        <w:rPr>
          <w:snapToGrid w:val="0"/>
        </w:rPr>
        <w:tab/>
        <w:t>A pecuniary penalty order made under section 24 (1) of the New South Wales Act (1989) is declared to be an order within the definition of “interstate pecuniary penalty order” in section 3 (1) of the Act.</w:t>
      </w:r>
    </w:p>
    <w:p>
      <w:pPr>
        <w:pStyle w:val="Heading5"/>
        <w:rPr>
          <w:snapToGrid w:val="0"/>
        </w:rPr>
      </w:pPr>
      <w:bookmarkStart w:id="36" w:name="_Toc380139694"/>
      <w:bookmarkStart w:id="37" w:name="_Toc426105230"/>
      <w:r>
        <w:rPr>
          <w:rStyle w:val="CharSectno"/>
        </w:rPr>
        <w:t>11</w:t>
      </w:r>
      <w:r>
        <w:rPr>
          <w:snapToGrid w:val="0"/>
        </w:rPr>
        <w:t>.</w:t>
      </w:r>
      <w:r>
        <w:rPr>
          <w:snapToGrid w:val="0"/>
        </w:rPr>
        <w:tab/>
        <w:t>Declaration — restraining order</w:t>
      </w:r>
      <w:bookmarkEnd w:id="36"/>
      <w:bookmarkEnd w:id="37"/>
      <w:r>
        <w:rPr>
          <w:snapToGrid w:val="0"/>
        </w:rPr>
        <w:t xml:space="preserve"> </w:t>
      </w:r>
    </w:p>
    <w:p>
      <w:pPr>
        <w:pStyle w:val="Subsection"/>
        <w:rPr>
          <w:snapToGrid w:val="0"/>
        </w:rPr>
      </w:pPr>
      <w:r>
        <w:rPr>
          <w:snapToGrid w:val="0"/>
        </w:rPr>
        <w:tab/>
      </w:r>
      <w:r>
        <w:rPr>
          <w:snapToGrid w:val="0"/>
        </w:rPr>
        <w:tab/>
        <w:t>A restraining order made under section 43 of the New South Wales Act (1989) is declared to be an order within the definition of “interstate restraining order” in section 3 (1) of the Act.</w:t>
      </w:r>
    </w:p>
    <w:p>
      <w:pPr>
        <w:pStyle w:val="Heading3"/>
      </w:pPr>
      <w:bookmarkStart w:id="38" w:name="_Toc380139630"/>
      <w:bookmarkStart w:id="39" w:name="_Toc380139695"/>
      <w:bookmarkStart w:id="40" w:name="_Toc426105231"/>
      <w:r>
        <w:rPr>
          <w:rStyle w:val="CharDivNo"/>
        </w:rPr>
        <w:t>Division 3</w:t>
      </w:r>
      <w:r>
        <w:t xml:space="preserve"> — </w:t>
      </w:r>
      <w:r>
        <w:rPr>
          <w:rStyle w:val="CharDivText"/>
        </w:rPr>
        <w:t>Application of the New South Wales Act (1990)</w:t>
      </w:r>
      <w:bookmarkEnd w:id="38"/>
      <w:bookmarkEnd w:id="39"/>
      <w:bookmarkEnd w:id="40"/>
    </w:p>
    <w:p>
      <w:pPr>
        <w:pStyle w:val="Footnoteheading"/>
      </w:pPr>
      <w:r>
        <w:t>[Heading inserted in Gazette 29 October 1999 p.5398.]</w:t>
      </w:r>
    </w:p>
    <w:p>
      <w:pPr>
        <w:pStyle w:val="Heading5"/>
      </w:pPr>
      <w:bookmarkStart w:id="41" w:name="_Toc380139696"/>
      <w:bookmarkStart w:id="42" w:name="_Toc426105232"/>
      <w:r>
        <w:rPr>
          <w:rStyle w:val="CharSectno"/>
        </w:rPr>
        <w:t>11A</w:t>
      </w:r>
      <w:r>
        <w:t>.</w:t>
      </w:r>
      <w:r>
        <w:tab/>
        <w:t>Declaration — corresponding law</w:t>
      </w:r>
      <w:bookmarkEnd w:id="41"/>
      <w:bookmarkEnd w:id="42"/>
    </w:p>
    <w:p>
      <w:pPr>
        <w:pStyle w:val="Subsection"/>
      </w:pPr>
      <w:r>
        <w:tab/>
      </w:r>
      <w:r>
        <w:tab/>
        <w:t>The New South Wales Act (1990) is declared to be a law which corresponds to the Act.</w:t>
      </w:r>
    </w:p>
    <w:p>
      <w:pPr>
        <w:pStyle w:val="Footnotesection"/>
      </w:pPr>
      <w:r>
        <w:tab/>
        <w:t>[Regulation 11A inserted in Gazette 29 October 1999 p.5398.]</w:t>
      </w:r>
    </w:p>
    <w:p>
      <w:pPr>
        <w:pStyle w:val="Heading5"/>
      </w:pPr>
      <w:bookmarkStart w:id="43" w:name="_Toc380139697"/>
      <w:bookmarkStart w:id="44" w:name="_Toc426105233"/>
      <w:r>
        <w:rPr>
          <w:rStyle w:val="CharSectno"/>
        </w:rPr>
        <w:t>11B</w:t>
      </w:r>
      <w:r>
        <w:t>.</w:t>
      </w:r>
      <w:r>
        <w:tab/>
        <w:t>Declaration — forfeiture order</w:t>
      </w:r>
      <w:bookmarkEnd w:id="43"/>
      <w:bookmarkEnd w:id="44"/>
    </w:p>
    <w:p>
      <w:pPr>
        <w:pStyle w:val="Subsection"/>
      </w:pPr>
      <w:r>
        <w:tab/>
      </w:r>
      <w:r>
        <w:tab/>
        <w:t>A forfeiture order made under section 22 of the New South Wales Act (1990) is declared to be an order within the definition of “interstate forfeiture order” in section 3(1) of the Act.</w:t>
      </w:r>
    </w:p>
    <w:p>
      <w:pPr>
        <w:pStyle w:val="Footnotesection"/>
      </w:pPr>
      <w:r>
        <w:tab/>
        <w:t>[Regulation 11B inserted in Gazette 29 October 1999 p.5398.]</w:t>
      </w:r>
    </w:p>
    <w:p>
      <w:pPr>
        <w:pStyle w:val="Heading5"/>
      </w:pPr>
      <w:bookmarkStart w:id="45" w:name="_Toc380139698"/>
      <w:bookmarkStart w:id="46" w:name="_Toc426105234"/>
      <w:r>
        <w:rPr>
          <w:rStyle w:val="CharSectno"/>
        </w:rPr>
        <w:t>11C</w:t>
      </w:r>
      <w:r>
        <w:t>.</w:t>
      </w:r>
      <w:r>
        <w:tab/>
        <w:t>Declaration — pecuniary penalty order</w:t>
      </w:r>
      <w:bookmarkEnd w:id="45"/>
      <w:bookmarkEnd w:id="46"/>
    </w:p>
    <w:p>
      <w:pPr>
        <w:pStyle w:val="Subsection"/>
      </w:pPr>
      <w:r>
        <w:tab/>
      </w:r>
      <w:r>
        <w:tab/>
        <w:t>A proceeds assessment order made under section 27 of the New South Wales Act (1990) is declared to be an order within the definition of “interstate pecuniary penalty order” in section 3(1) of the Act.</w:t>
      </w:r>
    </w:p>
    <w:p>
      <w:pPr>
        <w:pStyle w:val="Footnotesection"/>
      </w:pPr>
      <w:r>
        <w:tab/>
        <w:t>[Regulation 11C inserted in Gazette 29 October 1999 p.5398.]</w:t>
      </w:r>
    </w:p>
    <w:p>
      <w:pPr>
        <w:pStyle w:val="Heading5"/>
      </w:pPr>
      <w:bookmarkStart w:id="47" w:name="_Toc380139699"/>
      <w:bookmarkStart w:id="48" w:name="_Toc426105235"/>
      <w:r>
        <w:rPr>
          <w:rStyle w:val="CharSectno"/>
        </w:rPr>
        <w:t>11D</w:t>
      </w:r>
      <w:r>
        <w:t>.</w:t>
      </w:r>
      <w:r>
        <w:tab/>
        <w:t>Declaration — restraining order</w:t>
      </w:r>
      <w:bookmarkEnd w:id="47"/>
      <w:bookmarkEnd w:id="48"/>
    </w:p>
    <w:p>
      <w:pPr>
        <w:pStyle w:val="Subsection"/>
      </w:pPr>
      <w:r>
        <w:tab/>
      </w:r>
      <w:r>
        <w:tab/>
        <w:t>A restraining order made under section 10 of the New South Wales Act (1990) is declared to be an order within the definition of “interstate restraining order” in section 3(1) of the Act.</w:t>
      </w:r>
    </w:p>
    <w:p>
      <w:pPr>
        <w:pStyle w:val="Footnotesection"/>
      </w:pPr>
      <w:r>
        <w:tab/>
        <w:t>[Regulation 11D inserted in Gazette 29 October 1999 p.5398.]</w:t>
      </w:r>
    </w:p>
    <w:p>
      <w:pPr>
        <w:pStyle w:val="Heading2"/>
      </w:pPr>
      <w:bookmarkStart w:id="49" w:name="_Toc380139635"/>
      <w:bookmarkStart w:id="50" w:name="_Toc380139700"/>
      <w:bookmarkStart w:id="51" w:name="_Toc426105236"/>
      <w:r>
        <w:rPr>
          <w:rStyle w:val="CharPartNo"/>
        </w:rPr>
        <w:t>Part III</w:t>
      </w:r>
      <w:r>
        <w:rPr>
          <w:rStyle w:val="CharDivNo"/>
        </w:rPr>
        <w:t> </w:t>
      </w:r>
      <w:r>
        <w:t>—</w:t>
      </w:r>
      <w:r>
        <w:rPr>
          <w:rStyle w:val="CharDivText"/>
        </w:rPr>
        <w:t> </w:t>
      </w:r>
      <w:r>
        <w:rPr>
          <w:rStyle w:val="CharPartText"/>
        </w:rPr>
        <w:t>Northern Territory</w:t>
      </w:r>
      <w:bookmarkEnd w:id="49"/>
      <w:bookmarkEnd w:id="50"/>
      <w:bookmarkEnd w:id="51"/>
      <w:r>
        <w:rPr>
          <w:rStyle w:val="CharPartText"/>
        </w:rPr>
        <w:t xml:space="preserve"> </w:t>
      </w:r>
    </w:p>
    <w:p>
      <w:pPr>
        <w:pStyle w:val="Heading5"/>
        <w:rPr>
          <w:snapToGrid w:val="0"/>
        </w:rPr>
      </w:pPr>
      <w:bookmarkStart w:id="52" w:name="_Toc380139701"/>
      <w:bookmarkStart w:id="53" w:name="_Toc426105237"/>
      <w:r>
        <w:rPr>
          <w:rStyle w:val="CharSectno"/>
        </w:rPr>
        <w:t>12</w:t>
      </w:r>
      <w:r>
        <w:rPr>
          <w:snapToGrid w:val="0"/>
        </w:rPr>
        <w:t>.</w:t>
      </w:r>
      <w:r>
        <w:rPr>
          <w:snapToGrid w:val="0"/>
        </w:rPr>
        <w:tab/>
        <w:t>Declaration — corresponding law</w:t>
      </w:r>
      <w:bookmarkEnd w:id="52"/>
      <w:bookmarkEnd w:id="53"/>
      <w:r>
        <w:rPr>
          <w:snapToGrid w:val="0"/>
        </w:rPr>
        <w:t xml:space="preserve"> </w:t>
      </w:r>
    </w:p>
    <w:p>
      <w:pPr>
        <w:pStyle w:val="Subsection"/>
        <w:rPr>
          <w:snapToGrid w:val="0"/>
        </w:rPr>
      </w:pPr>
      <w:r>
        <w:rPr>
          <w:snapToGrid w:val="0"/>
        </w:rPr>
        <w:tab/>
      </w:r>
      <w:r>
        <w:rPr>
          <w:snapToGrid w:val="0"/>
        </w:rPr>
        <w:tab/>
        <w:t>The Northern Territory Act is declared to be a law which corresponds to the Act.</w:t>
      </w:r>
    </w:p>
    <w:p>
      <w:pPr>
        <w:pStyle w:val="Heading5"/>
        <w:rPr>
          <w:snapToGrid w:val="0"/>
        </w:rPr>
      </w:pPr>
      <w:bookmarkStart w:id="54" w:name="_Toc380139702"/>
      <w:bookmarkStart w:id="55" w:name="_Toc426105238"/>
      <w:r>
        <w:rPr>
          <w:rStyle w:val="CharSectno"/>
        </w:rPr>
        <w:t>13</w:t>
      </w:r>
      <w:r>
        <w:rPr>
          <w:snapToGrid w:val="0"/>
        </w:rPr>
        <w:t>.</w:t>
      </w:r>
      <w:r>
        <w:rPr>
          <w:snapToGrid w:val="0"/>
        </w:rPr>
        <w:tab/>
        <w:t>Declaration — forfeiture order</w:t>
      </w:r>
      <w:bookmarkEnd w:id="54"/>
      <w:bookmarkEnd w:id="55"/>
      <w:r>
        <w:rPr>
          <w:snapToGrid w:val="0"/>
        </w:rPr>
        <w:t xml:space="preserve"> </w:t>
      </w:r>
    </w:p>
    <w:p>
      <w:pPr>
        <w:pStyle w:val="Subsection"/>
        <w:rPr>
          <w:snapToGrid w:val="0"/>
        </w:rPr>
      </w:pPr>
      <w:r>
        <w:rPr>
          <w:snapToGrid w:val="0"/>
        </w:rPr>
        <w:tab/>
      </w:r>
      <w:r>
        <w:rPr>
          <w:snapToGrid w:val="0"/>
        </w:rPr>
        <w:tab/>
        <w:t>A forfeiture order made under section 5 (1) of the Northern Territory Act is declared to be an order within the definition of “interstate forfeiture order” in section 3 (1) of the Act.</w:t>
      </w:r>
    </w:p>
    <w:p>
      <w:pPr>
        <w:pStyle w:val="Heading5"/>
        <w:rPr>
          <w:snapToGrid w:val="0"/>
        </w:rPr>
      </w:pPr>
      <w:bookmarkStart w:id="56" w:name="_Toc380139703"/>
      <w:bookmarkStart w:id="57" w:name="_Toc426105239"/>
      <w:r>
        <w:rPr>
          <w:rStyle w:val="CharSectno"/>
        </w:rPr>
        <w:t>14</w:t>
      </w:r>
      <w:r>
        <w:rPr>
          <w:snapToGrid w:val="0"/>
        </w:rPr>
        <w:t>.</w:t>
      </w:r>
      <w:r>
        <w:rPr>
          <w:snapToGrid w:val="0"/>
        </w:rPr>
        <w:tab/>
        <w:t>Declaration — pecuniary penalty order</w:t>
      </w:r>
      <w:bookmarkEnd w:id="56"/>
      <w:bookmarkEnd w:id="57"/>
      <w:r>
        <w:rPr>
          <w:snapToGrid w:val="0"/>
        </w:rPr>
        <w:t xml:space="preserve"> </w:t>
      </w:r>
    </w:p>
    <w:p>
      <w:pPr>
        <w:pStyle w:val="Subsection"/>
        <w:rPr>
          <w:snapToGrid w:val="0"/>
        </w:rPr>
      </w:pPr>
      <w:r>
        <w:rPr>
          <w:snapToGrid w:val="0"/>
        </w:rPr>
        <w:tab/>
      </w:r>
      <w:r>
        <w:rPr>
          <w:snapToGrid w:val="0"/>
        </w:rPr>
        <w:tab/>
        <w:t>A pecuniary penalty order made under section 10 (1) of the Northern Territory Act is declared to be an order within the definition of “interstate pecuniary penalty order” in section 3 (1) of the Act.</w:t>
      </w:r>
    </w:p>
    <w:p>
      <w:pPr>
        <w:pStyle w:val="Heading5"/>
        <w:rPr>
          <w:snapToGrid w:val="0"/>
        </w:rPr>
      </w:pPr>
      <w:bookmarkStart w:id="58" w:name="_Toc380139704"/>
      <w:bookmarkStart w:id="59" w:name="_Toc426105240"/>
      <w:r>
        <w:rPr>
          <w:rStyle w:val="CharSectno"/>
        </w:rPr>
        <w:t>15</w:t>
      </w:r>
      <w:r>
        <w:rPr>
          <w:snapToGrid w:val="0"/>
        </w:rPr>
        <w:t>.</w:t>
      </w:r>
      <w:r>
        <w:rPr>
          <w:snapToGrid w:val="0"/>
        </w:rPr>
        <w:tab/>
        <w:t>Declaration — restraining order</w:t>
      </w:r>
      <w:bookmarkEnd w:id="58"/>
      <w:bookmarkEnd w:id="59"/>
      <w:r>
        <w:rPr>
          <w:snapToGrid w:val="0"/>
        </w:rPr>
        <w:t xml:space="preserve"> </w:t>
      </w:r>
    </w:p>
    <w:p>
      <w:pPr>
        <w:pStyle w:val="Subsection"/>
        <w:rPr>
          <w:snapToGrid w:val="0"/>
        </w:rPr>
      </w:pPr>
      <w:r>
        <w:rPr>
          <w:snapToGrid w:val="0"/>
        </w:rPr>
        <w:tab/>
      </w:r>
      <w:r>
        <w:rPr>
          <w:snapToGrid w:val="0"/>
        </w:rPr>
        <w:tab/>
        <w:t>A restraining order made under section 14 (2) of the Northern Territory Act is declared to be an order within the definition of “interstate restraining order” in section 3 (1) of the Act.</w:t>
      </w:r>
    </w:p>
    <w:p>
      <w:pPr>
        <w:pStyle w:val="Heading2"/>
      </w:pPr>
      <w:bookmarkStart w:id="60" w:name="_Toc380139640"/>
      <w:bookmarkStart w:id="61" w:name="_Toc380139705"/>
      <w:bookmarkStart w:id="62" w:name="_Toc426105241"/>
      <w:r>
        <w:rPr>
          <w:rStyle w:val="CharPartNo"/>
        </w:rPr>
        <w:t>Part IV</w:t>
      </w:r>
      <w:r>
        <w:rPr>
          <w:rStyle w:val="CharDivNo"/>
        </w:rPr>
        <w:t> </w:t>
      </w:r>
      <w:r>
        <w:t>—</w:t>
      </w:r>
      <w:r>
        <w:rPr>
          <w:rStyle w:val="CharDivText"/>
        </w:rPr>
        <w:t> </w:t>
      </w:r>
      <w:r>
        <w:rPr>
          <w:rStyle w:val="CharPartText"/>
        </w:rPr>
        <w:t>Queensland</w:t>
      </w:r>
      <w:bookmarkEnd w:id="60"/>
      <w:bookmarkEnd w:id="61"/>
      <w:bookmarkEnd w:id="62"/>
      <w:r>
        <w:rPr>
          <w:rStyle w:val="CharPartText"/>
        </w:rPr>
        <w:t xml:space="preserve"> </w:t>
      </w:r>
    </w:p>
    <w:p>
      <w:pPr>
        <w:pStyle w:val="Heading5"/>
      </w:pPr>
      <w:bookmarkStart w:id="63" w:name="_Toc380139706"/>
      <w:bookmarkStart w:id="64" w:name="_Toc426105242"/>
      <w:r>
        <w:rPr>
          <w:rStyle w:val="CharSectno"/>
        </w:rPr>
        <w:t>16</w:t>
      </w:r>
      <w:r>
        <w:t>.</w:t>
      </w:r>
      <w:r>
        <w:tab/>
        <w:t>Declaration — corresponding laws</w:t>
      </w:r>
      <w:bookmarkEnd w:id="63"/>
      <w:bookmarkEnd w:id="64"/>
    </w:p>
    <w:p>
      <w:pPr>
        <w:pStyle w:val="Subsection"/>
      </w:pPr>
      <w:r>
        <w:tab/>
        <w:t>(1)</w:t>
      </w:r>
      <w:r>
        <w:tab/>
        <w:t xml:space="preserve">The </w:t>
      </w:r>
      <w:r>
        <w:rPr>
          <w:i/>
        </w:rPr>
        <w:t>Crimes (Confiscation of Profits) Act 1989</w:t>
      </w:r>
      <w:r>
        <w:t xml:space="preserve"> of Queensland, as amended from time to time, is declared to be a law which corresponds to the Act.</w:t>
      </w:r>
    </w:p>
    <w:p>
      <w:pPr>
        <w:pStyle w:val="Subsection"/>
      </w:pPr>
      <w:r>
        <w:tab/>
        <w:t>(2)</w:t>
      </w:r>
      <w:r>
        <w:tab/>
        <w:t xml:space="preserve">The </w:t>
      </w:r>
      <w:r>
        <w:rPr>
          <w:i/>
        </w:rPr>
        <w:t>Crimes (Confiscation) Act 1989</w:t>
      </w:r>
      <w:r>
        <w:t xml:space="preserve"> of Queensland, as amended from time to time, is declared to be a law which corresponds to the Act.</w:t>
      </w:r>
    </w:p>
    <w:p>
      <w:pPr>
        <w:pStyle w:val="Footnotesection"/>
      </w:pPr>
      <w:r>
        <w:tab/>
        <w:t>[Regulations 16 inserted in Gazette 13 October 2000 p.5719.]</w:t>
      </w:r>
    </w:p>
    <w:p>
      <w:pPr>
        <w:pStyle w:val="Heading5"/>
      </w:pPr>
      <w:bookmarkStart w:id="65" w:name="_Toc380139707"/>
      <w:bookmarkStart w:id="66" w:name="_Toc426105243"/>
      <w:r>
        <w:rPr>
          <w:rStyle w:val="CharSectno"/>
        </w:rPr>
        <w:t>17</w:t>
      </w:r>
      <w:r>
        <w:t>.</w:t>
      </w:r>
      <w:r>
        <w:tab/>
        <w:t>Declaration — forfeiture order</w:t>
      </w:r>
      <w:bookmarkEnd w:id="65"/>
      <w:bookmarkEnd w:id="66"/>
    </w:p>
    <w:p>
      <w:pPr>
        <w:pStyle w:val="Subsection"/>
      </w:pPr>
      <w:r>
        <w:tab/>
      </w:r>
      <w:r>
        <w:tab/>
        <w:t>A forfeiture order made —</w:t>
      </w:r>
    </w:p>
    <w:p>
      <w:pPr>
        <w:pStyle w:val="Indenta"/>
      </w:pPr>
      <w:r>
        <w:tab/>
        <w:t>(a)</w:t>
      </w:r>
      <w:r>
        <w:tab/>
        <w:t xml:space="preserve">under section 8(1) of the </w:t>
      </w:r>
      <w:r>
        <w:rPr>
          <w:i/>
        </w:rPr>
        <w:t>Crimes (Confiscation of Profits) Act 1989</w:t>
      </w:r>
      <w:r>
        <w:t xml:space="preserve"> of Queensland; or</w:t>
      </w:r>
    </w:p>
    <w:p>
      <w:pPr>
        <w:pStyle w:val="Indenta"/>
      </w:pPr>
      <w:r>
        <w:tab/>
        <w:t>(b)</w:t>
      </w:r>
      <w:r>
        <w:tab/>
        <w:t xml:space="preserve">under section 23(1) of the </w:t>
      </w:r>
      <w:r>
        <w:rPr>
          <w:i/>
        </w:rPr>
        <w:t>Crimes (Confiscation) Act 1989</w:t>
      </w:r>
      <w:r>
        <w:t xml:space="preserve"> of Queensland,</w:t>
      </w:r>
    </w:p>
    <w:p>
      <w:pPr>
        <w:pStyle w:val="Subsection"/>
      </w:pPr>
      <w:r>
        <w:tab/>
      </w:r>
      <w:r>
        <w:tab/>
        <w:t>is declared to be an order within the definition of “interstate forfeiture order” in section 3(1) of the Act.</w:t>
      </w:r>
    </w:p>
    <w:p>
      <w:pPr>
        <w:pStyle w:val="Footnotesection"/>
      </w:pPr>
      <w:r>
        <w:tab/>
        <w:t>[Regulations 17 inserted in Gazette 13 October 2000 p.5720.]</w:t>
      </w:r>
    </w:p>
    <w:p>
      <w:pPr>
        <w:pStyle w:val="Heading5"/>
      </w:pPr>
      <w:bookmarkStart w:id="67" w:name="_Toc380139708"/>
      <w:bookmarkStart w:id="68" w:name="_Toc426105244"/>
      <w:r>
        <w:rPr>
          <w:rStyle w:val="CharSectno"/>
        </w:rPr>
        <w:t>18</w:t>
      </w:r>
      <w:r>
        <w:t>.</w:t>
      </w:r>
      <w:r>
        <w:tab/>
        <w:t>Declaration — special forfeiture order</w:t>
      </w:r>
      <w:bookmarkEnd w:id="67"/>
      <w:bookmarkEnd w:id="68"/>
    </w:p>
    <w:p>
      <w:pPr>
        <w:pStyle w:val="Subsection"/>
      </w:pPr>
      <w:r>
        <w:tab/>
      </w:r>
      <w:r>
        <w:tab/>
        <w:t>A special forfeiture order made —</w:t>
      </w:r>
    </w:p>
    <w:p>
      <w:pPr>
        <w:pStyle w:val="Indenta"/>
      </w:pPr>
      <w:r>
        <w:tab/>
        <w:t>(a)</w:t>
      </w:r>
      <w:r>
        <w:tab/>
        <w:t xml:space="preserve">under section 60 of the </w:t>
      </w:r>
      <w:r>
        <w:rPr>
          <w:i/>
        </w:rPr>
        <w:t>Crimes (Confiscation of Profits) Act 1989</w:t>
      </w:r>
      <w:r>
        <w:t xml:space="preserve"> of Queensland; or</w:t>
      </w:r>
    </w:p>
    <w:p>
      <w:pPr>
        <w:pStyle w:val="Indenta"/>
      </w:pPr>
      <w:r>
        <w:tab/>
        <w:t>(b)</w:t>
      </w:r>
      <w:r>
        <w:tab/>
        <w:t xml:space="preserve">under section 86(1) of the </w:t>
      </w:r>
      <w:r>
        <w:rPr>
          <w:i/>
        </w:rPr>
        <w:t>Crimes (Confiscation) Act 1989</w:t>
      </w:r>
      <w:r>
        <w:t xml:space="preserve"> of Queensland,</w:t>
      </w:r>
    </w:p>
    <w:p>
      <w:pPr>
        <w:pStyle w:val="Subsection"/>
      </w:pPr>
      <w:r>
        <w:tab/>
      </w:r>
      <w:r>
        <w:tab/>
        <w:t>is declared to be an order within the definition of “interstate forfeiture order” in section 3(1) of the Act.</w:t>
      </w:r>
    </w:p>
    <w:p>
      <w:pPr>
        <w:pStyle w:val="Footnotesection"/>
      </w:pPr>
      <w:r>
        <w:tab/>
        <w:t>[Regulations 18 inserted in Gazette 13 October 2000 p.5720.]</w:t>
      </w:r>
    </w:p>
    <w:p>
      <w:pPr>
        <w:pStyle w:val="Heading5"/>
      </w:pPr>
      <w:bookmarkStart w:id="69" w:name="_Toc380139709"/>
      <w:bookmarkStart w:id="70" w:name="_Toc426105245"/>
      <w:r>
        <w:rPr>
          <w:rStyle w:val="CharSectno"/>
        </w:rPr>
        <w:t>19</w:t>
      </w:r>
      <w:r>
        <w:t>.</w:t>
      </w:r>
      <w:r>
        <w:tab/>
        <w:t>Declaration — pecuniary penalty order</w:t>
      </w:r>
      <w:bookmarkEnd w:id="69"/>
      <w:bookmarkEnd w:id="70"/>
    </w:p>
    <w:p>
      <w:pPr>
        <w:pStyle w:val="Subsection"/>
      </w:pPr>
      <w:r>
        <w:tab/>
      </w:r>
      <w:r>
        <w:tab/>
        <w:t>A pecuniary penalty order made —</w:t>
      </w:r>
    </w:p>
    <w:p>
      <w:pPr>
        <w:pStyle w:val="Indenta"/>
      </w:pPr>
      <w:r>
        <w:tab/>
        <w:t>(a)</w:t>
      </w:r>
      <w:r>
        <w:tab/>
        <w:t xml:space="preserve">under section 13(1) of the </w:t>
      </w:r>
      <w:r>
        <w:rPr>
          <w:i/>
        </w:rPr>
        <w:t>Crimes (Confiscation of Profits) Act 1989</w:t>
      </w:r>
      <w:r>
        <w:t xml:space="preserve"> of Queensland; or</w:t>
      </w:r>
    </w:p>
    <w:p>
      <w:pPr>
        <w:pStyle w:val="Indenta"/>
      </w:pPr>
      <w:r>
        <w:tab/>
        <w:t>(b)</w:t>
      </w:r>
      <w:r>
        <w:tab/>
        <w:t xml:space="preserve">under section 34(1) of the </w:t>
      </w:r>
      <w:r>
        <w:rPr>
          <w:i/>
        </w:rPr>
        <w:t>Crimes (Confiscation) Act 1989</w:t>
      </w:r>
      <w:r>
        <w:t xml:space="preserve"> of Queensland,</w:t>
      </w:r>
    </w:p>
    <w:p>
      <w:pPr>
        <w:pStyle w:val="Subsection"/>
      </w:pPr>
      <w:r>
        <w:tab/>
      </w:r>
      <w:r>
        <w:tab/>
        <w:t>is declared to be an order within the definition of “</w:t>
      </w:r>
    </w:p>
    <w:p>
      <w:pPr>
        <w:pStyle w:val="Footnotesection"/>
      </w:pPr>
      <w:r>
        <w:tab/>
        <w:t>[Regulations 19 inserted in Gazette 13 October 2000 p.5720.]</w:t>
      </w:r>
    </w:p>
    <w:p>
      <w:pPr>
        <w:pStyle w:val="Heading5"/>
      </w:pPr>
      <w:bookmarkStart w:id="71" w:name="_Toc380139710"/>
      <w:bookmarkStart w:id="72" w:name="_Toc426105246"/>
      <w:r>
        <w:rPr>
          <w:rStyle w:val="CharSectno"/>
        </w:rPr>
        <w:t>20</w:t>
      </w:r>
      <w:r>
        <w:t>.</w:t>
      </w:r>
      <w:r>
        <w:tab/>
        <w:t>Declaration — restraining order</w:t>
      </w:r>
      <w:bookmarkEnd w:id="71"/>
      <w:bookmarkEnd w:id="72"/>
    </w:p>
    <w:p>
      <w:pPr>
        <w:pStyle w:val="Subsection"/>
      </w:pPr>
      <w:r>
        <w:tab/>
      </w:r>
      <w:r>
        <w:tab/>
        <w:t>A —</w:t>
      </w:r>
    </w:p>
    <w:p>
      <w:pPr>
        <w:pStyle w:val="Indenta"/>
      </w:pPr>
      <w:r>
        <w:tab/>
        <w:t>(a)</w:t>
      </w:r>
      <w:r>
        <w:tab/>
        <w:t xml:space="preserve">restraining order made under section 17 of the </w:t>
      </w:r>
      <w:r>
        <w:rPr>
          <w:i/>
        </w:rPr>
        <w:t>Crimes (Confiscation of Profits) Act 1989</w:t>
      </w:r>
      <w:r>
        <w:t xml:space="preserve"> of Queensland;</w:t>
      </w:r>
    </w:p>
    <w:p>
      <w:pPr>
        <w:pStyle w:val="Indenta"/>
      </w:pPr>
      <w:r>
        <w:tab/>
        <w:t>(b)</w:t>
      </w:r>
      <w:r>
        <w:tab/>
        <w:t xml:space="preserve">restraining order made under section 40 of the </w:t>
      </w:r>
      <w:r>
        <w:rPr>
          <w:i/>
        </w:rPr>
        <w:t>Crimes (Confiscation) Act 1989</w:t>
      </w:r>
      <w:r>
        <w:t xml:space="preserve"> of Queensland; or</w:t>
      </w:r>
    </w:p>
    <w:p>
      <w:pPr>
        <w:pStyle w:val="Indenta"/>
      </w:pPr>
      <w:r>
        <w:tab/>
        <w:t>(c)</w:t>
      </w:r>
      <w:r>
        <w:tab/>
        <w:t xml:space="preserve">further order (relating to an order under paragraph (b) of this regulation) made under section 45 of the </w:t>
      </w:r>
      <w:r>
        <w:rPr>
          <w:i/>
        </w:rPr>
        <w:t>Crimes (Confiscation) Act 1989</w:t>
      </w:r>
      <w:r>
        <w:t xml:space="preserve"> of Queensland,</w:t>
      </w:r>
    </w:p>
    <w:p>
      <w:pPr>
        <w:pStyle w:val="Subsection"/>
      </w:pPr>
      <w:r>
        <w:tab/>
      </w:r>
      <w:r>
        <w:tab/>
        <w:t>is declared to be an order within the definition of “interstate restraining order” in section 3(1) of the Act.</w:t>
      </w:r>
    </w:p>
    <w:p>
      <w:pPr>
        <w:pStyle w:val="Footnotesection"/>
      </w:pPr>
      <w:r>
        <w:tab/>
        <w:t>[Regulations 20 inserted in Gazette 13 October 2000 p.5720.]</w:t>
      </w:r>
    </w:p>
    <w:p>
      <w:pPr>
        <w:pStyle w:val="Heading2"/>
      </w:pPr>
      <w:bookmarkStart w:id="73" w:name="_Toc380139646"/>
      <w:bookmarkStart w:id="74" w:name="_Toc380139711"/>
      <w:bookmarkStart w:id="75" w:name="_Toc426105247"/>
      <w:r>
        <w:rPr>
          <w:rStyle w:val="CharPartNo"/>
        </w:rPr>
        <w:t>Part V</w:t>
      </w:r>
      <w:r>
        <w:t> — </w:t>
      </w:r>
      <w:r>
        <w:rPr>
          <w:rStyle w:val="CharPartText"/>
        </w:rPr>
        <w:t>South Australia</w:t>
      </w:r>
      <w:bookmarkEnd w:id="73"/>
      <w:bookmarkEnd w:id="74"/>
      <w:bookmarkEnd w:id="75"/>
      <w:r>
        <w:rPr>
          <w:rStyle w:val="CharPartText"/>
        </w:rPr>
        <w:t xml:space="preserve"> </w:t>
      </w:r>
    </w:p>
    <w:p>
      <w:pPr>
        <w:pStyle w:val="Heading3"/>
        <w:rPr>
          <w:snapToGrid w:val="0"/>
        </w:rPr>
      </w:pPr>
      <w:bookmarkStart w:id="76" w:name="_Toc380139647"/>
      <w:bookmarkStart w:id="77" w:name="_Toc380139712"/>
      <w:bookmarkStart w:id="78" w:name="_Toc426105248"/>
      <w:r>
        <w:rPr>
          <w:rStyle w:val="CharDivNo"/>
        </w:rPr>
        <w:t>Division 1</w:t>
      </w:r>
      <w:r>
        <w:rPr>
          <w:snapToGrid w:val="0"/>
        </w:rPr>
        <w:t> — </w:t>
      </w:r>
      <w:r>
        <w:rPr>
          <w:rStyle w:val="CharDivText"/>
        </w:rPr>
        <w:t>The South Australian Act (1986)</w:t>
      </w:r>
      <w:bookmarkEnd w:id="76"/>
      <w:bookmarkEnd w:id="77"/>
      <w:bookmarkEnd w:id="78"/>
    </w:p>
    <w:p>
      <w:pPr>
        <w:pStyle w:val="Footnoteheading"/>
        <w:rPr>
          <w:snapToGrid w:val="0"/>
        </w:rPr>
      </w:pPr>
      <w:r>
        <w:rPr>
          <w:snapToGrid w:val="0"/>
        </w:rPr>
        <w:t xml:space="preserve">[Heading inserted in Gazette 12 December 1997 p.7265.] </w:t>
      </w:r>
    </w:p>
    <w:p>
      <w:pPr>
        <w:pStyle w:val="Heading5"/>
        <w:rPr>
          <w:snapToGrid w:val="0"/>
        </w:rPr>
      </w:pPr>
      <w:bookmarkStart w:id="79" w:name="_Toc380139713"/>
      <w:bookmarkStart w:id="80" w:name="_Toc426105249"/>
      <w:r>
        <w:rPr>
          <w:rStyle w:val="CharSectno"/>
        </w:rPr>
        <w:t>21</w:t>
      </w:r>
      <w:r>
        <w:rPr>
          <w:snapToGrid w:val="0"/>
        </w:rPr>
        <w:t>.</w:t>
      </w:r>
      <w:r>
        <w:rPr>
          <w:snapToGrid w:val="0"/>
        </w:rPr>
        <w:tab/>
        <w:t>Declaration — corresponding law</w:t>
      </w:r>
      <w:bookmarkEnd w:id="79"/>
      <w:bookmarkEnd w:id="80"/>
      <w:r>
        <w:rPr>
          <w:snapToGrid w:val="0"/>
        </w:rPr>
        <w:t xml:space="preserve"> </w:t>
      </w:r>
    </w:p>
    <w:p>
      <w:pPr>
        <w:pStyle w:val="Subsection"/>
        <w:rPr>
          <w:snapToGrid w:val="0"/>
        </w:rPr>
      </w:pPr>
      <w:r>
        <w:rPr>
          <w:snapToGrid w:val="0"/>
        </w:rPr>
        <w:tab/>
      </w:r>
      <w:r>
        <w:rPr>
          <w:snapToGrid w:val="0"/>
        </w:rPr>
        <w:tab/>
        <w:t>The South Australian Act (1986) is declared to be a law which corresponds to the Act.</w:t>
      </w:r>
    </w:p>
    <w:p>
      <w:pPr>
        <w:pStyle w:val="Footnotesection"/>
      </w:pPr>
      <w:r>
        <w:tab/>
        <w:t xml:space="preserve">[Regulation 21 amended in Gazette 12 December 1997 p.7265.] </w:t>
      </w:r>
    </w:p>
    <w:p>
      <w:pPr>
        <w:pStyle w:val="Heading5"/>
        <w:rPr>
          <w:snapToGrid w:val="0"/>
        </w:rPr>
      </w:pPr>
      <w:bookmarkStart w:id="81" w:name="_Toc380139714"/>
      <w:bookmarkStart w:id="82" w:name="_Toc426105250"/>
      <w:r>
        <w:rPr>
          <w:rStyle w:val="CharSectno"/>
        </w:rPr>
        <w:t>22</w:t>
      </w:r>
      <w:r>
        <w:rPr>
          <w:snapToGrid w:val="0"/>
        </w:rPr>
        <w:t>.</w:t>
      </w:r>
      <w:r>
        <w:rPr>
          <w:snapToGrid w:val="0"/>
        </w:rPr>
        <w:tab/>
        <w:t>Declaration — forfeiture order</w:t>
      </w:r>
      <w:bookmarkEnd w:id="81"/>
      <w:bookmarkEnd w:id="82"/>
      <w:r>
        <w:rPr>
          <w:snapToGrid w:val="0"/>
        </w:rPr>
        <w:t xml:space="preserve"> </w:t>
      </w:r>
    </w:p>
    <w:p>
      <w:pPr>
        <w:pStyle w:val="Subsection"/>
        <w:rPr>
          <w:snapToGrid w:val="0"/>
        </w:rPr>
      </w:pPr>
      <w:r>
        <w:rPr>
          <w:snapToGrid w:val="0"/>
        </w:rPr>
        <w:tab/>
      </w:r>
      <w:r>
        <w:rPr>
          <w:snapToGrid w:val="0"/>
        </w:rPr>
        <w:tab/>
        <w:t>A forfeiture order made under section 5 (1) of the South Australian Act (1986) is declared to be an order within the definition of “interstate forfeiture order” in section 3 (1) of the Act.</w:t>
      </w:r>
    </w:p>
    <w:p>
      <w:pPr>
        <w:pStyle w:val="Footnotesection"/>
      </w:pPr>
      <w:r>
        <w:tab/>
        <w:t xml:space="preserve">[Regulation 22 amended in Gazette 12 December 1997 p.7265.] </w:t>
      </w:r>
    </w:p>
    <w:p>
      <w:pPr>
        <w:pStyle w:val="Heading5"/>
        <w:rPr>
          <w:snapToGrid w:val="0"/>
        </w:rPr>
      </w:pPr>
      <w:bookmarkStart w:id="83" w:name="_Toc380139715"/>
      <w:bookmarkStart w:id="84" w:name="_Toc426105251"/>
      <w:r>
        <w:rPr>
          <w:rStyle w:val="CharSectno"/>
        </w:rPr>
        <w:t>23</w:t>
      </w:r>
      <w:r>
        <w:rPr>
          <w:snapToGrid w:val="0"/>
        </w:rPr>
        <w:t>.</w:t>
      </w:r>
      <w:r>
        <w:rPr>
          <w:snapToGrid w:val="0"/>
        </w:rPr>
        <w:tab/>
        <w:t>Declaration — sequestration order</w:t>
      </w:r>
      <w:bookmarkEnd w:id="83"/>
      <w:bookmarkEnd w:id="84"/>
      <w:r>
        <w:rPr>
          <w:snapToGrid w:val="0"/>
        </w:rPr>
        <w:t xml:space="preserve"> </w:t>
      </w:r>
    </w:p>
    <w:p>
      <w:pPr>
        <w:pStyle w:val="Subsection"/>
        <w:rPr>
          <w:snapToGrid w:val="0"/>
        </w:rPr>
      </w:pPr>
      <w:r>
        <w:rPr>
          <w:snapToGrid w:val="0"/>
        </w:rPr>
        <w:tab/>
      </w:r>
      <w:r>
        <w:rPr>
          <w:snapToGrid w:val="0"/>
        </w:rPr>
        <w:tab/>
        <w:t>A sequestration order made under section 6 (1) of the South Australian Act (1986) is declared to be an order within the definition of “interstate restraining order” in section 3 (1) of the Act.</w:t>
      </w:r>
    </w:p>
    <w:p>
      <w:pPr>
        <w:pStyle w:val="Footnotesection"/>
      </w:pPr>
      <w:r>
        <w:tab/>
        <w:t xml:space="preserve">[Regulation 23 amended in Gazette 12 December 1997 p.7265.] </w:t>
      </w:r>
    </w:p>
    <w:p>
      <w:pPr>
        <w:pStyle w:val="Heading3"/>
        <w:rPr>
          <w:snapToGrid w:val="0"/>
        </w:rPr>
      </w:pPr>
      <w:bookmarkStart w:id="85" w:name="_Toc380139651"/>
      <w:bookmarkStart w:id="86" w:name="_Toc380139716"/>
      <w:bookmarkStart w:id="87" w:name="_Toc426105252"/>
      <w:r>
        <w:rPr>
          <w:rStyle w:val="CharDivNo"/>
        </w:rPr>
        <w:t>Division 2</w:t>
      </w:r>
      <w:r>
        <w:rPr>
          <w:snapToGrid w:val="0"/>
        </w:rPr>
        <w:t> — </w:t>
      </w:r>
      <w:r>
        <w:rPr>
          <w:rStyle w:val="CharDivText"/>
        </w:rPr>
        <w:t>The South Australian Act (1996)</w:t>
      </w:r>
      <w:bookmarkEnd w:id="85"/>
      <w:bookmarkEnd w:id="86"/>
      <w:bookmarkEnd w:id="87"/>
    </w:p>
    <w:p>
      <w:pPr>
        <w:pStyle w:val="Footnoteheading"/>
        <w:rPr>
          <w:snapToGrid w:val="0"/>
        </w:rPr>
      </w:pPr>
      <w:r>
        <w:rPr>
          <w:snapToGrid w:val="0"/>
        </w:rPr>
        <w:t>[Heading inserted in Gazette 12 December 1997 p.7265.]</w:t>
      </w:r>
    </w:p>
    <w:p>
      <w:pPr>
        <w:pStyle w:val="Heading5"/>
        <w:rPr>
          <w:snapToGrid w:val="0"/>
        </w:rPr>
      </w:pPr>
      <w:bookmarkStart w:id="88" w:name="_Toc380139717"/>
      <w:bookmarkStart w:id="89" w:name="_Toc426105253"/>
      <w:r>
        <w:rPr>
          <w:rStyle w:val="CharSectno"/>
        </w:rPr>
        <w:t>23A</w:t>
      </w:r>
      <w:r>
        <w:rPr>
          <w:snapToGrid w:val="0"/>
        </w:rPr>
        <w:t xml:space="preserve">. </w:t>
      </w:r>
      <w:r>
        <w:rPr>
          <w:snapToGrid w:val="0"/>
        </w:rPr>
        <w:tab/>
        <w:t>Declaration — corresponding law</w:t>
      </w:r>
      <w:bookmarkEnd w:id="88"/>
      <w:bookmarkEnd w:id="89"/>
      <w:r>
        <w:rPr>
          <w:snapToGrid w:val="0"/>
        </w:rPr>
        <w:t xml:space="preserve"> </w:t>
      </w:r>
    </w:p>
    <w:p>
      <w:pPr>
        <w:pStyle w:val="Subsection"/>
        <w:rPr>
          <w:snapToGrid w:val="0"/>
        </w:rPr>
      </w:pPr>
      <w:r>
        <w:rPr>
          <w:snapToGrid w:val="0"/>
        </w:rPr>
        <w:tab/>
      </w:r>
      <w:r>
        <w:rPr>
          <w:snapToGrid w:val="0"/>
        </w:rPr>
        <w:tab/>
        <w:t>The South Australian Act (1996) is declared to be a law which corresponds to the Act.</w:t>
      </w:r>
    </w:p>
    <w:p>
      <w:pPr>
        <w:pStyle w:val="Footnotesection"/>
      </w:pPr>
      <w:r>
        <w:tab/>
        <w:t xml:space="preserve">[Regulation 23A inserted in Gazette 12 December 1997 p.7265.] </w:t>
      </w:r>
    </w:p>
    <w:p>
      <w:pPr>
        <w:pStyle w:val="Heading5"/>
        <w:rPr>
          <w:snapToGrid w:val="0"/>
        </w:rPr>
      </w:pPr>
      <w:bookmarkStart w:id="90" w:name="_Toc380139718"/>
      <w:bookmarkStart w:id="91" w:name="_Toc426105254"/>
      <w:r>
        <w:rPr>
          <w:rStyle w:val="CharSectno"/>
        </w:rPr>
        <w:t>23B</w:t>
      </w:r>
      <w:r>
        <w:rPr>
          <w:snapToGrid w:val="0"/>
        </w:rPr>
        <w:t xml:space="preserve">. </w:t>
      </w:r>
      <w:r>
        <w:rPr>
          <w:snapToGrid w:val="0"/>
        </w:rPr>
        <w:tab/>
        <w:t>Declaration — interstate forfeiture order</w:t>
      </w:r>
      <w:bookmarkEnd w:id="90"/>
      <w:bookmarkEnd w:id="91"/>
      <w:r>
        <w:rPr>
          <w:snapToGrid w:val="0"/>
        </w:rPr>
        <w:t xml:space="preserve"> </w:t>
      </w:r>
    </w:p>
    <w:p>
      <w:pPr>
        <w:pStyle w:val="Subsection"/>
        <w:rPr>
          <w:snapToGrid w:val="0"/>
        </w:rPr>
      </w:pPr>
      <w:r>
        <w:rPr>
          <w:snapToGrid w:val="0"/>
        </w:rPr>
        <w:tab/>
      </w:r>
      <w:r>
        <w:rPr>
          <w:snapToGrid w:val="0"/>
        </w:rPr>
        <w:tab/>
        <w:t>A forfeiture order made under section 8 of the South Australian Act (1996) is declared to be an order within the definition of “interstate forfeiture order” under section 3 (1) of the Act.</w:t>
      </w:r>
    </w:p>
    <w:p>
      <w:pPr>
        <w:pStyle w:val="Footnotesection"/>
      </w:pPr>
      <w:r>
        <w:tab/>
        <w:t xml:space="preserve">[Regulation 23B inserted in Gazette 12 December 1997 p.7265.] </w:t>
      </w:r>
    </w:p>
    <w:p>
      <w:pPr>
        <w:pStyle w:val="Heading5"/>
        <w:rPr>
          <w:snapToGrid w:val="0"/>
        </w:rPr>
      </w:pPr>
      <w:bookmarkStart w:id="92" w:name="_Toc380139719"/>
      <w:bookmarkStart w:id="93" w:name="_Toc426105255"/>
      <w:r>
        <w:rPr>
          <w:rStyle w:val="CharSectno"/>
        </w:rPr>
        <w:t>23C</w:t>
      </w:r>
      <w:r>
        <w:rPr>
          <w:snapToGrid w:val="0"/>
        </w:rPr>
        <w:t xml:space="preserve">. </w:t>
      </w:r>
      <w:r>
        <w:rPr>
          <w:snapToGrid w:val="0"/>
        </w:rPr>
        <w:tab/>
        <w:t>Declaration — interstate forfeiture order</w:t>
      </w:r>
      <w:bookmarkEnd w:id="92"/>
      <w:bookmarkEnd w:id="93"/>
      <w:r>
        <w:rPr>
          <w:snapToGrid w:val="0"/>
        </w:rPr>
        <w:t xml:space="preserve"> </w:t>
      </w:r>
    </w:p>
    <w:p>
      <w:pPr>
        <w:pStyle w:val="Subsection"/>
        <w:rPr>
          <w:snapToGrid w:val="0"/>
        </w:rPr>
      </w:pPr>
      <w:r>
        <w:rPr>
          <w:snapToGrid w:val="0"/>
        </w:rPr>
        <w:tab/>
      </w:r>
      <w:r>
        <w:rPr>
          <w:snapToGrid w:val="0"/>
        </w:rPr>
        <w:tab/>
        <w:t>A forfeiture order made under section 9 of the South Australian Act (1996) is declared to be an order within the definition of “interstate forfeiture order” under section 3 (1) of the Act.</w:t>
      </w:r>
    </w:p>
    <w:p>
      <w:pPr>
        <w:pStyle w:val="Footnotesection"/>
      </w:pPr>
      <w:r>
        <w:tab/>
        <w:t xml:space="preserve">[Regulation 23C inserted in Gazette 12 December 1997 p.7265.] </w:t>
      </w:r>
    </w:p>
    <w:p>
      <w:pPr>
        <w:pStyle w:val="Heading5"/>
        <w:rPr>
          <w:snapToGrid w:val="0"/>
        </w:rPr>
      </w:pPr>
      <w:bookmarkStart w:id="94" w:name="_Toc380139720"/>
      <w:bookmarkStart w:id="95" w:name="_Toc426105256"/>
      <w:r>
        <w:rPr>
          <w:rStyle w:val="CharSectno"/>
        </w:rPr>
        <w:t>23D</w:t>
      </w:r>
      <w:r>
        <w:rPr>
          <w:snapToGrid w:val="0"/>
        </w:rPr>
        <w:t xml:space="preserve">. </w:t>
      </w:r>
      <w:r>
        <w:rPr>
          <w:snapToGrid w:val="0"/>
        </w:rPr>
        <w:tab/>
        <w:t>Declaration — interstate restraining order</w:t>
      </w:r>
      <w:bookmarkEnd w:id="94"/>
      <w:bookmarkEnd w:id="95"/>
      <w:r>
        <w:rPr>
          <w:snapToGrid w:val="0"/>
        </w:rPr>
        <w:t xml:space="preserve"> </w:t>
      </w:r>
    </w:p>
    <w:p>
      <w:pPr>
        <w:pStyle w:val="Subsection"/>
        <w:rPr>
          <w:snapToGrid w:val="0"/>
        </w:rPr>
      </w:pPr>
      <w:r>
        <w:rPr>
          <w:snapToGrid w:val="0"/>
        </w:rPr>
        <w:tab/>
      </w:r>
      <w:r>
        <w:rPr>
          <w:snapToGrid w:val="0"/>
        </w:rPr>
        <w:tab/>
        <w:t>A restraining order made under section 15 of the South Australian Act (1996) is declared to be an order within the definition of “interstate restraining order” under section 3 (1) of the Act.</w:t>
      </w:r>
    </w:p>
    <w:p>
      <w:pPr>
        <w:pStyle w:val="Footnotesection"/>
      </w:pPr>
      <w:r>
        <w:tab/>
        <w:t xml:space="preserve">[Regulation 23D inserted in Gazette 12 December 1997 p.7265.] </w:t>
      </w:r>
    </w:p>
    <w:p>
      <w:pPr>
        <w:pStyle w:val="Heading2"/>
        <w:rPr>
          <w:rStyle w:val="CharPartText"/>
        </w:rPr>
      </w:pPr>
      <w:bookmarkStart w:id="96" w:name="_Toc380139656"/>
      <w:bookmarkStart w:id="97" w:name="_Toc380139721"/>
      <w:bookmarkStart w:id="98" w:name="_Toc426105257"/>
      <w:r>
        <w:rPr>
          <w:rStyle w:val="CharPartNo"/>
        </w:rPr>
        <w:t>Part VI</w:t>
      </w:r>
      <w:r>
        <w:rPr>
          <w:rStyle w:val="CharDivNo"/>
        </w:rPr>
        <w:t> </w:t>
      </w:r>
      <w:r>
        <w:t>—</w:t>
      </w:r>
      <w:r>
        <w:rPr>
          <w:rStyle w:val="CharDivText"/>
        </w:rPr>
        <w:t> </w:t>
      </w:r>
      <w:r>
        <w:rPr>
          <w:rStyle w:val="CharPartText"/>
        </w:rPr>
        <w:t>Victoria</w:t>
      </w:r>
      <w:bookmarkEnd w:id="96"/>
      <w:bookmarkEnd w:id="97"/>
      <w:bookmarkEnd w:id="98"/>
      <w:r>
        <w:rPr>
          <w:rStyle w:val="CharPartText"/>
        </w:rPr>
        <w:t xml:space="preserve"> </w:t>
      </w:r>
    </w:p>
    <w:p>
      <w:pPr>
        <w:pStyle w:val="Heading3"/>
      </w:pPr>
      <w:bookmarkStart w:id="99" w:name="_Toc380139657"/>
      <w:bookmarkStart w:id="100" w:name="_Toc380139722"/>
      <w:bookmarkStart w:id="101" w:name="_Toc426105258"/>
      <w:r>
        <w:rPr>
          <w:rStyle w:val="CharDivNo"/>
        </w:rPr>
        <w:t>Division 1</w:t>
      </w:r>
      <w:r>
        <w:t xml:space="preserve"> — </w:t>
      </w:r>
      <w:r>
        <w:rPr>
          <w:rStyle w:val="CharDivText"/>
        </w:rPr>
        <w:t>Application of the Victorian Act (1986)</w:t>
      </w:r>
      <w:bookmarkEnd w:id="99"/>
      <w:bookmarkEnd w:id="100"/>
      <w:bookmarkEnd w:id="101"/>
    </w:p>
    <w:p>
      <w:pPr>
        <w:pStyle w:val="Footnoteheading"/>
      </w:pPr>
      <w:r>
        <w:t>[Heading inserted in Gazette 29 October 1999 p.5398.]</w:t>
      </w:r>
    </w:p>
    <w:p>
      <w:pPr>
        <w:pStyle w:val="Heading5"/>
        <w:rPr>
          <w:snapToGrid w:val="0"/>
        </w:rPr>
      </w:pPr>
      <w:bookmarkStart w:id="102" w:name="_Toc380139723"/>
      <w:bookmarkStart w:id="103" w:name="_Toc426105259"/>
      <w:r>
        <w:rPr>
          <w:rStyle w:val="CharSectno"/>
        </w:rPr>
        <w:t>24</w:t>
      </w:r>
      <w:r>
        <w:rPr>
          <w:snapToGrid w:val="0"/>
        </w:rPr>
        <w:t>.</w:t>
      </w:r>
      <w:r>
        <w:rPr>
          <w:snapToGrid w:val="0"/>
        </w:rPr>
        <w:tab/>
        <w:t>Declaration — corresponding law</w:t>
      </w:r>
      <w:bookmarkEnd w:id="102"/>
      <w:bookmarkEnd w:id="103"/>
      <w:r>
        <w:rPr>
          <w:snapToGrid w:val="0"/>
        </w:rPr>
        <w:t xml:space="preserve"> </w:t>
      </w:r>
    </w:p>
    <w:p>
      <w:pPr>
        <w:pStyle w:val="Subsection"/>
        <w:rPr>
          <w:snapToGrid w:val="0"/>
        </w:rPr>
      </w:pPr>
      <w:r>
        <w:rPr>
          <w:snapToGrid w:val="0"/>
        </w:rPr>
        <w:tab/>
      </w:r>
      <w:r>
        <w:rPr>
          <w:snapToGrid w:val="0"/>
        </w:rPr>
        <w:tab/>
        <w:t>The Victorian Act (1986) is declared to be a law which corresponds to the Act.</w:t>
      </w:r>
    </w:p>
    <w:p>
      <w:pPr>
        <w:pStyle w:val="Footnotesection"/>
      </w:pPr>
      <w:r>
        <w:tab/>
        <w:t>[Regulation 24 amended in Gazette 29 October 1999 p.5398.]</w:t>
      </w:r>
    </w:p>
    <w:p>
      <w:pPr>
        <w:pStyle w:val="Heading5"/>
        <w:rPr>
          <w:snapToGrid w:val="0"/>
        </w:rPr>
      </w:pPr>
      <w:bookmarkStart w:id="104" w:name="_Toc380139724"/>
      <w:bookmarkStart w:id="105" w:name="_Toc426105260"/>
      <w:r>
        <w:rPr>
          <w:rStyle w:val="CharSectno"/>
        </w:rPr>
        <w:t>25</w:t>
      </w:r>
      <w:r>
        <w:rPr>
          <w:snapToGrid w:val="0"/>
        </w:rPr>
        <w:t>.</w:t>
      </w:r>
      <w:r>
        <w:rPr>
          <w:snapToGrid w:val="0"/>
        </w:rPr>
        <w:tab/>
        <w:t>Declaration — forfeiture order</w:t>
      </w:r>
      <w:bookmarkEnd w:id="104"/>
      <w:bookmarkEnd w:id="105"/>
      <w:r>
        <w:rPr>
          <w:snapToGrid w:val="0"/>
        </w:rPr>
        <w:t xml:space="preserve"> </w:t>
      </w:r>
    </w:p>
    <w:p>
      <w:pPr>
        <w:pStyle w:val="Subsection"/>
        <w:rPr>
          <w:snapToGrid w:val="0"/>
        </w:rPr>
      </w:pPr>
      <w:r>
        <w:rPr>
          <w:snapToGrid w:val="0"/>
        </w:rPr>
        <w:tab/>
      </w:r>
      <w:r>
        <w:rPr>
          <w:snapToGrid w:val="0"/>
        </w:rPr>
        <w:tab/>
        <w:t>A forfeiture order made under section 7 (1) of the Victorian Act (1986) is declared to be an order within the definition of “interstate forfeiture order” in section 3 (1) of the Act.</w:t>
      </w:r>
    </w:p>
    <w:p>
      <w:pPr>
        <w:pStyle w:val="Footnotesection"/>
      </w:pPr>
      <w:r>
        <w:tab/>
        <w:t>[Regulation 25 amended in Gazette 29 October 1999 p.5399.]</w:t>
      </w:r>
    </w:p>
    <w:p>
      <w:pPr>
        <w:pStyle w:val="Heading5"/>
        <w:rPr>
          <w:snapToGrid w:val="0"/>
        </w:rPr>
      </w:pPr>
      <w:bookmarkStart w:id="106" w:name="_Toc380139725"/>
      <w:bookmarkStart w:id="107" w:name="_Toc426105261"/>
      <w:r>
        <w:rPr>
          <w:rStyle w:val="CharSectno"/>
        </w:rPr>
        <w:t>26</w:t>
      </w:r>
      <w:r>
        <w:rPr>
          <w:snapToGrid w:val="0"/>
        </w:rPr>
        <w:t>.</w:t>
      </w:r>
      <w:r>
        <w:rPr>
          <w:snapToGrid w:val="0"/>
        </w:rPr>
        <w:tab/>
        <w:t>Declaration — pecuniary penalty order</w:t>
      </w:r>
      <w:bookmarkEnd w:id="106"/>
      <w:bookmarkEnd w:id="107"/>
      <w:r>
        <w:rPr>
          <w:snapToGrid w:val="0"/>
        </w:rPr>
        <w:t xml:space="preserve"> </w:t>
      </w:r>
    </w:p>
    <w:p>
      <w:pPr>
        <w:pStyle w:val="Subsection"/>
        <w:rPr>
          <w:snapToGrid w:val="0"/>
        </w:rPr>
      </w:pPr>
      <w:r>
        <w:rPr>
          <w:snapToGrid w:val="0"/>
        </w:rPr>
        <w:tab/>
      </w:r>
      <w:r>
        <w:rPr>
          <w:snapToGrid w:val="0"/>
        </w:rPr>
        <w:tab/>
        <w:t>A pecuniary penalty order made under section 12 (1) of the Victorian Act (1986) is declared to be an order within the definition of “interstate pecuniary penalty order” in section 3 (1) of the Act.</w:t>
      </w:r>
    </w:p>
    <w:p>
      <w:pPr>
        <w:pStyle w:val="Footnotesection"/>
      </w:pPr>
      <w:r>
        <w:tab/>
        <w:t>[Regulation 26 amended in Gazette 29 October 1999 p.5399.]</w:t>
      </w:r>
    </w:p>
    <w:p>
      <w:pPr>
        <w:pStyle w:val="Heading5"/>
        <w:rPr>
          <w:snapToGrid w:val="0"/>
        </w:rPr>
      </w:pPr>
      <w:bookmarkStart w:id="108" w:name="_Toc380139726"/>
      <w:bookmarkStart w:id="109" w:name="_Toc426105262"/>
      <w:r>
        <w:rPr>
          <w:rStyle w:val="CharSectno"/>
        </w:rPr>
        <w:t>27</w:t>
      </w:r>
      <w:r>
        <w:rPr>
          <w:snapToGrid w:val="0"/>
        </w:rPr>
        <w:t>.</w:t>
      </w:r>
      <w:r>
        <w:rPr>
          <w:snapToGrid w:val="0"/>
        </w:rPr>
        <w:tab/>
        <w:t>Declaration — restraining order</w:t>
      </w:r>
      <w:bookmarkEnd w:id="108"/>
      <w:bookmarkEnd w:id="109"/>
      <w:r>
        <w:rPr>
          <w:snapToGrid w:val="0"/>
        </w:rPr>
        <w:t xml:space="preserve"> </w:t>
      </w:r>
    </w:p>
    <w:p>
      <w:pPr>
        <w:pStyle w:val="Subsection"/>
        <w:rPr>
          <w:snapToGrid w:val="0"/>
        </w:rPr>
      </w:pPr>
      <w:r>
        <w:rPr>
          <w:snapToGrid w:val="0"/>
        </w:rPr>
        <w:tab/>
      </w:r>
      <w:r>
        <w:rPr>
          <w:snapToGrid w:val="0"/>
        </w:rPr>
        <w:tab/>
        <w:t>A restraining order made under section 16 of the Victorian Act (1986) is declared to be an order within the definition of “interstate restraining order” in section 3 (1) of the Act.</w:t>
      </w:r>
    </w:p>
    <w:p>
      <w:pPr>
        <w:pStyle w:val="Footnotesection"/>
      </w:pPr>
      <w:r>
        <w:tab/>
        <w:t>[Regulation 27 amended in Gazette 29 October 1999 p.5399.]</w:t>
      </w:r>
    </w:p>
    <w:p>
      <w:pPr>
        <w:pStyle w:val="Heading3"/>
        <w:rPr>
          <w:rStyle w:val="CharDivText"/>
        </w:rPr>
      </w:pPr>
      <w:bookmarkStart w:id="110" w:name="_Toc380139662"/>
      <w:bookmarkStart w:id="111" w:name="_Toc380139727"/>
      <w:bookmarkStart w:id="112" w:name="_Toc426105263"/>
      <w:r>
        <w:rPr>
          <w:rStyle w:val="CharDivNo"/>
        </w:rPr>
        <w:t>Division 2</w:t>
      </w:r>
      <w:r>
        <w:t xml:space="preserve"> — </w:t>
      </w:r>
      <w:r>
        <w:rPr>
          <w:rStyle w:val="CharDivText"/>
        </w:rPr>
        <w:t>Application of the Victorian Act (1997)</w:t>
      </w:r>
      <w:bookmarkEnd w:id="110"/>
      <w:bookmarkEnd w:id="111"/>
      <w:bookmarkEnd w:id="112"/>
    </w:p>
    <w:p>
      <w:pPr>
        <w:pStyle w:val="Footnoteheading"/>
      </w:pPr>
      <w:r>
        <w:t>[Heading inserted in Gazette 29 October 1999 p.5399.]</w:t>
      </w:r>
    </w:p>
    <w:p>
      <w:pPr>
        <w:pStyle w:val="Heading5"/>
      </w:pPr>
      <w:bookmarkStart w:id="113" w:name="_Toc380139728"/>
      <w:bookmarkStart w:id="114" w:name="_Toc426105264"/>
      <w:r>
        <w:rPr>
          <w:rStyle w:val="CharSectno"/>
        </w:rPr>
        <w:t>27A</w:t>
      </w:r>
      <w:r>
        <w:t>.</w:t>
      </w:r>
      <w:r>
        <w:tab/>
        <w:t>Declaration — corresponding law</w:t>
      </w:r>
      <w:bookmarkEnd w:id="113"/>
      <w:bookmarkEnd w:id="114"/>
    </w:p>
    <w:p>
      <w:pPr>
        <w:pStyle w:val="Subsection"/>
      </w:pPr>
      <w:r>
        <w:tab/>
      </w:r>
      <w:r>
        <w:tab/>
        <w:t>The Victorian Act (1997) is declared to be a law which corresponds to the Act.</w:t>
      </w:r>
    </w:p>
    <w:p>
      <w:pPr>
        <w:pStyle w:val="Footnotesection"/>
      </w:pPr>
      <w:r>
        <w:tab/>
        <w:t>[Regulation 27A inserted in Gazette 29 October 1999 p.5399.]</w:t>
      </w:r>
    </w:p>
    <w:p>
      <w:pPr>
        <w:pStyle w:val="Heading5"/>
      </w:pPr>
      <w:bookmarkStart w:id="115" w:name="_Toc380139729"/>
      <w:bookmarkStart w:id="116" w:name="_Toc426105265"/>
      <w:r>
        <w:rPr>
          <w:rStyle w:val="CharSectno"/>
        </w:rPr>
        <w:t>27B</w:t>
      </w:r>
      <w:r>
        <w:t>.</w:t>
      </w:r>
      <w:r>
        <w:tab/>
        <w:t>Declaration — forfeiture order</w:t>
      </w:r>
      <w:bookmarkEnd w:id="115"/>
      <w:bookmarkEnd w:id="116"/>
    </w:p>
    <w:p>
      <w:pPr>
        <w:pStyle w:val="Subsection"/>
      </w:pPr>
      <w:r>
        <w:tab/>
      </w:r>
      <w:r>
        <w:tab/>
        <w:t>A forfeiture order made under section 33 or 36 or a civil forfeiture order made under 38 of the Victorian Act (1997) is declared to be an order within the definition of “interstate forfeiture order” in section 3(1) of the Act.</w:t>
      </w:r>
    </w:p>
    <w:p>
      <w:pPr>
        <w:pStyle w:val="Footnotesection"/>
      </w:pPr>
      <w:r>
        <w:tab/>
        <w:t>[Regulation 27B inserted in Gazette 29 October 1999 p.5399.]</w:t>
      </w:r>
    </w:p>
    <w:p>
      <w:pPr>
        <w:pStyle w:val="Heading5"/>
      </w:pPr>
      <w:bookmarkStart w:id="117" w:name="_Toc380139730"/>
      <w:bookmarkStart w:id="118" w:name="_Toc426105266"/>
      <w:r>
        <w:rPr>
          <w:rStyle w:val="CharSectno"/>
        </w:rPr>
        <w:t>27C</w:t>
      </w:r>
      <w:r>
        <w:t>.</w:t>
      </w:r>
      <w:r>
        <w:tab/>
        <w:t>Declaration — pecuniary penalty order</w:t>
      </w:r>
      <w:bookmarkEnd w:id="117"/>
      <w:bookmarkEnd w:id="118"/>
    </w:p>
    <w:p>
      <w:pPr>
        <w:pStyle w:val="Subsection"/>
      </w:pPr>
      <w:r>
        <w:tab/>
      </w:r>
      <w:r>
        <w:tab/>
        <w:t>A pecuniary penalty order made under section 59 or 64 of the Victorian Act (1997) is declared to be an order within the definition of “interstate pecuniary penalty order” in section 3(1) of the Act.</w:t>
      </w:r>
    </w:p>
    <w:p>
      <w:pPr>
        <w:pStyle w:val="Footnotesection"/>
      </w:pPr>
      <w:r>
        <w:tab/>
        <w:t>[Regulation 27C inserted in Gazette 29 October 1999 p.5399.]</w:t>
      </w:r>
    </w:p>
    <w:p>
      <w:pPr>
        <w:pStyle w:val="Heading5"/>
      </w:pPr>
      <w:bookmarkStart w:id="119" w:name="_Toc380139731"/>
      <w:bookmarkStart w:id="120" w:name="_Toc426105267"/>
      <w:r>
        <w:rPr>
          <w:rStyle w:val="CharSectno"/>
        </w:rPr>
        <w:t>27D</w:t>
      </w:r>
      <w:r>
        <w:t>.</w:t>
      </w:r>
      <w:r>
        <w:tab/>
        <w:t>Declaration — restraining order</w:t>
      </w:r>
      <w:bookmarkEnd w:id="119"/>
      <w:bookmarkEnd w:id="120"/>
    </w:p>
    <w:p>
      <w:pPr>
        <w:pStyle w:val="Subsection"/>
      </w:pPr>
      <w:r>
        <w:tab/>
      </w:r>
      <w:r>
        <w:tab/>
        <w:t>A restraining order made under section 14 or 18 of the Victorian Act (1997) is declared to be an order within the definition of “interstate restraining order” in section 3(1) of the Act.</w:t>
      </w:r>
    </w:p>
    <w:p>
      <w:pPr>
        <w:pStyle w:val="Footnotesection"/>
      </w:pPr>
      <w:r>
        <w:tab/>
        <w:t>[Regulation 27D inserted in Gazette 29 October 1999 p.5399.]</w:t>
      </w:r>
    </w:p>
    <w:p>
      <w:pPr>
        <w:pStyle w:val="Heading2"/>
      </w:pPr>
      <w:bookmarkStart w:id="121" w:name="_Toc380139667"/>
      <w:bookmarkStart w:id="122" w:name="_Toc380139732"/>
      <w:bookmarkStart w:id="123" w:name="_Toc426105268"/>
      <w:r>
        <w:rPr>
          <w:rStyle w:val="CharPartNo"/>
        </w:rPr>
        <w:t>Part VII</w:t>
      </w:r>
      <w:r>
        <w:rPr>
          <w:rStyle w:val="CharDivNo"/>
        </w:rPr>
        <w:t> </w:t>
      </w:r>
      <w:r>
        <w:t>—</w:t>
      </w:r>
      <w:r>
        <w:rPr>
          <w:rStyle w:val="CharDivText"/>
        </w:rPr>
        <w:t> </w:t>
      </w:r>
      <w:r>
        <w:rPr>
          <w:rStyle w:val="CharPartText"/>
        </w:rPr>
        <w:t>Tasmania</w:t>
      </w:r>
      <w:bookmarkEnd w:id="121"/>
      <w:bookmarkEnd w:id="122"/>
      <w:bookmarkEnd w:id="123"/>
      <w:r>
        <w:rPr>
          <w:rStyle w:val="CharPartText"/>
        </w:rPr>
        <w:t xml:space="preserve"> </w:t>
      </w:r>
    </w:p>
    <w:p>
      <w:pPr>
        <w:pStyle w:val="Footnoteheading"/>
        <w:rPr>
          <w:snapToGrid w:val="0"/>
        </w:rPr>
      </w:pPr>
      <w:r>
        <w:rPr>
          <w:snapToGrid w:val="0"/>
        </w:rPr>
        <w:t>[Heading inserted by Gazette 3 December 1993 p.6480.]</w:t>
      </w:r>
    </w:p>
    <w:p>
      <w:pPr>
        <w:pStyle w:val="Heading5"/>
        <w:rPr>
          <w:snapToGrid w:val="0"/>
        </w:rPr>
      </w:pPr>
      <w:bookmarkStart w:id="124" w:name="_Toc380139733"/>
      <w:bookmarkStart w:id="125" w:name="_Toc426105269"/>
      <w:r>
        <w:rPr>
          <w:rStyle w:val="CharSectno"/>
        </w:rPr>
        <w:t>28</w:t>
      </w:r>
      <w:r>
        <w:rPr>
          <w:snapToGrid w:val="0"/>
        </w:rPr>
        <w:t>.</w:t>
      </w:r>
      <w:r>
        <w:rPr>
          <w:snapToGrid w:val="0"/>
        </w:rPr>
        <w:tab/>
        <w:t>Declaration — corresponding law</w:t>
      </w:r>
      <w:bookmarkEnd w:id="124"/>
      <w:bookmarkEnd w:id="125"/>
      <w:r>
        <w:rPr>
          <w:snapToGrid w:val="0"/>
        </w:rPr>
        <w:t xml:space="preserve"> </w:t>
      </w:r>
    </w:p>
    <w:p>
      <w:pPr>
        <w:pStyle w:val="Subsection"/>
        <w:rPr>
          <w:snapToGrid w:val="0"/>
        </w:rPr>
      </w:pPr>
      <w:r>
        <w:rPr>
          <w:snapToGrid w:val="0"/>
        </w:rPr>
        <w:tab/>
      </w:r>
      <w:r>
        <w:rPr>
          <w:snapToGrid w:val="0"/>
        </w:rPr>
        <w:tab/>
        <w:t>The Tasmanian Act is declared to be a law which corresponds to the Act.</w:t>
      </w:r>
    </w:p>
    <w:p>
      <w:pPr>
        <w:pStyle w:val="Footnotesection"/>
      </w:pPr>
      <w:r>
        <w:tab/>
        <w:t xml:space="preserve">[Regulation 28 inserted by Gazette 3 December 1993 p.6480.] </w:t>
      </w:r>
    </w:p>
    <w:p>
      <w:pPr>
        <w:pStyle w:val="Heading5"/>
        <w:rPr>
          <w:snapToGrid w:val="0"/>
        </w:rPr>
      </w:pPr>
      <w:bookmarkStart w:id="126" w:name="_Toc380139734"/>
      <w:bookmarkStart w:id="127" w:name="_Toc426105270"/>
      <w:r>
        <w:rPr>
          <w:rStyle w:val="CharSectno"/>
        </w:rPr>
        <w:t>29</w:t>
      </w:r>
      <w:r>
        <w:rPr>
          <w:snapToGrid w:val="0"/>
        </w:rPr>
        <w:t>.</w:t>
      </w:r>
      <w:r>
        <w:rPr>
          <w:snapToGrid w:val="0"/>
        </w:rPr>
        <w:tab/>
        <w:t>Declaration — forfeiture order</w:t>
      </w:r>
      <w:bookmarkEnd w:id="126"/>
      <w:bookmarkEnd w:id="127"/>
      <w:r>
        <w:rPr>
          <w:snapToGrid w:val="0"/>
        </w:rPr>
        <w:t xml:space="preserve"> </w:t>
      </w:r>
    </w:p>
    <w:p>
      <w:pPr>
        <w:pStyle w:val="Subsection"/>
        <w:rPr>
          <w:snapToGrid w:val="0"/>
        </w:rPr>
      </w:pPr>
      <w:r>
        <w:rPr>
          <w:snapToGrid w:val="0"/>
        </w:rPr>
        <w:tab/>
      </w:r>
      <w:r>
        <w:rPr>
          <w:snapToGrid w:val="0"/>
        </w:rPr>
        <w:tab/>
        <w:t>A forfeiture order made under section 16 (1) of the Tasmanian Act is declared to be an order within the definition of “interstate forfeiture order” in section 3 (1) of the Act.</w:t>
      </w:r>
    </w:p>
    <w:p>
      <w:pPr>
        <w:pStyle w:val="Footnotesection"/>
      </w:pPr>
      <w:r>
        <w:tab/>
        <w:t xml:space="preserve">[Regulation 29 inserted by Gazette 3 December 1993 p.6480.] </w:t>
      </w:r>
    </w:p>
    <w:p>
      <w:pPr>
        <w:pStyle w:val="Heading5"/>
        <w:rPr>
          <w:snapToGrid w:val="0"/>
        </w:rPr>
      </w:pPr>
      <w:bookmarkStart w:id="128" w:name="_Toc380139735"/>
      <w:bookmarkStart w:id="129" w:name="_Toc426105271"/>
      <w:r>
        <w:rPr>
          <w:rStyle w:val="CharSectno"/>
        </w:rPr>
        <w:t>30</w:t>
      </w:r>
      <w:r>
        <w:rPr>
          <w:snapToGrid w:val="0"/>
        </w:rPr>
        <w:t>.</w:t>
      </w:r>
      <w:r>
        <w:rPr>
          <w:snapToGrid w:val="0"/>
        </w:rPr>
        <w:tab/>
        <w:t>Declaration — pecuniary penalty order</w:t>
      </w:r>
      <w:bookmarkEnd w:id="128"/>
      <w:bookmarkEnd w:id="129"/>
      <w:r>
        <w:rPr>
          <w:snapToGrid w:val="0"/>
        </w:rPr>
        <w:t xml:space="preserve"> </w:t>
      </w:r>
    </w:p>
    <w:p>
      <w:pPr>
        <w:pStyle w:val="Subsection"/>
        <w:rPr>
          <w:snapToGrid w:val="0"/>
        </w:rPr>
      </w:pPr>
      <w:r>
        <w:rPr>
          <w:snapToGrid w:val="0"/>
        </w:rPr>
        <w:tab/>
      </w:r>
      <w:r>
        <w:rPr>
          <w:snapToGrid w:val="0"/>
        </w:rPr>
        <w:tab/>
        <w:t>A pecuniary penalty order made under section 21 (1) of the Tasmanian Act is declared to be an order within the definition of “interstate pecuniary penalty order” in section 3 (1) of the Act.</w:t>
      </w:r>
    </w:p>
    <w:p>
      <w:pPr>
        <w:pStyle w:val="Footnotesection"/>
      </w:pPr>
      <w:r>
        <w:tab/>
        <w:t xml:space="preserve">[Regulation 30 inserted by Gazette 3 December 1993 p.6481.] </w:t>
      </w:r>
    </w:p>
    <w:p>
      <w:pPr>
        <w:pStyle w:val="Heading5"/>
        <w:rPr>
          <w:snapToGrid w:val="0"/>
        </w:rPr>
      </w:pPr>
      <w:bookmarkStart w:id="130" w:name="_Toc380139736"/>
      <w:bookmarkStart w:id="131" w:name="_Toc426105272"/>
      <w:r>
        <w:rPr>
          <w:rStyle w:val="CharSectno"/>
        </w:rPr>
        <w:t>31</w:t>
      </w:r>
      <w:r>
        <w:rPr>
          <w:snapToGrid w:val="0"/>
        </w:rPr>
        <w:t>.</w:t>
      </w:r>
      <w:r>
        <w:rPr>
          <w:snapToGrid w:val="0"/>
        </w:rPr>
        <w:tab/>
        <w:t>Declaration — restraining order</w:t>
      </w:r>
      <w:bookmarkEnd w:id="130"/>
      <w:bookmarkEnd w:id="131"/>
      <w:r>
        <w:rPr>
          <w:snapToGrid w:val="0"/>
        </w:rPr>
        <w:t xml:space="preserve"> </w:t>
      </w:r>
    </w:p>
    <w:p>
      <w:pPr>
        <w:pStyle w:val="Subsection"/>
        <w:rPr>
          <w:snapToGrid w:val="0"/>
        </w:rPr>
      </w:pPr>
      <w:r>
        <w:rPr>
          <w:snapToGrid w:val="0"/>
        </w:rPr>
        <w:tab/>
      </w:r>
      <w:r>
        <w:rPr>
          <w:snapToGrid w:val="0"/>
        </w:rPr>
        <w:tab/>
        <w:t>A restraining order made under section 26 (2) of the Tasmanian Act is declared to be an order within the definition of “interstate restraining order” in section 3 (1) of the Act.</w:t>
      </w:r>
    </w:p>
    <w:p>
      <w:pPr>
        <w:pStyle w:val="Footnotesection"/>
      </w:pPr>
      <w:r>
        <w:tab/>
        <w:t xml:space="preserve">[Regulation 31 inserted by Gazette 3 December 1993 p.6481.] </w:t>
      </w:r>
    </w:p>
    <w:p>
      <w:pPr>
        <w:pStyle w:val="Heading2"/>
      </w:pPr>
      <w:bookmarkStart w:id="132" w:name="_Toc380139672"/>
      <w:bookmarkStart w:id="133" w:name="_Toc380139737"/>
      <w:bookmarkStart w:id="134" w:name="_Toc426105273"/>
      <w:r>
        <w:rPr>
          <w:rStyle w:val="CharPartNo"/>
        </w:rPr>
        <w:t>Part VIII</w:t>
      </w:r>
      <w:r>
        <w:rPr>
          <w:rStyle w:val="CharDivNo"/>
        </w:rPr>
        <w:t> </w:t>
      </w:r>
      <w:r>
        <w:t>—</w:t>
      </w:r>
      <w:r>
        <w:rPr>
          <w:rStyle w:val="CharDivText"/>
        </w:rPr>
        <w:t> </w:t>
      </w:r>
      <w:r>
        <w:rPr>
          <w:rStyle w:val="CharPartText"/>
        </w:rPr>
        <w:t>Australian Capital Territory</w:t>
      </w:r>
      <w:bookmarkEnd w:id="132"/>
      <w:bookmarkEnd w:id="133"/>
      <w:bookmarkEnd w:id="134"/>
    </w:p>
    <w:p>
      <w:pPr>
        <w:pStyle w:val="Footnoteheading"/>
        <w:rPr>
          <w:snapToGrid w:val="0"/>
        </w:rPr>
      </w:pPr>
      <w:r>
        <w:rPr>
          <w:snapToGrid w:val="0"/>
        </w:rPr>
        <w:t>[Heading inserted in Gazette 8 December 1995 p.5972.]</w:t>
      </w:r>
    </w:p>
    <w:p>
      <w:pPr>
        <w:pStyle w:val="Heading5"/>
        <w:rPr>
          <w:snapToGrid w:val="0"/>
        </w:rPr>
      </w:pPr>
      <w:bookmarkStart w:id="135" w:name="_Toc380139738"/>
      <w:bookmarkStart w:id="136" w:name="_Toc426105274"/>
      <w:r>
        <w:rPr>
          <w:rStyle w:val="CharSectno"/>
        </w:rPr>
        <w:t>32</w:t>
      </w:r>
      <w:r>
        <w:rPr>
          <w:snapToGrid w:val="0"/>
        </w:rPr>
        <w:t>.</w:t>
      </w:r>
      <w:r>
        <w:rPr>
          <w:snapToGrid w:val="0"/>
        </w:rPr>
        <w:tab/>
        <w:t>Declaration — corresponding law</w:t>
      </w:r>
      <w:bookmarkEnd w:id="135"/>
      <w:bookmarkEnd w:id="136"/>
      <w:r>
        <w:rPr>
          <w:snapToGrid w:val="0"/>
        </w:rPr>
        <w:t xml:space="preserve"> </w:t>
      </w:r>
    </w:p>
    <w:p>
      <w:pPr>
        <w:pStyle w:val="Subsection"/>
        <w:rPr>
          <w:snapToGrid w:val="0"/>
        </w:rPr>
      </w:pPr>
      <w:r>
        <w:rPr>
          <w:snapToGrid w:val="0"/>
        </w:rPr>
        <w:tab/>
      </w:r>
      <w:r>
        <w:rPr>
          <w:snapToGrid w:val="0"/>
        </w:rPr>
        <w:tab/>
        <w:t>The Australian Capital Territory Act is declared to be a law which corresponds to the Act.</w:t>
      </w:r>
    </w:p>
    <w:p>
      <w:pPr>
        <w:pStyle w:val="Footnotesection"/>
      </w:pPr>
      <w:r>
        <w:tab/>
        <w:t xml:space="preserve">[Regulation 32 inserted in Gazette 8 December 1995 p.5972.] </w:t>
      </w:r>
    </w:p>
    <w:p>
      <w:pPr>
        <w:pStyle w:val="Heading5"/>
        <w:rPr>
          <w:snapToGrid w:val="0"/>
        </w:rPr>
      </w:pPr>
      <w:bookmarkStart w:id="137" w:name="_Toc380139739"/>
      <w:bookmarkStart w:id="138" w:name="_Toc426105275"/>
      <w:r>
        <w:rPr>
          <w:rStyle w:val="CharSectno"/>
        </w:rPr>
        <w:t>33</w:t>
      </w:r>
      <w:r>
        <w:rPr>
          <w:snapToGrid w:val="0"/>
        </w:rPr>
        <w:t>.</w:t>
      </w:r>
      <w:r>
        <w:rPr>
          <w:snapToGrid w:val="0"/>
        </w:rPr>
        <w:tab/>
        <w:t>Declaration — forfeiture order</w:t>
      </w:r>
      <w:bookmarkEnd w:id="137"/>
      <w:bookmarkEnd w:id="138"/>
      <w:r>
        <w:rPr>
          <w:snapToGrid w:val="0"/>
        </w:rPr>
        <w:t xml:space="preserve"> </w:t>
      </w:r>
    </w:p>
    <w:p>
      <w:pPr>
        <w:pStyle w:val="Subsection"/>
        <w:rPr>
          <w:snapToGrid w:val="0"/>
        </w:rPr>
      </w:pPr>
      <w:r>
        <w:rPr>
          <w:snapToGrid w:val="0"/>
        </w:rPr>
        <w:tab/>
      </w:r>
      <w:r>
        <w:rPr>
          <w:snapToGrid w:val="0"/>
        </w:rPr>
        <w:tab/>
        <w:t>A forfeiture order made under section 19 (1) of the Australian Capital Territory Act is declared to be an order within the definition of “interstate forfeiture order” in section 3 (1) of the Act.</w:t>
      </w:r>
    </w:p>
    <w:p>
      <w:pPr>
        <w:pStyle w:val="Footnotesection"/>
      </w:pPr>
      <w:r>
        <w:tab/>
        <w:t xml:space="preserve">[Regulation 33 inserted in Gazette 8 December 1995 p.5973.] </w:t>
      </w:r>
    </w:p>
    <w:p>
      <w:pPr>
        <w:pStyle w:val="Heading5"/>
        <w:rPr>
          <w:snapToGrid w:val="0"/>
        </w:rPr>
      </w:pPr>
      <w:bookmarkStart w:id="139" w:name="_Toc380139740"/>
      <w:bookmarkStart w:id="140" w:name="_Toc426105276"/>
      <w:r>
        <w:rPr>
          <w:rStyle w:val="CharSectno"/>
        </w:rPr>
        <w:t>34</w:t>
      </w:r>
      <w:r>
        <w:rPr>
          <w:snapToGrid w:val="0"/>
        </w:rPr>
        <w:t>.</w:t>
      </w:r>
      <w:r>
        <w:rPr>
          <w:snapToGrid w:val="0"/>
        </w:rPr>
        <w:tab/>
        <w:t>Declaration — pecuniary penalty order</w:t>
      </w:r>
      <w:bookmarkEnd w:id="139"/>
      <w:bookmarkEnd w:id="140"/>
      <w:r>
        <w:rPr>
          <w:snapToGrid w:val="0"/>
        </w:rPr>
        <w:t xml:space="preserve"> </w:t>
      </w:r>
    </w:p>
    <w:p>
      <w:pPr>
        <w:pStyle w:val="Subsection"/>
        <w:rPr>
          <w:snapToGrid w:val="0"/>
        </w:rPr>
      </w:pPr>
      <w:r>
        <w:rPr>
          <w:snapToGrid w:val="0"/>
        </w:rPr>
        <w:tab/>
      </w:r>
      <w:r>
        <w:rPr>
          <w:snapToGrid w:val="0"/>
        </w:rPr>
        <w:tab/>
        <w:t>A pecuniary penalty order made under section 25 (1) of the Australian Capital Territory Act is declared to be an order within the definition of “interstate pecuniary penalty order” in section 3 (1) of the Act.</w:t>
      </w:r>
    </w:p>
    <w:p>
      <w:pPr>
        <w:pStyle w:val="Footnotesection"/>
      </w:pPr>
      <w:r>
        <w:tab/>
        <w:t xml:space="preserve">[Regulation 34 inserted in Gazette 8 December 1995 p.5973.] </w:t>
      </w:r>
    </w:p>
    <w:p>
      <w:pPr>
        <w:pStyle w:val="Heading5"/>
        <w:rPr>
          <w:snapToGrid w:val="0"/>
        </w:rPr>
      </w:pPr>
      <w:bookmarkStart w:id="141" w:name="_Toc380139741"/>
      <w:bookmarkStart w:id="142" w:name="_Toc426105277"/>
      <w:r>
        <w:rPr>
          <w:rStyle w:val="CharSectno"/>
        </w:rPr>
        <w:t>35</w:t>
      </w:r>
      <w:r>
        <w:rPr>
          <w:snapToGrid w:val="0"/>
        </w:rPr>
        <w:t>.</w:t>
      </w:r>
      <w:r>
        <w:rPr>
          <w:snapToGrid w:val="0"/>
        </w:rPr>
        <w:tab/>
        <w:t>Declaration — order for forfeiture</w:t>
      </w:r>
      <w:bookmarkEnd w:id="141"/>
      <w:bookmarkEnd w:id="142"/>
      <w:r>
        <w:rPr>
          <w:snapToGrid w:val="0"/>
        </w:rPr>
        <w:t xml:space="preserve"> </w:t>
      </w:r>
    </w:p>
    <w:p>
      <w:pPr>
        <w:pStyle w:val="Subsection"/>
        <w:rPr>
          <w:snapToGrid w:val="0"/>
        </w:rPr>
      </w:pPr>
      <w:r>
        <w:rPr>
          <w:snapToGrid w:val="0"/>
        </w:rPr>
        <w:tab/>
      </w:r>
      <w:r>
        <w:rPr>
          <w:snapToGrid w:val="0"/>
        </w:rPr>
        <w:tab/>
        <w:t>An order that property is forfeited under section 28 of the Australian Capital Territory Act is declared to be an order within the definition of “interstate forfeiture order” in section 3 (1) of the Act.</w:t>
      </w:r>
    </w:p>
    <w:p>
      <w:pPr>
        <w:pStyle w:val="Footnotesection"/>
      </w:pPr>
      <w:r>
        <w:tab/>
        <w:t xml:space="preserve">[Regulation 35 inserted in Gazette 8 December 1995 p.5973.] </w:t>
      </w:r>
    </w:p>
    <w:p>
      <w:pPr>
        <w:pStyle w:val="Heading5"/>
        <w:rPr>
          <w:snapToGrid w:val="0"/>
        </w:rPr>
      </w:pPr>
      <w:bookmarkStart w:id="143" w:name="_Toc380139742"/>
      <w:bookmarkStart w:id="144" w:name="_Toc426105278"/>
      <w:r>
        <w:rPr>
          <w:rStyle w:val="CharSectno"/>
        </w:rPr>
        <w:t>36</w:t>
      </w:r>
      <w:r>
        <w:rPr>
          <w:snapToGrid w:val="0"/>
        </w:rPr>
        <w:t>.</w:t>
      </w:r>
      <w:r>
        <w:rPr>
          <w:snapToGrid w:val="0"/>
        </w:rPr>
        <w:tab/>
        <w:t>Declaration — restraining order</w:t>
      </w:r>
      <w:bookmarkEnd w:id="143"/>
      <w:bookmarkEnd w:id="144"/>
      <w:r>
        <w:rPr>
          <w:snapToGrid w:val="0"/>
        </w:rPr>
        <w:t xml:space="preserve"> </w:t>
      </w:r>
    </w:p>
    <w:p>
      <w:pPr>
        <w:pStyle w:val="Subsection"/>
        <w:rPr>
          <w:snapToGrid w:val="0"/>
        </w:rPr>
      </w:pPr>
      <w:r>
        <w:rPr>
          <w:snapToGrid w:val="0"/>
        </w:rPr>
        <w:tab/>
      </w:r>
      <w:r>
        <w:rPr>
          <w:snapToGrid w:val="0"/>
        </w:rPr>
        <w:tab/>
        <w:t>A restraining order made under section 45 (2) of the Australian Capital Territory Act is declared to be an order within the definition of “interstate restraining order” in section 3 (1) of the Act.</w:t>
      </w:r>
    </w:p>
    <w:p>
      <w:pPr>
        <w:pStyle w:val="Footnotesection"/>
      </w:pPr>
      <w:r>
        <w:tab/>
        <w:t xml:space="preserve">[Regulation 36 inserted in Gazette 8 December 1995 p.5973.]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5" w:name="_Toc380139678"/>
      <w:bookmarkStart w:id="146" w:name="_Toc380139743"/>
      <w:bookmarkStart w:id="147" w:name="_Toc426105279"/>
      <w:r>
        <w:t>Notes</w:t>
      </w:r>
      <w:bookmarkEnd w:id="145"/>
      <w:bookmarkEnd w:id="146"/>
      <w:bookmarkEnd w:id="147"/>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Crimes (Confiscation of Profits) (Corresponding Laws) Regulations 1990</w:t>
      </w:r>
      <w:r>
        <w:rPr>
          <w:snapToGrid w:val="0"/>
        </w:rPr>
        <w:t xml:space="preserve"> and includes the amendments referred to in the following Table.</w:t>
      </w:r>
    </w:p>
    <w:p>
      <w:pPr>
        <w:pStyle w:val="nHeading3"/>
        <w:rPr>
          <w:snapToGrid w:val="0"/>
        </w:rPr>
      </w:pPr>
      <w:bookmarkStart w:id="148" w:name="_Toc380139744"/>
      <w:bookmarkStart w:id="149" w:name="_Toc426105280"/>
      <w:r>
        <w:rPr>
          <w:snapToGrid w:val="0"/>
        </w:rPr>
        <w:t>Compilation table</w:t>
      </w:r>
      <w:bookmarkEnd w:id="148"/>
      <w:bookmarkEnd w:id="14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Crimes (Confiscation of Profits) Regulations 1990</w:t>
            </w:r>
          </w:p>
        </w:tc>
        <w:tc>
          <w:tcPr>
            <w:tcW w:w="1276" w:type="dxa"/>
          </w:tcPr>
          <w:p>
            <w:pPr>
              <w:pStyle w:val="nTable"/>
              <w:spacing w:after="40"/>
            </w:pPr>
            <w:r>
              <w:t>27 April 1990 pp.2061</w:t>
            </w:r>
            <w:r>
              <w:noBreakHyphen/>
              <w:t>3</w:t>
            </w:r>
          </w:p>
        </w:tc>
        <w:tc>
          <w:tcPr>
            <w:tcW w:w="2693" w:type="dxa"/>
          </w:tcPr>
          <w:p>
            <w:pPr>
              <w:pStyle w:val="nTable"/>
              <w:spacing w:after="40"/>
            </w:pPr>
            <w:r>
              <w:t>27 April 1990</w:t>
            </w:r>
          </w:p>
        </w:tc>
      </w:tr>
      <w:tr>
        <w:tc>
          <w:tcPr>
            <w:tcW w:w="3118" w:type="dxa"/>
          </w:tcPr>
          <w:p>
            <w:pPr>
              <w:pStyle w:val="nTable"/>
              <w:spacing w:after="40"/>
            </w:pPr>
            <w:r>
              <w:rPr>
                <w:i/>
              </w:rPr>
              <w:t>Crimes (Confiscation of Profits) Amendment Regulations 1993</w:t>
            </w:r>
          </w:p>
        </w:tc>
        <w:tc>
          <w:tcPr>
            <w:tcW w:w="1276" w:type="dxa"/>
          </w:tcPr>
          <w:p>
            <w:pPr>
              <w:pStyle w:val="nTable"/>
              <w:spacing w:after="40"/>
            </w:pPr>
            <w:r>
              <w:t>3 December 1993 p.6480</w:t>
            </w:r>
            <w:r>
              <w:noBreakHyphen/>
              <w:t>1</w:t>
            </w:r>
          </w:p>
        </w:tc>
        <w:tc>
          <w:tcPr>
            <w:tcW w:w="2693" w:type="dxa"/>
          </w:tcPr>
          <w:p>
            <w:pPr>
              <w:pStyle w:val="nTable"/>
              <w:spacing w:after="40"/>
            </w:pPr>
            <w:r>
              <w:t>3 December 1993</w:t>
            </w:r>
          </w:p>
        </w:tc>
      </w:tr>
      <w:tr>
        <w:tc>
          <w:tcPr>
            <w:tcW w:w="3118" w:type="dxa"/>
          </w:tcPr>
          <w:p>
            <w:pPr>
              <w:pStyle w:val="nTable"/>
              <w:spacing w:after="40"/>
            </w:pPr>
            <w:r>
              <w:rPr>
                <w:i/>
              </w:rPr>
              <w:t>Crimes (Confiscation of Profits) (Corresponding Laws) Amendment Regulations 1995</w:t>
            </w:r>
          </w:p>
        </w:tc>
        <w:tc>
          <w:tcPr>
            <w:tcW w:w="1276" w:type="dxa"/>
          </w:tcPr>
          <w:p>
            <w:pPr>
              <w:pStyle w:val="nTable"/>
              <w:spacing w:after="40"/>
            </w:pPr>
            <w:r>
              <w:t>8 December 1995 pp.5972</w:t>
            </w:r>
            <w:r>
              <w:noBreakHyphen/>
              <w:t>3</w:t>
            </w:r>
          </w:p>
        </w:tc>
        <w:tc>
          <w:tcPr>
            <w:tcW w:w="2693" w:type="dxa"/>
          </w:tcPr>
          <w:p>
            <w:pPr>
              <w:pStyle w:val="nTable"/>
              <w:spacing w:after="40"/>
            </w:pPr>
            <w:r>
              <w:t>8 December 1995</w:t>
            </w:r>
          </w:p>
        </w:tc>
      </w:tr>
      <w:tr>
        <w:tc>
          <w:tcPr>
            <w:tcW w:w="3118" w:type="dxa"/>
          </w:tcPr>
          <w:p>
            <w:pPr>
              <w:pStyle w:val="nTable"/>
              <w:spacing w:after="40"/>
            </w:pPr>
            <w:r>
              <w:rPr>
                <w:i/>
              </w:rPr>
              <w:t>Crimes (Confiscation of Profits) (Corresponding Laws) Amendment Regulations 1997</w:t>
            </w:r>
          </w:p>
        </w:tc>
        <w:tc>
          <w:tcPr>
            <w:tcW w:w="1276" w:type="dxa"/>
          </w:tcPr>
          <w:p>
            <w:pPr>
              <w:pStyle w:val="nTable"/>
              <w:spacing w:after="40"/>
            </w:pPr>
            <w:r>
              <w:t>12 December 1997 pp.7264</w:t>
            </w:r>
            <w:r>
              <w:noBreakHyphen/>
              <w:t>5</w:t>
            </w:r>
          </w:p>
        </w:tc>
        <w:tc>
          <w:tcPr>
            <w:tcW w:w="2693" w:type="dxa"/>
          </w:tcPr>
          <w:p>
            <w:pPr>
              <w:pStyle w:val="nTable"/>
              <w:spacing w:after="40"/>
            </w:pPr>
            <w:r>
              <w:t>12 December 1997</w:t>
            </w:r>
          </w:p>
        </w:tc>
      </w:tr>
      <w:tr>
        <w:tc>
          <w:tcPr>
            <w:tcW w:w="3118" w:type="dxa"/>
          </w:tcPr>
          <w:p>
            <w:pPr>
              <w:pStyle w:val="nTable"/>
              <w:spacing w:after="40"/>
              <w:rPr>
                <w:i/>
              </w:rPr>
            </w:pPr>
            <w:r>
              <w:rPr>
                <w:i/>
              </w:rPr>
              <w:t>Crimes (Confiscation of Profits) (Corresponding Laws) Amendment Regulations 1999</w:t>
            </w:r>
          </w:p>
        </w:tc>
        <w:tc>
          <w:tcPr>
            <w:tcW w:w="1276" w:type="dxa"/>
          </w:tcPr>
          <w:p>
            <w:pPr>
              <w:pStyle w:val="nTable"/>
              <w:spacing w:after="40"/>
            </w:pPr>
            <w:r>
              <w:t>29 October 1999 pp.5397-9</w:t>
            </w:r>
          </w:p>
        </w:tc>
        <w:tc>
          <w:tcPr>
            <w:tcW w:w="2693" w:type="dxa"/>
          </w:tcPr>
          <w:p>
            <w:pPr>
              <w:pStyle w:val="nTable"/>
              <w:spacing w:after="40"/>
            </w:pPr>
            <w:r>
              <w:t>29 October 1999</w:t>
            </w:r>
          </w:p>
        </w:tc>
      </w:tr>
      <w:tr>
        <w:tc>
          <w:tcPr>
            <w:tcW w:w="3118" w:type="dxa"/>
          </w:tcPr>
          <w:p>
            <w:pPr>
              <w:pStyle w:val="nTable"/>
              <w:spacing w:after="40"/>
              <w:rPr>
                <w:i/>
              </w:rPr>
            </w:pPr>
            <w:r>
              <w:rPr>
                <w:i/>
              </w:rPr>
              <w:t>Crimes (Confiscation of Profits) (Corresponding Laws) Amendment Regulations 2000</w:t>
            </w:r>
          </w:p>
        </w:tc>
        <w:tc>
          <w:tcPr>
            <w:tcW w:w="1276" w:type="dxa"/>
          </w:tcPr>
          <w:p>
            <w:pPr>
              <w:pStyle w:val="nTable"/>
              <w:spacing w:after="40"/>
            </w:pPr>
            <w:r>
              <w:t>13 October 2000 pp.5719-20</w:t>
            </w:r>
          </w:p>
        </w:tc>
        <w:tc>
          <w:tcPr>
            <w:tcW w:w="2693" w:type="dxa"/>
          </w:tcPr>
          <w:p>
            <w:pPr>
              <w:pStyle w:val="nTable"/>
              <w:spacing w:after="40"/>
            </w:pPr>
            <w:r>
              <w:t xml:space="preserve">13 October 2000 </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Criminal Property Confiscation Regulations 2000</w:t>
            </w:r>
            <w:r>
              <w:rPr>
                <w:b/>
                <w:bCs/>
                <w:color w:val="FF0000"/>
              </w:rPr>
              <w:t xml:space="preserve"> r. 7(a) as at 1 Jan 2001 (see </w:t>
            </w:r>
            <w:r>
              <w:rPr>
                <w:b/>
                <w:bCs/>
                <w:i/>
                <w:iCs/>
                <w:color w:val="FF0000"/>
              </w:rPr>
              <w:t>Gazette</w:t>
            </w:r>
            <w:r>
              <w:rPr>
                <w:b/>
                <w:bCs/>
                <w:color w:val="FF0000"/>
              </w:rPr>
              <w:t xml:space="preserve"> 19 Dec 2000 p. 7268)</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New South Wales Act (1990)</w:t>
      </w:r>
      <w:r>
        <w:tab/>
        <w:t>2</w:t>
      </w:r>
    </w:p>
    <w:p>
      <w:pPr>
        <w:pStyle w:val="DefinedTerms"/>
      </w:pPr>
      <w:r>
        <w:t>the Victorian Act (1986)</w:t>
      </w:r>
      <w:r>
        <w:tab/>
        <w:t>2</w:t>
      </w:r>
    </w:p>
    <w:p>
      <w:pPr>
        <w:pStyle w:val="DefinedTerms"/>
      </w:pPr>
      <w:r>
        <w:t>the Victorian Act (1997)</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(Corresponding Laws) Regulations 1990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54BF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C61E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4087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6039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7AC9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7C5A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28FA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8CC1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5625A4"/>
    <w:lvl w:ilvl="0">
      <w:start w:val="1"/>
      <w:numFmt w:val="decimal"/>
      <w:pStyle w:val="ListNumber"/>
      <w:lvlText w:val="%1."/>
      <w:lvlJc w:val="left"/>
      <w:pPr>
        <w:tabs>
          <w:tab w:val="num" w:pos="360"/>
        </w:tabs>
        <w:ind w:left="360" w:hanging="360"/>
      </w:pPr>
    </w:lvl>
  </w:abstractNum>
  <w:abstractNum w:abstractNumId="9">
    <w:nsid w:val="FFFFFF89"/>
    <w:multiLevelType w:val="singleLevel"/>
    <w:tmpl w:val="5D4221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9884D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4705"/>
    <w:docVar w:name="WAFER_20140115134352" w:val="RemoveTocBookmarks,RemoveUnusedBookmarks,RemoveLanguageTags,UsedStyles,ResetPageSize,UpdateArrangement"/>
    <w:docVar w:name="WAFER_20140115134352_GUID" w:val="2b3a2608-8967-4c3c-9aed-e73deef8b570"/>
    <w:docVar w:name="WAFER_20140115135232" w:val="RemoveTocBookmarks,RunningHeaders"/>
    <w:docVar w:name="WAFER_20140115135232_GUID" w:val="6cb3a3ae-0a6e-4edd-a184-ea317c5169d0"/>
    <w:docVar w:name="WAFER_20140214104305" w:val="ResetStyles"/>
    <w:docVar w:name="WAFER_20140214104305_GUID" w:val="81401666-4d5b-475a-a623-7e845e60d0c5"/>
    <w:docVar w:name="WAFER_20150731111902" w:val="ResetPageSize,UpdateArrangement,UpdateNTable"/>
    <w:docVar w:name="WAFER_20150731111902_GUID" w:val="6d048e28-7d97-47ab-ac5a-083f46175b3c"/>
    <w:docVar w:name="WAFER_20151117094705" w:val="UpdateStyles,UsedStyles"/>
    <w:docVar w:name="WAFER_20151117094705_GUID" w:val="c5da5366-6790-4e0e-975a-e9db3f63de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1096">
      <w:bodyDiv w:val="1"/>
      <w:marLeft w:val="0"/>
      <w:marRight w:val="0"/>
      <w:marTop w:val="0"/>
      <w:marBottom w:val="0"/>
      <w:divBdr>
        <w:top w:val="none" w:sz="0" w:space="0" w:color="auto"/>
        <w:left w:val="none" w:sz="0" w:space="0" w:color="auto"/>
        <w:bottom w:val="none" w:sz="0" w:space="0" w:color="auto"/>
        <w:right w:val="none" w:sz="0" w:space="0" w:color="auto"/>
      </w:divBdr>
    </w:div>
    <w:div w:id="7251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3392</Words>
  <Characters>17946</Characters>
  <Application>Microsoft Office Word</Application>
  <DocSecurity>0</DocSecurity>
  <Lines>512</Lines>
  <Paragraphs>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(Confiscation of Profits) (Corresponding Laws) Regulations 1990 - 00-g0-07</dc:title>
  <dc:subject/>
  <dc:creator/>
  <cp:keywords/>
  <dc:description/>
  <cp:lastModifiedBy>svcMRProcess</cp:lastModifiedBy>
  <cp:revision>4</cp:revision>
  <cp:lastPrinted>2006-04-18T08:21:00Z</cp:lastPrinted>
  <dcterms:created xsi:type="dcterms:W3CDTF">2018-09-10T08:45:00Z</dcterms:created>
  <dcterms:modified xsi:type="dcterms:W3CDTF">2018-09-10T08:46:00Z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1990 pp.2061-3</vt:lpwstr>
  </property>
  <property fmtid="{D5CDD505-2E9C-101B-9397-08002B2CF9AE}" pid="3" name="CommencementDate">
    <vt:lpwstr>20010101</vt:lpwstr>
  </property>
  <property fmtid="{D5CDD505-2E9C-101B-9397-08002B2CF9AE}" pid="4" name="DocumentType">
    <vt:lpwstr>Reg</vt:lpwstr>
  </property>
  <property fmtid="{D5CDD505-2E9C-101B-9397-08002B2CF9AE}" pid="5" name="AsAtDate">
    <vt:lpwstr>01 Jan 2001</vt:lpwstr>
  </property>
  <property fmtid="{D5CDD505-2E9C-101B-9397-08002B2CF9AE}" pid="6" name="Suffix">
    <vt:lpwstr>00-g0-07</vt:lpwstr>
  </property>
  <property fmtid="{D5CDD505-2E9C-101B-9397-08002B2CF9AE}" pid="7" name="Status">
    <vt:lpwstr>NIF</vt:lpwstr>
  </property>
</Properties>
</file>