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_Toc453657157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_Toc453657158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_Toc453657159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_Toc453657160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_Toc453657161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_Toc453657162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_Toc453657163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_Toc453657164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_Toc453657165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_Toc453657166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_Toc453657167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_Toc453657168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_Toc453657169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_Toc453657170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_Toc453657171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_Toc453657172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_Toc453657173 \h </w:instrText>
      </w:r>
      <w:r>
        <w:fldChar w:fldCharType="separate"/>
      </w:r>
      <w:r>
        <w:t>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_Toc453657174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_Toc453657175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_Toc453657176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_Toc453657177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_Toc453657178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_Toc453657179 \h </w:instrText>
      </w:r>
      <w:r>
        <w:fldChar w:fldCharType="separate"/>
      </w:r>
      <w:r>
        <w:t>5</w:t>
      </w:r>
      <w:r>
        <w:fldChar w:fldCharType="end"/>
      </w:r>
    </w:p>
    <w:p>
      <w:pPr>
        <w:pStyle w:val="TOC8"/>
        <w:rPr>
          <w:rFonts w:asciiTheme="minorHAnsi" w:eastAsiaTheme="minorEastAsia" w:hAnsiTheme="minorHAnsi" w:cstheme="minorBidi"/>
          <w:szCs w:val="22"/>
        </w:rPr>
      </w:pPr>
      <w:r>
        <w:t>23.</w:t>
      </w:r>
      <w:r>
        <w:tab/>
        <w:t>Coroner’s registrar may remit fees</w:t>
      </w:r>
      <w:r>
        <w:tab/>
      </w:r>
      <w:r>
        <w:fldChar w:fldCharType="begin"/>
      </w:r>
      <w:r>
        <w:instrText xml:space="preserve"> PAGEREF _Toc453657180 \h </w:instrText>
      </w:r>
      <w:r>
        <w:fldChar w:fldCharType="separate"/>
      </w:r>
      <w:r>
        <w:t>6</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_Toc453657181 \h </w:instrText>
      </w:r>
      <w:r>
        <w:fldChar w:fldCharType="separate"/>
      </w:r>
      <w:r>
        <w:t>6</w:t>
      </w:r>
      <w:r>
        <w:fldChar w:fldCharType="end"/>
      </w:r>
    </w:p>
    <w:p>
      <w:pPr>
        <w:pStyle w:val="TOC8"/>
        <w:rPr>
          <w:rFonts w:asciiTheme="minorHAnsi" w:eastAsiaTheme="minorEastAsia" w:hAnsiTheme="minorHAnsi" w:cstheme="minorBidi"/>
          <w:szCs w:val="22"/>
        </w:rPr>
      </w:pPr>
      <w:r>
        <w:lastRenderedPageBreak/>
        <w:t>25.</w:t>
      </w:r>
      <w:r>
        <w:tab/>
        <w:t>Recovery of unpaid fees</w:t>
      </w:r>
      <w:r>
        <w:tab/>
      </w:r>
      <w:r>
        <w:fldChar w:fldCharType="begin"/>
      </w:r>
      <w:r>
        <w:instrText xml:space="preserve"> PAGEREF _Toc453657182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_Toc453657187 \h </w:instrText>
      </w:r>
      <w:r>
        <w:fldChar w:fldCharType="separate"/>
      </w:r>
      <w:r>
        <w:t>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_Toc453657188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391630789"/>
      <w:bookmarkStart w:id="4" w:name="_Toc45365715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5" w:name="_Toc391630790"/>
      <w:bookmarkStart w:id="6" w:name="_Toc45365715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7" w:name="_Toc391630791"/>
      <w:bookmarkStart w:id="8" w:name="_Toc453657159"/>
      <w:r>
        <w:rPr>
          <w:rStyle w:val="CharSectno"/>
        </w:rPr>
        <w:t>3A</w:t>
      </w:r>
      <w:r>
        <w:t>.</w:t>
      </w:r>
      <w:r>
        <w:tab/>
        <w:t>Terms used</w:t>
      </w:r>
      <w:bookmarkEnd w:id="7"/>
      <w:bookmarkEnd w:id="8"/>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9" w:name="_Toc391630792"/>
      <w:bookmarkStart w:id="10" w:name="_Toc453657160"/>
      <w:r>
        <w:rPr>
          <w:rStyle w:val="CharSectno"/>
        </w:rPr>
        <w:t>3</w:t>
      </w:r>
      <w:r>
        <w:rPr>
          <w:snapToGrid w:val="0"/>
        </w:rPr>
        <w:t>.</w:t>
      </w:r>
      <w:r>
        <w:rPr>
          <w:snapToGrid w:val="0"/>
        </w:rPr>
        <w:tab/>
        <w:t>Pathologist</w:t>
      </w:r>
      <w:bookmarkEnd w:id="9"/>
      <w:bookmarkEnd w:id="10"/>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1" w:name="_Toc391630793"/>
      <w:bookmarkStart w:id="12" w:name="_Toc453657161"/>
      <w:r>
        <w:rPr>
          <w:rStyle w:val="CharSectno"/>
        </w:rPr>
        <w:t>4</w:t>
      </w:r>
      <w:r>
        <w:rPr>
          <w:snapToGrid w:val="0"/>
        </w:rPr>
        <w:t>.</w:t>
      </w:r>
      <w:r>
        <w:rPr>
          <w:snapToGrid w:val="0"/>
        </w:rPr>
        <w:tab/>
        <w:t>State Coroner — form of oath of office</w:t>
      </w:r>
      <w:bookmarkEnd w:id="11"/>
      <w:bookmarkEnd w:id="12"/>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3" w:name="_Toc391630794"/>
      <w:bookmarkStart w:id="14" w:name="_Toc453657162"/>
      <w:r>
        <w:rPr>
          <w:rStyle w:val="CharSectno"/>
        </w:rPr>
        <w:t>5</w:t>
      </w:r>
      <w:r>
        <w:rPr>
          <w:snapToGrid w:val="0"/>
        </w:rPr>
        <w:t>.</w:t>
      </w:r>
      <w:r>
        <w:rPr>
          <w:snapToGrid w:val="0"/>
        </w:rPr>
        <w:tab/>
        <w:t>Restrict</w:t>
      </w:r>
      <w:r>
        <w:t>i</w:t>
      </w:r>
      <w:r>
        <w:rPr>
          <w:snapToGrid w:val="0"/>
        </w:rPr>
        <w:t>on on delegation</w:t>
      </w:r>
      <w:bookmarkEnd w:id="13"/>
      <w:bookmarkEnd w:id="14"/>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15" w:name="_Toc391630795"/>
      <w:bookmarkStart w:id="16" w:name="_Toc453657163"/>
      <w:r>
        <w:rPr>
          <w:rStyle w:val="CharSectno"/>
        </w:rPr>
        <w:t>6</w:t>
      </w:r>
      <w:r>
        <w:rPr>
          <w:snapToGrid w:val="0"/>
        </w:rPr>
        <w:t>.</w:t>
      </w:r>
      <w:r>
        <w:rPr>
          <w:snapToGrid w:val="0"/>
        </w:rPr>
        <w:tab/>
        <w:t>Form of record of investigation into a death</w:t>
      </w:r>
      <w:bookmarkEnd w:id="15"/>
      <w:bookmarkEnd w:id="16"/>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7" w:name="_Toc391630796"/>
      <w:bookmarkStart w:id="18" w:name="_Toc453657164"/>
      <w:r>
        <w:rPr>
          <w:rStyle w:val="CharSectno"/>
        </w:rPr>
        <w:t>7</w:t>
      </w:r>
      <w:r>
        <w:rPr>
          <w:snapToGrid w:val="0"/>
        </w:rPr>
        <w:t>.</w:t>
      </w:r>
      <w:r>
        <w:rPr>
          <w:snapToGrid w:val="0"/>
        </w:rPr>
        <w:tab/>
        <w:t>Form of certificate of disposal of body</w:t>
      </w:r>
      <w:bookmarkEnd w:id="17"/>
      <w:bookmarkEnd w:id="18"/>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9" w:name="_Toc391630797"/>
      <w:bookmarkStart w:id="20" w:name="_Toc453657165"/>
      <w:r>
        <w:rPr>
          <w:rStyle w:val="CharSectno"/>
        </w:rPr>
        <w:t>8</w:t>
      </w:r>
      <w:r>
        <w:rPr>
          <w:snapToGrid w:val="0"/>
        </w:rPr>
        <w:t>.</w:t>
      </w:r>
      <w:r>
        <w:rPr>
          <w:snapToGrid w:val="0"/>
        </w:rPr>
        <w:tab/>
        <w:t>Request that post mortem be performed</w:t>
      </w:r>
      <w:bookmarkEnd w:id="19"/>
      <w:bookmarkEnd w:id="20"/>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1" w:name="_Toc391630798"/>
      <w:bookmarkStart w:id="22" w:name="_Toc453657166"/>
      <w:r>
        <w:rPr>
          <w:rStyle w:val="CharSectno"/>
        </w:rPr>
        <w:t>9</w:t>
      </w:r>
      <w:r>
        <w:rPr>
          <w:snapToGrid w:val="0"/>
        </w:rPr>
        <w:t>.</w:t>
      </w:r>
      <w:r>
        <w:rPr>
          <w:snapToGrid w:val="0"/>
        </w:rPr>
        <w:tab/>
        <w:t>Direction to perform post mortem</w:t>
      </w:r>
      <w:bookmarkEnd w:id="21"/>
      <w:bookmarkEnd w:id="2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23" w:name="_Toc391630799"/>
      <w:bookmarkStart w:id="24" w:name="_Toc453657167"/>
      <w:r>
        <w:rPr>
          <w:rStyle w:val="CharSectno"/>
        </w:rPr>
        <w:t>10</w:t>
      </w:r>
      <w:r>
        <w:rPr>
          <w:snapToGrid w:val="0"/>
        </w:rPr>
        <w:t>.</w:t>
      </w:r>
      <w:r>
        <w:rPr>
          <w:snapToGrid w:val="0"/>
        </w:rPr>
        <w:tab/>
        <w:t>Form of order for exhumation</w:t>
      </w:r>
      <w:bookmarkEnd w:id="23"/>
      <w:bookmarkEnd w:id="24"/>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5" w:name="_Toc391630800"/>
      <w:bookmarkStart w:id="26" w:name="_Toc453657168"/>
      <w:r>
        <w:rPr>
          <w:rStyle w:val="CharSectno"/>
        </w:rPr>
        <w:t>11</w:t>
      </w:r>
      <w:r>
        <w:rPr>
          <w:snapToGrid w:val="0"/>
        </w:rPr>
        <w:t>.</w:t>
      </w:r>
      <w:r>
        <w:rPr>
          <w:snapToGrid w:val="0"/>
        </w:rPr>
        <w:tab/>
        <w:t>Request not to exhume</w:t>
      </w:r>
      <w:bookmarkEnd w:id="25"/>
      <w:bookmarkEnd w:id="26"/>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7" w:name="_Toc391630801"/>
      <w:bookmarkStart w:id="28" w:name="_Toc453657169"/>
      <w:r>
        <w:rPr>
          <w:rStyle w:val="CharSectno"/>
        </w:rPr>
        <w:t>12</w:t>
      </w:r>
      <w:r>
        <w:rPr>
          <w:snapToGrid w:val="0"/>
        </w:rPr>
        <w:t>.</w:t>
      </w:r>
      <w:r>
        <w:rPr>
          <w:snapToGrid w:val="0"/>
        </w:rPr>
        <w:tab/>
        <w:t>Form of notice of restriction of access to area</w:t>
      </w:r>
      <w:bookmarkEnd w:id="27"/>
      <w:bookmarkEnd w:id="28"/>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9" w:name="_Toc391630802"/>
      <w:bookmarkStart w:id="30" w:name="_Toc453657170"/>
      <w:r>
        <w:rPr>
          <w:rStyle w:val="CharSectno"/>
        </w:rPr>
        <w:t>13</w:t>
      </w:r>
      <w:r>
        <w:rPr>
          <w:snapToGrid w:val="0"/>
        </w:rPr>
        <w:t>.</w:t>
      </w:r>
      <w:r>
        <w:rPr>
          <w:snapToGrid w:val="0"/>
        </w:rPr>
        <w:tab/>
        <w:t>Form of agreement of coroner to restricted access to area</w:t>
      </w:r>
      <w:bookmarkEnd w:id="29"/>
      <w:bookmarkEnd w:id="30"/>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1" w:name="_Toc391630803"/>
      <w:bookmarkStart w:id="32" w:name="_Toc453657171"/>
      <w:r>
        <w:rPr>
          <w:rStyle w:val="CharSectno"/>
        </w:rPr>
        <w:t>14</w:t>
      </w:r>
      <w:r>
        <w:rPr>
          <w:snapToGrid w:val="0"/>
        </w:rPr>
        <w:t>.</w:t>
      </w:r>
      <w:r>
        <w:rPr>
          <w:snapToGrid w:val="0"/>
        </w:rPr>
        <w:tab/>
        <w:t>Form of authorisation, form of undertaking and requests for release of things</w:t>
      </w:r>
      <w:bookmarkEnd w:id="31"/>
      <w:bookmarkEnd w:id="32"/>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3" w:name="_Toc391630804"/>
      <w:bookmarkStart w:id="34" w:name="_Toc453657172"/>
      <w:r>
        <w:rPr>
          <w:rStyle w:val="CharSectno"/>
        </w:rPr>
        <w:t>15</w:t>
      </w:r>
      <w:r>
        <w:rPr>
          <w:snapToGrid w:val="0"/>
        </w:rPr>
        <w:t>.</w:t>
      </w:r>
      <w:r>
        <w:rPr>
          <w:snapToGrid w:val="0"/>
        </w:rPr>
        <w:tab/>
        <w:t>Request for an inquest into a death</w:t>
      </w:r>
      <w:bookmarkEnd w:id="33"/>
      <w:bookmarkEnd w:id="34"/>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5" w:name="_Toc391630805"/>
      <w:bookmarkStart w:id="36" w:name="_Toc453657173"/>
      <w:r>
        <w:rPr>
          <w:rStyle w:val="CharSectno"/>
        </w:rPr>
        <w:t>16</w:t>
      </w:r>
      <w:r>
        <w:rPr>
          <w:snapToGrid w:val="0"/>
        </w:rPr>
        <w:t>.</w:t>
      </w:r>
      <w:r>
        <w:rPr>
          <w:snapToGrid w:val="0"/>
        </w:rPr>
        <w:tab/>
        <w:t>Form of summons and warrant, and service of summons</w:t>
      </w:r>
      <w:bookmarkEnd w:id="35"/>
      <w:bookmarkEnd w:id="36"/>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37" w:name="_Toc391630806"/>
      <w:bookmarkStart w:id="38" w:name="_Toc453657174"/>
      <w:r>
        <w:rPr>
          <w:rStyle w:val="CharSectno"/>
        </w:rPr>
        <w:t>17</w:t>
      </w:r>
      <w:r>
        <w:rPr>
          <w:snapToGrid w:val="0"/>
        </w:rPr>
        <w:t>.</w:t>
      </w:r>
      <w:r>
        <w:rPr>
          <w:snapToGrid w:val="0"/>
        </w:rPr>
        <w:tab/>
        <w:t>Interested persons for the purposes of section 44(3)</w:t>
      </w:r>
      <w:bookmarkEnd w:id="37"/>
      <w:bookmarkEnd w:id="38"/>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39" w:name="_Toc391630807"/>
      <w:bookmarkStart w:id="40" w:name="_Toc453657175"/>
      <w:r>
        <w:rPr>
          <w:rStyle w:val="CharSectno"/>
        </w:rPr>
        <w:t>18</w:t>
      </w:r>
      <w:r>
        <w:rPr>
          <w:snapToGrid w:val="0"/>
        </w:rPr>
        <w:t>.</w:t>
      </w:r>
      <w:r>
        <w:rPr>
          <w:snapToGrid w:val="0"/>
        </w:rPr>
        <w:tab/>
        <w:t>Form of order of exclusion from an inquest</w:t>
      </w:r>
      <w:bookmarkEnd w:id="39"/>
      <w:bookmarkEnd w:id="40"/>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1" w:name="_Toc391630808"/>
      <w:bookmarkStart w:id="42" w:name="_Toc453657176"/>
      <w:r>
        <w:rPr>
          <w:rStyle w:val="CharSectno"/>
        </w:rPr>
        <w:t>19</w:t>
      </w:r>
      <w:r>
        <w:rPr>
          <w:snapToGrid w:val="0"/>
        </w:rPr>
        <w:t>.</w:t>
      </w:r>
      <w:r>
        <w:rPr>
          <w:snapToGrid w:val="0"/>
        </w:rPr>
        <w:tab/>
        <w:t>Access to records</w:t>
      </w:r>
      <w:bookmarkEnd w:id="41"/>
      <w:bookmarkEnd w:id="4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3" w:name="_Toc391630809"/>
      <w:bookmarkStart w:id="44" w:name="_Toc453657177"/>
      <w:r>
        <w:rPr>
          <w:rStyle w:val="CharSectno"/>
        </w:rPr>
        <w:t>20</w:t>
      </w:r>
      <w:r>
        <w:rPr>
          <w:snapToGrid w:val="0"/>
        </w:rPr>
        <w:t>.</w:t>
      </w:r>
      <w:r>
        <w:rPr>
          <w:snapToGrid w:val="0"/>
        </w:rPr>
        <w:tab/>
        <w:t>Form of oath or affirmation for witness</w:t>
      </w:r>
      <w:bookmarkEnd w:id="43"/>
      <w:bookmarkEnd w:id="44"/>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5" w:name="_Toc391630810"/>
      <w:bookmarkStart w:id="46" w:name="_Toc453657178"/>
      <w:r>
        <w:rPr>
          <w:rStyle w:val="CharSectno"/>
        </w:rPr>
        <w:t>21</w:t>
      </w:r>
      <w:r>
        <w:rPr>
          <w:snapToGrid w:val="0"/>
        </w:rPr>
        <w:t>.</w:t>
      </w:r>
      <w:r>
        <w:rPr>
          <w:snapToGrid w:val="0"/>
        </w:rPr>
        <w:tab/>
        <w:t>Fees for post mortem services</w:t>
      </w:r>
      <w:bookmarkEnd w:id="45"/>
      <w:bookmarkEnd w:id="46"/>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spacing w:before="200"/>
      </w:pPr>
      <w:bookmarkStart w:id="47" w:name="_Toc391630811"/>
      <w:bookmarkStart w:id="48" w:name="_Toc453657179"/>
      <w:r>
        <w:rPr>
          <w:rStyle w:val="CharSectno"/>
        </w:rPr>
        <w:t>22</w:t>
      </w:r>
      <w:r>
        <w:t>.</w:t>
      </w:r>
      <w:r>
        <w:tab/>
        <w:t>Other fees</w:t>
      </w:r>
      <w:bookmarkEnd w:id="47"/>
      <w:bookmarkEnd w:id="48"/>
    </w:p>
    <w:p>
      <w:pPr>
        <w:pStyle w:val="Subsection"/>
        <w:spacing w:before="140"/>
      </w:pPr>
      <w:r>
        <w:tab/>
      </w:r>
      <w:r>
        <w:tab/>
        <w:t>The fees set out in Schedule 3 are to be charged in respect of the matters referred to in that Schedule.</w:t>
      </w:r>
    </w:p>
    <w:p>
      <w:pPr>
        <w:pStyle w:val="Footnotesection"/>
        <w:spacing w:before="80"/>
      </w:pPr>
      <w:r>
        <w:tab/>
        <w:t>[Regulation 22 inserted in Gazette 4 Sep 2009 p. 3492.]</w:t>
      </w:r>
    </w:p>
    <w:p>
      <w:pPr>
        <w:pStyle w:val="Heading5"/>
      </w:pPr>
      <w:bookmarkStart w:id="49" w:name="_Toc391630812"/>
      <w:bookmarkStart w:id="50" w:name="_Toc453657180"/>
      <w:r>
        <w:rPr>
          <w:rStyle w:val="CharSectno"/>
        </w:rPr>
        <w:t>23</w:t>
      </w:r>
      <w:r>
        <w:t>.</w:t>
      </w:r>
      <w:r>
        <w:tab/>
        <w:t>Coroner’s registrar may remit fees</w:t>
      </w:r>
      <w:bookmarkEnd w:id="49"/>
      <w:bookmarkEnd w:id="50"/>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51" w:name="_Toc391630813"/>
      <w:bookmarkStart w:id="52" w:name="_Toc453657181"/>
      <w:r>
        <w:rPr>
          <w:rStyle w:val="CharSectno"/>
        </w:rPr>
        <w:t>24</w:t>
      </w:r>
      <w:r>
        <w:t>.</w:t>
      </w:r>
      <w:r>
        <w:tab/>
        <w:t>Resolution of disputes as to fees</w:t>
      </w:r>
      <w:bookmarkEnd w:id="51"/>
      <w:bookmarkEnd w:id="52"/>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53" w:name="_Toc391630814"/>
      <w:bookmarkStart w:id="54" w:name="_Toc453657182"/>
      <w:r>
        <w:rPr>
          <w:rStyle w:val="CharSectno"/>
        </w:rPr>
        <w:t>25</w:t>
      </w:r>
      <w:r>
        <w:t>.</w:t>
      </w:r>
      <w:r>
        <w:tab/>
        <w:t>Recovery of unpaid fees</w:t>
      </w:r>
      <w:bookmarkEnd w:id="53"/>
      <w:bookmarkEnd w:id="54"/>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5" w:name="_Toc389729559"/>
      <w:bookmarkStart w:id="56" w:name="_Toc391630815"/>
      <w:bookmarkStart w:id="57" w:name="_Toc415732807"/>
      <w:bookmarkStart w:id="58" w:name="_Toc415732885"/>
      <w:bookmarkStart w:id="59" w:name="_Toc423343281"/>
      <w:bookmarkStart w:id="60" w:name="_Toc423343313"/>
      <w:bookmarkStart w:id="61" w:name="_Toc453657183"/>
      <w:r>
        <w:rPr>
          <w:rStyle w:val="CharSchNo"/>
        </w:rPr>
        <w:t>Schedule 1</w:t>
      </w:r>
      <w:r>
        <w:t> — </w:t>
      </w:r>
      <w:r>
        <w:rPr>
          <w:rStyle w:val="CharSchText"/>
        </w:rPr>
        <w:t>Forms</w:t>
      </w:r>
      <w:bookmarkEnd w:id="55"/>
      <w:bookmarkEnd w:id="56"/>
      <w:bookmarkEnd w:id="57"/>
      <w:bookmarkEnd w:id="58"/>
      <w:bookmarkEnd w:id="59"/>
      <w:bookmarkEnd w:id="60"/>
      <w:bookmarkEnd w:id="61"/>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2" w:name="_Toc389729560"/>
      <w:bookmarkStart w:id="63" w:name="_Toc391630816"/>
      <w:bookmarkStart w:id="64" w:name="_Toc415732808"/>
      <w:bookmarkStart w:id="65" w:name="_Toc415732886"/>
      <w:bookmarkStart w:id="66" w:name="_Toc423343282"/>
      <w:bookmarkStart w:id="67" w:name="_Toc423343314"/>
      <w:bookmarkStart w:id="68" w:name="_Toc453657184"/>
      <w:r>
        <w:rPr>
          <w:rStyle w:val="CharSchNo"/>
        </w:rPr>
        <w:t>Schedule 2</w:t>
      </w:r>
      <w:r>
        <w:rPr>
          <w:rStyle w:val="CharSDivNo"/>
        </w:rPr>
        <w:t> </w:t>
      </w:r>
      <w:r>
        <w:rPr>
          <w:bCs/>
        </w:rPr>
        <w:t>—</w:t>
      </w:r>
      <w:r>
        <w:rPr>
          <w:rStyle w:val="CharSDivText"/>
        </w:rPr>
        <w:t> </w:t>
      </w:r>
      <w:r>
        <w:rPr>
          <w:rStyle w:val="CharSchText"/>
        </w:rPr>
        <w:t>Fees for post mortem services</w:t>
      </w:r>
      <w:bookmarkEnd w:id="62"/>
      <w:bookmarkEnd w:id="63"/>
      <w:bookmarkEnd w:id="64"/>
      <w:bookmarkEnd w:id="65"/>
      <w:bookmarkEnd w:id="66"/>
      <w:bookmarkEnd w:id="67"/>
      <w:bookmarkEnd w:id="68"/>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69" w:name="_Toc389729561"/>
      <w:bookmarkStart w:id="70" w:name="_Toc391630817"/>
      <w:bookmarkStart w:id="71" w:name="_Toc415732809"/>
      <w:bookmarkStart w:id="72" w:name="_Toc415732887"/>
      <w:bookmarkStart w:id="73" w:name="_Toc423343283"/>
      <w:bookmarkStart w:id="74" w:name="_Toc423343315"/>
      <w:bookmarkStart w:id="75" w:name="_Toc453657185"/>
      <w:r>
        <w:rPr>
          <w:rStyle w:val="CharSchNo"/>
        </w:rPr>
        <w:t>Schedule 3</w:t>
      </w:r>
      <w:r>
        <w:t> — </w:t>
      </w:r>
      <w:r>
        <w:rPr>
          <w:rStyle w:val="CharSchText"/>
        </w:rPr>
        <w:t>Other fees</w:t>
      </w:r>
      <w:bookmarkEnd w:id="69"/>
      <w:bookmarkEnd w:id="70"/>
      <w:bookmarkEnd w:id="71"/>
      <w:bookmarkEnd w:id="72"/>
      <w:bookmarkEnd w:id="73"/>
      <w:bookmarkEnd w:id="74"/>
      <w:bookmarkEnd w:id="75"/>
    </w:p>
    <w:p>
      <w:pPr>
        <w:pStyle w:val="yShoulderClause"/>
      </w:pPr>
      <w:r>
        <w:t>[r. 22]</w:t>
      </w:r>
    </w:p>
    <w:p>
      <w:pPr>
        <w:pStyle w:val="yFootnoteheading"/>
        <w:spacing w:after="120"/>
      </w:pPr>
      <w:r>
        <w:tab/>
        <w:t>[Heading inserted in Gazette 4 Sep 2009 p. 3493.]</w:t>
      </w:r>
    </w:p>
    <w:tbl>
      <w:tblPr>
        <w:tblW w:w="0" w:type="auto"/>
        <w:tblInd w:w="10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851"/>
        <w:gridCol w:w="5552"/>
        <w:gridCol w:w="737"/>
      </w:tblGrid>
      <w:tr>
        <w:trPr>
          <w:tblHeader/>
        </w:trPr>
        <w:tc>
          <w:tcPr>
            <w:tcW w:w="851" w:type="dxa"/>
            <w:tcBorders>
              <w:bottom w:val="single" w:sz="4" w:space="0" w:color="auto"/>
            </w:tcBorders>
          </w:tcPr>
          <w:p>
            <w:pPr>
              <w:pStyle w:val="yTableNAm"/>
              <w:rPr>
                <w:b/>
                <w:bCs/>
              </w:rPr>
            </w:pPr>
            <w:r>
              <w:rPr>
                <w:b/>
                <w:bCs/>
              </w:rPr>
              <w:t>Item</w:t>
            </w:r>
          </w:p>
        </w:tc>
        <w:tc>
          <w:tcPr>
            <w:tcW w:w="5552"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851" w:type="dxa"/>
            <w:tcBorders>
              <w:bottom w:val="nil"/>
            </w:tcBorders>
          </w:tcPr>
          <w:p>
            <w:pPr>
              <w:pStyle w:val="yTableNAm"/>
            </w:pPr>
            <w:r>
              <w:t>1.</w:t>
            </w:r>
          </w:p>
        </w:tc>
        <w:tc>
          <w:tcPr>
            <w:tcW w:w="5552"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r>
              <w:t>1.50</w:t>
            </w:r>
          </w:p>
        </w:tc>
      </w:tr>
      <w:tr>
        <w:tc>
          <w:tcPr>
            <w:tcW w:w="851" w:type="dxa"/>
            <w:tcBorders>
              <w:top w:val="nil"/>
              <w:bottom w:val="nil"/>
            </w:tcBorders>
          </w:tcPr>
          <w:p>
            <w:pPr>
              <w:pStyle w:val="yTableNAm"/>
            </w:pPr>
            <w:r>
              <w:t>2.</w:t>
            </w:r>
          </w:p>
        </w:tc>
        <w:tc>
          <w:tcPr>
            <w:tcW w:w="5552"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r>
              <w:br/>
              <w:t>Nil</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spacing w:before="0"/>
              <w:jc w:val="right"/>
            </w:pPr>
            <w:r>
              <w:br/>
            </w:r>
            <w:r>
              <w:br/>
            </w:r>
            <w:r>
              <w:rPr>
                <w:szCs w:val="22"/>
              </w:rPr>
              <w:t>1.25</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spacing w:before="0"/>
              <w:ind w:right="20"/>
              <w:jc w:val="right"/>
            </w:pPr>
            <w:r>
              <w:br/>
            </w:r>
            <w:r>
              <w:rPr>
                <w:szCs w:val="22"/>
              </w:rPr>
              <w:t>1.25</w:t>
            </w:r>
          </w:p>
        </w:tc>
      </w:tr>
      <w:tr>
        <w:tc>
          <w:tcPr>
            <w:tcW w:w="851" w:type="dxa"/>
            <w:tcBorders>
              <w:top w:val="nil"/>
              <w:bottom w:val="nil"/>
            </w:tcBorders>
          </w:tcPr>
          <w:p>
            <w:pPr>
              <w:pStyle w:val="yTableNAm"/>
            </w:pPr>
            <w:r>
              <w:t>3.</w:t>
            </w:r>
          </w:p>
        </w:tc>
        <w:tc>
          <w:tcPr>
            <w:tcW w:w="5552"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r>
              <w:rPr>
                <w:szCs w:val="22"/>
              </w:rPr>
              <w:t>17.65</w:t>
            </w:r>
          </w:p>
        </w:tc>
      </w:tr>
      <w:tr>
        <w:tc>
          <w:tcPr>
            <w:tcW w:w="851" w:type="dxa"/>
            <w:tcBorders>
              <w:top w:val="nil"/>
              <w:bottom w:val="nil"/>
            </w:tcBorders>
          </w:tcPr>
          <w:p>
            <w:pPr>
              <w:pStyle w:val="yTableNAm"/>
            </w:pPr>
            <w:r>
              <w:t>4.</w:t>
            </w:r>
          </w:p>
        </w:tc>
        <w:tc>
          <w:tcPr>
            <w:tcW w:w="5552" w:type="dxa"/>
            <w:tcBorders>
              <w:top w:val="nil"/>
              <w:bottom w:val="nil"/>
            </w:tcBorders>
          </w:tcPr>
          <w:p>
            <w:pPr>
              <w:pStyle w:val="yTableNAm"/>
            </w:pPr>
            <w:r>
              <w:t>Copy of transcript or notes of evidence, for each page or part of a page (minimum fee — $25.30)</w:t>
            </w:r>
          </w:p>
        </w:tc>
        <w:tc>
          <w:tcPr>
            <w:tcW w:w="737" w:type="dxa"/>
            <w:tcBorders>
              <w:top w:val="nil"/>
              <w:bottom w:val="nil"/>
            </w:tcBorders>
          </w:tcPr>
          <w:p>
            <w:pPr>
              <w:pStyle w:val="yTableNAm"/>
              <w:tabs>
                <w:tab w:val="clear" w:pos="567"/>
              </w:tabs>
              <w:jc w:val="right"/>
            </w:pPr>
            <w:r>
              <w:br/>
            </w:r>
            <w:r>
              <w:rPr>
                <w:szCs w:val="22"/>
              </w:rPr>
              <w:t>7.10</w:t>
            </w:r>
          </w:p>
        </w:tc>
      </w:tr>
      <w:tr>
        <w:tc>
          <w:tcPr>
            <w:tcW w:w="851" w:type="dxa"/>
            <w:tcBorders>
              <w:top w:val="nil"/>
              <w:bottom w:val="nil"/>
            </w:tcBorders>
          </w:tcPr>
          <w:p>
            <w:pPr>
              <w:pStyle w:val="yTableNAm"/>
            </w:pPr>
            <w:r>
              <w:t>5.</w:t>
            </w:r>
          </w:p>
        </w:tc>
        <w:tc>
          <w:tcPr>
            <w:tcW w:w="5552"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r>
              <w:br/>
            </w:r>
            <w:r>
              <w:br/>
            </w:r>
            <w:r>
              <w:br/>
            </w:r>
            <w:r>
              <w:rPr>
                <w:szCs w:val="22"/>
              </w:rPr>
              <w:t>17.65</w:t>
            </w:r>
          </w:p>
        </w:tc>
      </w:tr>
      <w:tr>
        <w:tc>
          <w:tcPr>
            <w:tcW w:w="851" w:type="dxa"/>
            <w:tcBorders>
              <w:top w:val="nil"/>
              <w:bottom w:val="single" w:sz="4" w:space="0" w:color="auto"/>
            </w:tcBorders>
          </w:tcPr>
          <w:p>
            <w:pPr>
              <w:pStyle w:val="yTableNAm"/>
            </w:pPr>
            <w:r>
              <w:t>6.</w:t>
            </w:r>
          </w:p>
        </w:tc>
        <w:tc>
          <w:tcPr>
            <w:tcW w:w="5552"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 3 inserted in Gazette 4 Sep 2009 p. 3493; amended in Gazette 8 Mar 2011 p. 800; 20 Dec 2011 p. 5393; 30 Nov 2012 p. 5801; 15 Nov 2013 p. 5253; 27 Jun 2014 p. 2337; 19 Jun 2015 p. 2118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76" w:name="_Toc389729562"/>
      <w:bookmarkStart w:id="77" w:name="_Toc391630818"/>
      <w:bookmarkStart w:id="78" w:name="_Toc415732810"/>
      <w:bookmarkStart w:id="79" w:name="_Toc415732888"/>
      <w:bookmarkStart w:id="80" w:name="_Toc423343284"/>
      <w:bookmarkStart w:id="81" w:name="_Toc423343316"/>
      <w:bookmarkStart w:id="82" w:name="_Toc453657186"/>
      <w:r>
        <w:t>Notes</w:t>
      </w:r>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3" w:name="_Toc391630819"/>
      <w:bookmarkStart w:id="84" w:name="_Toc453657187"/>
      <w:r>
        <w:t>Compilation table</w:t>
      </w:r>
      <w:bookmarkEnd w:id="83"/>
      <w:bookmarkEnd w:id="8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694" w:type="dxa"/>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694" w:type="dxa"/>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088" w:type="dxa"/>
            <w:gridSpan w:val="3"/>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694" w:type="dxa"/>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694" w:type="dxa"/>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088" w:type="dxa"/>
            <w:gridSpan w:val="3"/>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69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694" w:type="dxa"/>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088" w:type="dxa"/>
            <w:gridSpan w:val="3"/>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tcBorders>
              <w:bottom w:val="single" w:sz="4" w:space="0" w:color="auto"/>
            </w:tcBorders>
            <w:shd w:val="clear" w:color="auto" w:fill="auto"/>
          </w:tcPr>
          <w:p>
            <w:pPr>
              <w:pStyle w:val="nTable"/>
              <w:keepNext/>
              <w:spacing w:after="40"/>
              <w:rPr>
                <w:rFonts w:ascii="Times" w:hAnsi="Times"/>
                <w:i/>
              </w:rPr>
            </w:pPr>
            <w:r>
              <w:rPr>
                <w:rFonts w:ascii="Times" w:hAnsi="Times"/>
                <w:i/>
              </w:rPr>
              <w:t>Coroners Amendment Regulations 2015</w:t>
            </w:r>
          </w:p>
        </w:tc>
        <w:tc>
          <w:tcPr>
            <w:tcW w:w="1276" w:type="dxa"/>
            <w:tcBorders>
              <w:bottom w:val="single" w:sz="4" w:space="0" w:color="auto"/>
            </w:tcBorders>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694" w:type="dxa"/>
            <w:tcBorders>
              <w:bottom w:val="single" w:sz="4" w:space="0" w:color="auto"/>
            </w:tcBorders>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 w:name="_Toc453657188"/>
      <w:r>
        <w:t>Provisions that have not come into operation</w:t>
      </w:r>
      <w:bookmarkEnd w:id="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Attorney General Regulations Amendment (Fees) Regulations 2016</w:t>
            </w:r>
            <w:r>
              <w:t xml:space="preserve"> Pt. 4</w:t>
            </w:r>
            <w:r>
              <w:rPr>
                <w:vertAlign w:val="superscript"/>
              </w:rPr>
              <w:t> 2</w:t>
            </w:r>
          </w:p>
        </w:tc>
        <w:tc>
          <w:tcPr>
            <w:tcW w:w="1276" w:type="dxa"/>
          </w:tcPr>
          <w:p>
            <w:pPr>
              <w:pStyle w:val="nTable"/>
              <w:spacing w:after="40"/>
            </w:pPr>
            <w:r>
              <w:t>14 Jun 2016 p. 1849</w:t>
            </w:r>
            <w:r>
              <w:noBreakHyphen/>
              <w:t>986</w:t>
            </w:r>
          </w:p>
        </w:tc>
        <w:tc>
          <w:tcPr>
            <w:tcW w:w="2693" w:type="dxa"/>
          </w:tcPr>
          <w:p>
            <w:pPr>
              <w:pStyle w:val="nTable"/>
              <w:spacing w:after="40"/>
            </w:pPr>
            <w:r>
              <w:t>4 Jul 2016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4 </w:t>
      </w:r>
      <w:r>
        <w:rPr>
          <w:snapToGrid w:val="0"/>
        </w:rPr>
        <w:t>had not come into operation.  It reads as follows:</w:t>
      </w:r>
    </w:p>
    <w:p>
      <w:pPr>
        <w:pStyle w:val="BlankOpen"/>
        <w:rPr>
          <w:snapToGrid w:val="0"/>
        </w:rPr>
      </w:pPr>
    </w:p>
    <w:p>
      <w:pPr>
        <w:pStyle w:val="nzHeading2"/>
        <w:rPr>
          <w:rStyle w:val="CharDivText"/>
        </w:rPr>
      </w:pPr>
      <w:bookmarkStart w:id="86" w:name="_Toc451172593"/>
      <w:bookmarkStart w:id="87" w:name="_Toc451172851"/>
      <w:bookmarkStart w:id="88" w:name="_Toc451256141"/>
      <w:bookmarkStart w:id="89" w:name="_Toc451256270"/>
      <w:bookmarkStart w:id="90" w:name="_Toc451333775"/>
      <w:bookmarkStart w:id="91" w:name="_Toc451343555"/>
      <w:bookmarkStart w:id="92" w:name="_Toc451352127"/>
      <w:bookmarkStart w:id="93" w:name="_Toc451756142"/>
      <w:r>
        <w:rPr>
          <w:rStyle w:val="CharPartNo"/>
        </w:rPr>
        <w:t>Part 4</w:t>
      </w:r>
      <w:r>
        <w:rPr>
          <w:rStyle w:val="CharDivNo"/>
        </w:rPr>
        <w:t> </w:t>
      </w:r>
      <w:r>
        <w:t>—</w:t>
      </w:r>
      <w:r>
        <w:rPr>
          <w:rStyle w:val="CharDivText"/>
        </w:rPr>
        <w:t> </w:t>
      </w:r>
      <w:r>
        <w:rPr>
          <w:rStyle w:val="CharPartText"/>
          <w:i/>
        </w:rPr>
        <w:t>Coroners Regulations 1997</w:t>
      </w:r>
      <w:r>
        <w:rPr>
          <w:rStyle w:val="CharPartText"/>
        </w:rPr>
        <w:t xml:space="preserve"> amended</w:t>
      </w:r>
      <w:bookmarkEnd w:id="86"/>
      <w:bookmarkEnd w:id="87"/>
      <w:bookmarkEnd w:id="88"/>
      <w:bookmarkEnd w:id="89"/>
      <w:bookmarkEnd w:id="90"/>
      <w:bookmarkEnd w:id="91"/>
      <w:bookmarkEnd w:id="92"/>
      <w:bookmarkEnd w:id="93"/>
    </w:p>
    <w:p>
      <w:pPr>
        <w:pStyle w:val="nzHeading5"/>
        <w:rPr>
          <w:snapToGrid w:val="0"/>
        </w:rPr>
      </w:pPr>
      <w:bookmarkStart w:id="94" w:name="_Toc451756143"/>
      <w:r>
        <w:rPr>
          <w:rStyle w:val="CharSectno"/>
        </w:rPr>
        <w:t>15</w:t>
      </w:r>
      <w:r>
        <w:rPr>
          <w:snapToGrid w:val="0"/>
        </w:rPr>
        <w:t>.</w:t>
      </w:r>
      <w:r>
        <w:rPr>
          <w:snapToGrid w:val="0"/>
        </w:rPr>
        <w:tab/>
        <w:t>Regulations amended</w:t>
      </w:r>
      <w:bookmarkEnd w:id="94"/>
    </w:p>
    <w:p>
      <w:pPr>
        <w:pStyle w:val="nzSubsection"/>
      </w:pPr>
      <w:r>
        <w:tab/>
      </w:r>
      <w:r>
        <w:tab/>
      </w:r>
      <w:r>
        <w:rPr>
          <w:spacing w:val="-2"/>
        </w:rPr>
        <w:t>This</w:t>
      </w:r>
      <w:r>
        <w:t xml:space="preserve"> Part amends the </w:t>
      </w:r>
      <w:r>
        <w:rPr>
          <w:i/>
        </w:rPr>
        <w:t>Coroners Regulations 1997</w:t>
      </w:r>
      <w:r>
        <w:t>.</w:t>
      </w:r>
    </w:p>
    <w:p>
      <w:pPr>
        <w:pStyle w:val="nzHeading5"/>
      </w:pPr>
      <w:bookmarkStart w:id="95" w:name="_Toc451756144"/>
      <w:r>
        <w:rPr>
          <w:rStyle w:val="CharSectno"/>
        </w:rPr>
        <w:t>16</w:t>
      </w:r>
      <w:r>
        <w:t>.</w:t>
      </w:r>
      <w:r>
        <w:tab/>
        <w:t>Regulation 3A amended</w:t>
      </w:r>
      <w:bookmarkEnd w:id="95"/>
    </w:p>
    <w:p>
      <w:pPr>
        <w:pStyle w:val="nzSubsection"/>
      </w:pPr>
      <w:r>
        <w:tab/>
      </w:r>
      <w:r>
        <w:tab/>
        <w:t>In regulation 3A insert in alphabetical order:</w:t>
      </w:r>
    </w:p>
    <w:p>
      <w:pPr>
        <w:pStyle w:val="BlankOpen"/>
      </w:pPr>
    </w:p>
    <w:p>
      <w:pPr>
        <w:pStyle w:val="nzDefstart"/>
      </w:pPr>
      <w:r>
        <w:tab/>
      </w:r>
      <w:r>
        <w:rPr>
          <w:rStyle w:val="CharDefText"/>
        </w:rPr>
        <w:t>eligible individual</w:t>
      </w:r>
      <w:r>
        <w:t xml:space="preserve"> means an individual referred to in regulation 23B(2);</w:t>
      </w:r>
    </w:p>
    <w:p>
      <w:pPr>
        <w:pStyle w:val="nzDefstart"/>
      </w:pPr>
      <w:r>
        <w:tab/>
      </w:r>
      <w:r>
        <w:rPr>
          <w:rStyle w:val="CharDefText"/>
        </w:rPr>
        <w:t>eligible individual fee</w:t>
      </w:r>
      <w:r>
        <w:t>, in relation to a matter specified in an item in Schedule 3, means the fee, if any, shown in column B for that item;</w:t>
      </w:r>
    </w:p>
    <w:p>
      <w:pPr>
        <w:pStyle w:val="BlankClose"/>
      </w:pPr>
    </w:p>
    <w:p>
      <w:pPr>
        <w:pStyle w:val="nzHeading5"/>
      </w:pPr>
      <w:bookmarkStart w:id="96" w:name="_Toc451756145"/>
      <w:r>
        <w:rPr>
          <w:rStyle w:val="CharSectno"/>
        </w:rPr>
        <w:t>17</w:t>
      </w:r>
      <w:r>
        <w:t>.</w:t>
      </w:r>
      <w:r>
        <w:tab/>
        <w:t>Regulations 22 and 23 replaced</w:t>
      </w:r>
      <w:bookmarkEnd w:id="96"/>
    </w:p>
    <w:p>
      <w:pPr>
        <w:pStyle w:val="nzSubsection"/>
      </w:pPr>
      <w:r>
        <w:tab/>
      </w:r>
      <w:r>
        <w:tab/>
        <w:t>Delete regulations 22 and 23 and insert:</w:t>
      </w:r>
    </w:p>
    <w:p>
      <w:pPr>
        <w:pStyle w:val="BlankOpen"/>
      </w:pPr>
    </w:p>
    <w:p>
      <w:pPr>
        <w:pStyle w:val="nzHeading5"/>
      </w:pPr>
      <w:bookmarkStart w:id="97" w:name="_Toc451756146"/>
      <w:r>
        <w:t>22.</w:t>
      </w:r>
      <w:r>
        <w:tab/>
        <w:t>Other fees</w:t>
      </w:r>
      <w:bookmarkEnd w:id="97"/>
    </w:p>
    <w:p>
      <w:pPr>
        <w:pStyle w:val="nzSubsection"/>
      </w:pPr>
      <w:r>
        <w:tab/>
        <w:t>(1)</w:t>
      </w:r>
      <w:r>
        <w:tab/>
        <w:t>The fees set out in Schedule 3 are payable in respect of the matters specified in that Schedule.</w:t>
      </w:r>
    </w:p>
    <w:p>
      <w:pPr>
        <w:pStyle w:val="nzSubsection"/>
      </w:pPr>
      <w:r>
        <w:tab/>
        <w:t>(2)</w:t>
      </w:r>
      <w:r>
        <w:tab/>
        <w:t xml:space="preserve">In relation to a matter specified in an item in Schedule 3 — </w:t>
      </w:r>
    </w:p>
    <w:p>
      <w:pPr>
        <w:pStyle w:val="nzIndenta"/>
      </w:pPr>
      <w:r>
        <w:tab/>
        <w:t>(a)</w:t>
      </w:r>
      <w:r>
        <w:tab/>
        <w:t>the fee payable by an individual who is not an eligible individual is the fee shown in column A for that item; or</w:t>
      </w:r>
    </w:p>
    <w:p>
      <w:pPr>
        <w:pStyle w:val="nzIndenta"/>
      </w:pPr>
      <w:r>
        <w:tab/>
        <w:t>(b)</w:t>
      </w:r>
      <w:r>
        <w:tab/>
        <w:t>the fee payable by an eligible individual is the eligible individual fee for that item.</w:t>
      </w:r>
    </w:p>
    <w:p>
      <w:pPr>
        <w:pStyle w:val="nzHeading5"/>
      </w:pPr>
      <w:bookmarkStart w:id="98" w:name="_Toc451756147"/>
      <w:r>
        <w:t>23A.</w:t>
      </w:r>
      <w:r>
        <w:tab/>
        <w:t>Fee exemptions</w:t>
      </w:r>
      <w:bookmarkEnd w:id="98"/>
    </w:p>
    <w:p>
      <w:pPr>
        <w:pStyle w:val="nzSubsection"/>
      </w:pPr>
      <w:r>
        <w:tab/>
      </w:r>
      <w:r>
        <w:tab/>
        <w:t xml:space="preserve">A person is not required to pay a fee in respect of a matter if — </w:t>
      </w:r>
    </w:p>
    <w:p>
      <w:pPr>
        <w:pStyle w:val="nzIndenta"/>
      </w:pPr>
      <w:r>
        <w:tab/>
        <w:t>(a)</w:t>
      </w:r>
      <w:r>
        <w:tab/>
        <w:t>a written law provides that the person is not required to pay a fee in respect of a matter of that type; or</w:t>
      </w:r>
    </w:p>
    <w:p>
      <w:pPr>
        <w:pStyle w:val="nzIndenta"/>
      </w:pPr>
      <w:r>
        <w:tab/>
        <w:t>(b)</w:t>
      </w:r>
      <w:r>
        <w:tab/>
        <w:t>the person has not reached 18 years of age on the day the fee would otherwise be payable.</w:t>
      </w:r>
    </w:p>
    <w:p>
      <w:pPr>
        <w:pStyle w:val="nzHeading5"/>
      </w:pPr>
      <w:bookmarkStart w:id="99" w:name="_Toc451756148"/>
      <w:r>
        <w:t>23B.</w:t>
      </w:r>
      <w:r>
        <w:tab/>
        <w:t>Who is an eligible individual</w:t>
      </w:r>
      <w:bookmarkEnd w:id="99"/>
    </w:p>
    <w:p>
      <w:pPr>
        <w:pStyle w:val="nzSubsection"/>
      </w:pPr>
      <w:r>
        <w:tab/>
        <w:t>(1)</w:t>
      </w:r>
      <w:r>
        <w:tab/>
        <w:t xml:space="preserve">In this regulation — </w:t>
      </w:r>
    </w:p>
    <w:p>
      <w:pPr>
        <w:pStyle w:val="nzDefstart"/>
      </w:pPr>
      <w:r>
        <w:tab/>
      </w:r>
      <w:r>
        <w:rPr>
          <w:rStyle w:val="CharDefText"/>
        </w:rPr>
        <w:t>Centrelink</w:t>
      </w:r>
      <w:r>
        <w:t xml:space="preserve"> means the Commonwealth agency known as Centrelink.</w:t>
      </w:r>
    </w:p>
    <w:p>
      <w:pPr>
        <w:pStyle w:val="nzSubsection"/>
      </w:pPr>
      <w:r>
        <w:tab/>
        <w:t>(2)</w:t>
      </w:r>
      <w:r>
        <w:tab/>
        <w:t xml:space="preserve">An eligible individual is — </w:t>
      </w:r>
    </w:p>
    <w:p>
      <w:pPr>
        <w:pStyle w:val="nzIndenta"/>
      </w:pPr>
      <w:r>
        <w:tab/>
        <w:t>(a)</w:t>
      </w:r>
      <w:r>
        <w:tab/>
        <w:t xml:space="preserve">an individual who holds one or more of the following cards issued by Centrelink — </w:t>
      </w:r>
    </w:p>
    <w:p>
      <w:pPr>
        <w:pStyle w:val="nzIndenti"/>
      </w:pPr>
      <w:r>
        <w:tab/>
        <w:t>(i)</w:t>
      </w:r>
      <w:r>
        <w:tab/>
        <w:t>a health care card;</w:t>
      </w:r>
    </w:p>
    <w:p>
      <w:pPr>
        <w:pStyle w:val="nzIndenti"/>
      </w:pPr>
      <w:r>
        <w:tab/>
        <w:t>(ii)</w:t>
      </w:r>
      <w:r>
        <w:tab/>
        <w:t>a health benefit card;</w:t>
      </w:r>
    </w:p>
    <w:p>
      <w:pPr>
        <w:pStyle w:val="nzIndenti"/>
      </w:pPr>
      <w:r>
        <w:tab/>
        <w:t>(iii)</w:t>
      </w:r>
      <w:r>
        <w:tab/>
        <w:t>a pensioner concession card;</w:t>
      </w:r>
    </w:p>
    <w:p>
      <w:pPr>
        <w:pStyle w:val="nzIndenti"/>
      </w:pPr>
      <w:r>
        <w:tab/>
        <w:t>(iv)</w:t>
      </w:r>
      <w:r>
        <w:tab/>
        <w:t>a Commonwealth seniors health card;</w:t>
      </w:r>
    </w:p>
    <w:p>
      <w:pPr>
        <w:pStyle w:val="nzIndenta"/>
      </w:pPr>
      <w:r>
        <w:tab/>
      </w:r>
      <w:r>
        <w:tab/>
        <w:t>or</w:t>
      </w:r>
    </w:p>
    <w:p>
      <w:pPr>
        <w:pStyle w:val="nzIndenta"/>
      </w:pPr>
      <w:r>
        <w:tab/>
        <w:t>(b)</w:t>
      </w:r>
      <w:r>
        <w:tab/>
        <w:t>an individual who holds any other card issued by Centrelink or the Department of Veterans’ Affairs of the Commonwealth that certifies entitlement to Commonwealth health concessions; or</w:t>
      </w:r>
    </w:p>
    <w:p>
      <w:pPr>
        <w:pStyle w:val="nz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nzIndenta"/>
      </w:pPr>
      <w:r>
        <w:tab/>
        <w:t>(d)</w:t>
      </w:r>
      <w:r>
        <w:tab/>
        <w:t>an individual who is in receipt of benefits under the Commonwealth student assistance scheme known as the ABSTUDY Scheme; or</w:t>
      </w:r>
    </w:p>
    <w:p>
      <w:pPr>
        <w:pStyle w:val="nz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nzIndenta"/>
      </w:pPr>
      <w:r>
        <w:tab/>
        <w:t>(f)</w:t>
      </w:r>
      <w:r>
        <w:tab/>
        <w:t>an individual who a coroner or a coroner’s registrar has directed is an eligible individual under regulation 23D(1)(b).</w:t>
      </w:r>
    </w:p>
    <w:p>
      <w:pPr>
        <w:pStyle w:val="nzHeading5"/>
      </w:pPr>
      <w:bookmarkStart w:id="100" w:name="_Toc451756149"/>
      <w:r>
        <w:t>23C.</w:t>
      </w:r>
      <w:r>
        <w:tab/>
        <w:t>Application to be recognised as eligible individual</w:t>
      </w:r>
      <w:bookmarkEnd w:id="100"/>
    </w:p>
    <w:p>
      <w:pPr>
        <w:pStyle w:val="nzSubsection"/>
      </w:pPr>
      <w:r>
        <w:tab/>
        <w:t>(1)</w:t>
      </w:r>
      <w:r>
        <w:tab/>
        <w:t>A person may apply for a direction under regulation 23D(1) that the person is an eligible individual in respect of a matter specified in Schedule 3.</w:t>
      </w:r>
    </w:p>
    <w:p>
      <w:pPr>
        <w:pStyle w:val="nzSubsection"/>
      </w:pPr>
      <w:r>
        <w:tab/>
        <w:t>(2)</w:t>
      </w:r>
      <w:r>
        <w:tab/>
        <w:t xml:space="preserve">An application is to be in the approved form and is to specify the matter in respect of which the individual is seeking to pay the eligible individual fee. </w:t>
      </w:r>
    </w:p>
    <w:p>
      <w:pPr>
        <w:pStyle w:val="nzSubsection"/>
      </w:pPr>
      <w:r>
        <w:tab/>
        <w:t>(3)</w:t>
      </w:r>
      <w:r>
        <w:tab/>
        <w:t>Despite anything else in these regulations, a fee is not to be charged in respect of an application under subregulation (1).</w:t>
      </w:r>
    </w:p>
    <w:p>
      <w:pPr>
        <w:pStyle w:val="nzHeading5"/>
      </w:pPr>
      <w:bookmarkStart w:id="101" w:name="_Toc451756150"/>
      <w:r>
        <w:t>23D.</w:t>
      </w:r>
      <w:r>
        <w:tab/>
        <w:t>Recognition as eligible individual</w:t>
      </w:r>
      <w:bookmarkEnd w:id="101"/>
      <w:r>
        <w:t xml:space="preserve"> </w:t>
      </w:r>
    </w:p>
    <w:p>
      <w:pPr>
        <w:pStyle w:val="nzSubsection"/>
      </w:pPr>
      <w:r>
        <w:tab/>
        <w:t>(1)</w:t>
      </w:r>
      <w:r>
        <w:tab/>
        <w:t xml:space="preserve">A coroner or a coroner’s registrar may, on an application under regulation 23C(1) — </w:t>
      </w:r>
    </w:p>
    <w:p>
      <w:pPr>
        <w:pStyle w:val="nzIndenta"/>
      </w:pPr>
      <w:r>
        <w:tab/>
        <w:t>(a)</w:t>
      </w:r>
      <w:r>
        <w:tab/>
        <w:t>direct that a person is an eligible individual described in regulation 23B(2)(a) to (e) in respect of the matter if satisfied that the person meets one or more of the requirements set out in those paragraphs; or</w:t>
      </w:r>
    </w:p>
    <w:p>
      <w:pPr>
        <w:pStyle w:val="nzIndenta"/>
      </w:pPr>
      <w:r>
        <w:tab/>
        <w:t>(b)</w:t>
      </w:r>
      <w:r>
        <w:tab/>
        <w:t xml:space="preserve">direct that a person is an eligible individual described in regulation 23B(2)(f) if satisfied that the person should be required to pay only an eligible individual fee in respect of the matter for either, or both, of the following reasons — </w:t>
      </w:r>
    </w:p>
    <w:p>
      <w:pPr>
        <w:pStyle w:val="nzIndenti"/>
      </w:pPr>
      <w:r>
        <w:tab/>
        <w:t>(i)</w:t>
      </w:r>
      <w:r>
        <w:tab/>
        <w:t>financial hardship;</w:t>
      </w:r>
    </w:p>
    <w:p>
      <w:pPr>
        <w:pStyle w:val="nzIndenti"/>
      </w:pPr>
      <w:r>
        <w:tab/>
        <w:t>(ii)</w:t>
      </w:r>
      <w:r>
        <w:tab/>
        <w:t>the interests of justice.</w:t>
      </w:r>
    </w:p>
    <w:p>
      <w:pPr>
        <w:pStyle w:val="nzSubsection"/>
      </w:pPr>
      <w:r>
        <w:tab/>
        <w:t>(2)</w:t>
      </w:r>
      <w:r>
        <w:tab/>
        <w:t>A coroner or a coroner’s registrar may, before an application is determined, direct the applicant to provide to the coroner or the registrar further information relating to the application.</w:t>
      </w:r>
    </w:p>
    <w:p>
      <w:pPr>
        <w:pStyle w:val="nzSubsection"/>
      </w:pPr>
      <w:r>
        <w:tab/>
        <w:t>(3)</w:t>
      </w:r>
      <w:r>
        <w:tab/>
        <w:t xml:space="preserve">A direction to provide further information — </w:t>
      </w:r>
    </w:p>
    <w:p>
      <w:pPr>
        <w:pStyle w:val="nzIndenta"/>
      </w:pPr>
      <w:r>
        <w:tab/>
        <w:t>(a)</w:t>
      </w:r>
      <w:r>
        <w:tab/>
        <w:t>may be made in writing or orally; and</w:t>
      </w:r>
    </w:p>
    <w:p>
      <w:pPr>
        <w:pStyle w:val="nzIndenta"/>
      </w:pPr>
      <w:r>
        <w:tab/>
        <w:t>(b)</w:t>
      </w:r>
      <w:r>
        <w:tab/>
        <w:t>may require that the information is provided either in writing or orally.</w:t>
      </w:r>
    </w:p>
    <w:p>
      <w:pPr>
        <w:pStyle w:val="nzHeading5"/>
      </w:pPr>
      <w:bookmarkStart w:id="102" w:name="_Toc451756151"/>
      <w:r>
        <w:t>23E.</w:t>
      </w:r>
      <w:r>
        <w:tab/>
        <w:t>False or misleading statements</w:t>
      </w:r>
      <w:bookmarkEnd w:id="102"/>
    </w:p>
    <w:p>
      <w:pPr>
        <w:pStyle w:val="nz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nzPenstart"/>
      </w:pPr>
      <w:r>
        <w:tab/>
        <w:t>Penalty for this subregulation: a fine of $1 000.</w:t>
      </w:r>
    </w:p>
    <w:p>
      <w:pPr>
        <w:pStyle w:val="nz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nzSubsection"/>
      </w:pPr>
      <w:r>
        <w:tab/>
        <w:t>(3)</w:t>
      </w:r>
      <w:r>
        <w:tab/>
        <w:t xml:space="preserve">If a direction is revoked under subregulation (2), the coroner or coroner’s registrar may — </w:t>
      </w:r>
    </w:p>
    <w:p>
      <w:pPr>
        <w:pStyle w:val="nzIndenta"/>
      </w:pPr>
      <w:r>
        <w:tab/>
        <w:t>(a)</w:t>
      </w:r>
      <w:r>
        <w:tab/>
        <w:t>order that the person in respect of whom the direction was made pay the difference between the fee the person paid and the fee that would otherwise have been payable by the person; and</w:t>
      </w:r>
    </w:p>
    <w:p>
      <w:pPr>
        <w:pStyle w:val="nzIndenta"/>
      </w:pPr>
      <w:r>
        <w:tab/>
        <w:t>(b)</w:t>
      </w:r>
      <w:r>
        <w:tab/>
        <w:t>make an order to enforce the order for the payment.</w:t>
      </w:r>
    </w:p>
    <w:p>
      <w:pPr>
        <w:pStyle w:val="nz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nzHeading5"/>
      </w:pPr>
      <w:bookmarkStart w:id="103" w:name="_Toc451756152"/>
      <w:r>
        <w:t>23.</w:t>
      </w:r>
      <w:r>
        <w:tab/>
        <w:t>Refunds</w:t>
      </w:r>
      <w:bookmarkEnd w:id="103"/>
    </w:p>
    <w:p>
      <w:pPr>
        <w:pStyle w:val="nz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nzSubsection"/>
      </w:pPr>
      <w:r>
        <w:tab/>
        <w:t>(2)</w:t>
      </w:r>
      <w:r>
        <w:tab/>
        <w:t>A coroner’s registrar may direct the refund to a person of the amount of a fee, or part of a fee, paid by the person if the amount was paid in error.</w:t>
      </w:r>
    </w:p>
    <w:p>
      <w:pPr>
        <w:pStyle w:val="nzHeading5"/>
      </w:pPr>
      <w:bookmarkStart w:id="104" w:name="_Toc451756153"/>
      <w:r>
        <w:t>23A.</w:t>
      </w:r>
      <w:r>
        <w:tab/>
        <w:t>Waiving fee for copy of document or transcript</w:t>
      </w:r>
      <w:bookmarkEnd w:id="104"/>
      <w:r>
        <w:t xml:space="preserve"> </w:t>
      </w:r>
    </w:p>
    <w:p>
      <w:pPr>
        <w:pStyle w:val="nzSubsection"/>
      </w:pPr>
      <w:r>
        <w:tab/>
      </w:r>
      <w:r>
        <w:tab/>
        <w:t>The Court or a registrar may waive a fee referred to in Schedule 3 item 1 or 4 if the Court or registrar is satisfied that the waiving of the fee would assist in the efficient operation of the Court.</w:t>
      </w:r>
    </w:p>
    <w:p>
      <w:pPr>
        <w:pStyle w:val="BlankClose"/>
      </w:pPr>
    </w:p>
    <w:p>
      <w:pPr>
        <w:pStyle w:val="nzHeading5"/>
      </w:pPr>
      <w:bookmarkStart w:id="105" w:name="_Toc451756154"/>
      <w:r>
        <w:rPr>
          <w:rStyle w:val="CharSectno"/>
        </w:rPr>
        <w:t>18</w:t>
      </w:r>
      <w:r>
        <w:t>.</w:t>
      </w:r>
      <w:r>
        <w:tab/>
        <w:t>Schedule 3 replaced</w:t>
      </w:r>
      <w:bookmarkEnd w:id="105"/>
    </w:p>
    <w:p>
      <w:pPr>
        <w:pStyle w:val="nzSubsection"/>
      </w:pPr>
      <w:r>
        <w:tab/>
      </w:r>
      <w:r>
        <w:tab/>
        <w:t>Delete Schedule 3 and insert:</w:t>
      </w:r>
    </w:p>
    <w:p>
      <w:pPr>
        <w:pStyle w:val="BlankOpen"/>
        <w:rPr>
          <w:rStyle w:val="CharSchNo"/>
        </w:rPr>
      </w:pPr>
    </w:p>
    <w:p>
      <w:pPr>
        <w:pStyle w:val="nzHeading2"/>
      </w:pPr>
      <w:bookmarkStart w:id="106" w:name="_Toc451172606"/>
      <w:bookmarkStart w:id="107" w:name="_Toc451172864"/>
      <w:bookmarkStart w:id="108" w:name="_Toc451256154"/>
      <w:bookmarkStart w:id="109" w:name="_Toc451256283"/>
      <w:bookmarkStart w:id="110" w:name="_Toc451333788"/>
      <w:bookmarkStart w:id="111" w:name="_Toc451343568"/>
      <w:bookmarkStart w:id="112" w:name="_Toc451352140"/>
      <w:bookmarkStart w:id="113" w:name="_Toc451756155"/>
      <w:r>
        <w:t>Schedule 3 — Other fees</w:t>
      </w:r>
      <w:bookmarkEnd w:id="106"/>
      <w:bookmarkEnd w:id="107"/>
      <w:bookmarkEnd w:id="108"/>
      <w:bookmarkEnd w:id="109"/>
      <w:bookmarkEnd w:id="110"/>
      <w:bookmarkEnd w:id="111"/>
      <w:bookmarkEnd w:id="112"/>
      <w:bookmarkEnd w:id="113"/>
    </w:p>
    <w:p>
      <w:pPr>
        <w:pStyle w:val="nzShoulderClause"/>
      </w:pPr>
      <w:r>
        <w:t>[r. 22]</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pPr>
            <w:r>
              <w:rPr>
                <w:b/>
              </w:rPr>
              <w:t>Item</w:t>
            </w:r>
          </w:p>
        </w:tc>
        <w:tc>
          <w:tcPr>
            <w:tcW w:w="3118" w:type="dxa"/>
            <w:tcBorders>
              <w:bottom w:val="single" w:sz="4" w:space="0" w:color="auto"/>
            </w:tcBorders>
          </w:tcPr>
          <w:p>
            <w:pPr>
              <w:pStyle w:val="yTableNAm"/>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1.65</w:t>
            </w:r>
          </w:p>
        </w:tc>
        <w:tc>
          <w:tcPr>
            <w:tcW w:w="1560" w:type="dxa"/>
            <w:tcBorders>
              <w:bottom w:val="nil"/>
            </w:tcBorders>
          </w:tcPr>
          <w:p>
            <w:pPr>
              <w:pStyle w:val="yTableNAm"/>
            </w:pPr>
            <w:r>
              <w:br/>
              <w:t>0.50</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tabs>
                <w:tab w:val="clear" w:pos="567"/>
                <w:tab w:val="left" w:pos="441"/>
              </w:tabs>
              <w:ind w:left="455" w:hanging="455"/>
              <w:rPr>
                <w:rStyle w:val="DraftersNotes"/>
              </w:rPr>
            </w:pPr>
            <w:r>
              <w:t>(a)</w:t>
            </w:r>
            <w:r>
              <w:tab/>
              <w:t>for one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441"/>
              </w:tabs>
              <w:ind w:left="455" w:hanging="455"/>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1.40</w:t>
            </w:r>
          </w:p>
        </w:tc>
        <w:tc>
          <w:tcPr>
            <w:tcW w:w="1560" w:type="dxa"/>
            <w:tcBorders>
              <w:top w:val="nil"/>
              <w:bottom w:val="nil"/>
            </w:tcBorders>
          </w:tcPr>
          <w:p>
            <w:pPr>
              <w:pStyle w:val="yTableNAm"/>
            </w:pPr>
            <w:r>
              <w:br/>
            </w:r>
            <w:r>
              <w:rPr>
                <w:szCs w:val="22"/>
              </w:rPr>
              <w:br/>
            </w:r>
            <w:r>
              <w:rPr>
                <w:szCs w:val="22"/>
              </w:rPr>
              <w:br/>
            </w:r>
            <w:r>
              <w:rPr>
                <w:szCs w:val="22"/>
              </w:rPr>
              <w:br/>
            </w:r>
            <w:r>
              <w:rPr>
                <w:szCs w:val="22"/>
              </w:rPr>
              <w:br/>
              <w:t>0.45</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441"/>
              </w:tabs>
              <w:ind w:left="455" w:hanging="455"/>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1.40</w:t>
            </w:r>
          </w:p>
        </w:tc>
        <w:tc>
          <w:tcPr>
            <w:tcW w:w="1560" w:type="dxa"/>
            <w:tcBorders>
              <w:top w:val="nil"/>
              <w:bottom w:val="nil"/>
            </w:tcBorders>
          </w:tcPr>
          <w:p>
            <w:pPr>
              <w:pStyle w:val="yTableNAm"/>
            </w:pPr>
            <w:r>
              <w:rPr>
                <w:szCs w:val="22"/>
              </w:rPr>
              <w:br/>
            </w:r>
            <w:r>
              <w:rPr>
                <w:szCs w:val="22"/>
              </w:rPr>
              <w:br/>
            </w:r>
            <w:r>
              <w:rPr>
                <w:szCs w:val="22"/>
              </w:rPr>
              <w:br/>
              <w:t>0.45</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19.60</w:t>
            </w:r>
          </w:p>
        </w:tc>
        <w:tc>
          <w:tcPr>
            <w:tcW w:w="1560" w:type="dxa"/>
            <w:tcBorders>
              <w:top w:val="nil"/>
              <w:bottom w:val="nil"/>
            </w:tcBorders>
          </w:tcPr>
          <w:p>
            <w:pPr>
              <w:pStyle w:val="yTableNAm"/>
            </w:pPr>
            <w:r>
              <w:rPr>
                <w:szCs w:val="22"/>
              </w:rPr>
              <w:br/>
              <w:t>5.90</w:t>
            </w:r>
          </w:p>
        </w:tc>
      </w:tr>
      <w:tr>
        <w:trPr>
          <w:cantSplit/>
        </w:trPr>
        <w:tc>
          <w:tcPr>
            <w:tcW w:w="709" w:type="dxa"/>
            <w:tcBorders>
              <w:top w:val="nil"/>
              <w:bottom w:val="nil"/>
            </w:tcBorders>
          </w:tcPr>
          <w:p>
            <w:pPr>
              <w:pStyle w:val="yTableNAm"/>
            </w:pPr>
            <w:r>
              <w:t>4.</w:t>
            </w:r>
          </w:p>
        </w:tc>
        <w:tc>
          <w:tcPr>
            <w:tcW w:w="3118" w:type="dxa"/>
            <w:tcBorders>
              <w:top w:val="nil"/>
              <w:bottom w:val="nil"/>
            </w:tcBorders>
          </w:tcPr>
          <w:p>
            <w:pPr>
              <w:pStyle w:val="yTableNAm"/>
            </w:pPr>
            <w:r>
              <w:t xml:space="preserve">Copy of transcript or notes of evidence, for each page or part of a page — </w:t>
            </w:r>
          </w:p>
        </w:tc>
        <w:tc>
          <w:tcPr>
            <w:tcW w:w="1559" w:type="dxa"/>
            <w:tcBorders>
              <w:top w:val="nil"/>
              <w:bottom w:val="nil"/>
            </w:tcBorders>
          </w:tcPr>
          <w:p>
            <w:pPr>
              <w:pStyle w:val="zyTableNAm"/>
              <w:rPr>
                <w:szCs w:val="22"/>
              </w:rPr>
            </w:pPr>
          </w:p>
        </w:tc>
        <w:tc>
          <w:tcPr>
            <w:tcW w:w="1560" w:type="dxa"/>
            <w:tcBorders>
              <w:top w:val="nil"/>
              <w:bottom w:val="nil"/>
            </w:tcBorders>
          </w:tcPr>
          <w:p>
            <w:pPr>
              <w:pStyle w:val="yTableNAm"/>
            </w:pP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441"/>
              </w:tabs>
              <w:ind w:left="455" w:hanging="455"/>
            </w:pPr>
            <w:r>
              <w:t>(a)</w:t>
            </w:r>
            <w:r>
              <w:tab/>
              <w:t>provided within one day after the day on which the fee is paid; or</w:t>
            </w:r>
          </w:p>
        </w:tc>
        <w:tc>
          <w:tcPr>
            <w:tcW w:w="1559" w:type="dxa"/>
            <w:tcBorders>
              <w:top w:val="nil"/>
              <w:bottom w:val="nil"/>
            </w:tcBorders>
          </w:tcPr>
          <w:p>
            <w:pPr>
              <w:pStyle w:val="yTableNAm"/>
            </w:pPr>
            <w:r>
              <w:rPr>
                <w:szCs w:val="22"/>
              </w:rPr>
              <w:br/>
              <w:t xml:space="preserve">18.75 plus </w:t>
            </w:r>
            <w:r>
              <w:rPr>
                <w:szCs w:val="22"/>
              </w:rPr>
              <w:br/>
              <w:t>7.70 per page</w:t>
            </w:r>
          </w:p>
        </w:tc>
        <w:tc>
          <w:tcPr>
            <w:tcW w:w="1560" w:type="dxa"/>
            <w:tcBorders>
              <w:top w:val="nil"/>
              <w:bottom w:val="nil"/>
            </w:tcBorders>
          </w:tcPr>
          <w:p>
            <w:pPr>
              <w:pStyle w:val="yTableNAm"/>
            </w:pPr>
            <w:r>
              <w:rPr>
                <w:szCs w:val="22"/>
              </w:rPr>
              <w:br/>
              <w:t xml:space="preserve">5.60 plus </w:t>
            </w:r>
            <w:r>
              <w:rPr>
                <w:szCs w:val="22"/>
              </w:rPr>
              <w:br/>
              <w:t>2.30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441"/>
              </w:tabs>
              <w:ind w:left="455" w:hanging="455"/>
            </w:pPr>
            <w:r>
              <w:t>(b)</w:t>
            </w:r>
            <w:r>
              <w:tab/>
              <w:t>provided within 4 days after the day on which the fee is paid; or</w:t>
            </w:r>
          </w:p>
        </w:tc>
        <w:tc>
          <w:tcPr>
            <w:tcW w:w="1559" w:type="dxa"/>
            <w:tcBorders>
              <w:top w:val="nil"/>
              <w:bottom w:val="nil"/>
            </w:tcBorders>
          </w:tcPr>
          <w:p>
            <w:pPr>
              <w:pStyle w:val="yTableNAm"/>
            </w:pPr>
            <w:r>
              <w:rPr>
                <w:szCs w:val="22"/>
              </w:rPr>
              <w:br/>
              <w:t xml:space="preserve">18.75 plus </w:t>
            </w:r>
            <w:r>
              <w:rPr>
                <w:szCs w:val="22"/>
              </w:rPr>
              <w:br/>
              <w:t>6.70 per page</w:t>
            </w:r>
          </w:p>
        </w:tc>
        <w:tc>
          <w:tcPr>
            <w:tcW w:w="1560" w:type="dxa"/>
            <w:tcBorders>
              <w:top w:val="nil"/>
              <w:bottom w:val="nil"/>
            </w:tcBorders>
          </w:tcPr>
          <w:p>
            <w:pPr>
              <w:pStyle w:val="yTableNAm"/>
            </w:pPr>
            <w:r>
              <w:rPr>
                <w:szCs w:val="22"/>
              </w:rPr>
              <w:br/>
              <w:t xml:space="preserve">5.60 plus </w:t>
            </w:r>
            <w:r>
              <w:rPr>
                <w:szCs w:val="22"/>
              </w:rPr>
              <w:br/>
              <w:t>2.00 per page</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tabs>
                <w:tab w:val="clear" w:pos="567"/>
                <w:tab w:val="left" w:pos="441"/>
              </w:tabs>
              <w:ind w:left="455" w:hanging="455"/>
            </w:pPr>
            <w:r>
              <w:t>(c)</w:t>
            </w:r>
            <w:r>
              <w:tab/>
              <w:t>provided within 7 days after the day on which the fee is paid</w:t>
            </w:r>
          </w:p>
        </w:tc>
        <w:tc>
          <w:tcPr>
            <w:tcW w:w="1559" w:type="dxa"/>
            <w:tcBorders>
              <w:top w:val="nil"/>
              <w:bottom w:val="nil"/>
            </w:tcBorders>
          </w:tcPr>
          <w:p>
            <w:pPr>
              <w:pStyle w:val="yTableNAm"/>
            </w:pPr>
            <w:r>
              <w:rPr>
                <w:szCs w:val="22"/>
              </w:rPr>
              <w:br/>
              <w:t xml:space="preserve">18.75 plus </w:t>
            </w:r>
            <w:r>
              <w:rPr>
                <w:szCs w:val="22"/>
              </w:rPr>
              <w:br/>
              <w:t>6.45 per page</w:t>
            </w:r>
          </w:p>
        </w:tc>
        <w:tc>
          <w:tcPr>
            <w:tcW w:w="1560" w:type="dxa"/>
            <w:tcBorders>
              <w:top w:val="nil"/>
              <w:bottom w:val="nil"/>
            </w:tcBorders>
          </w:tcPr>
          <w:p>
            <w:pPr>
              <w:pStyle w:val="yTableNAm"/>
            </w:pPr>
            <w:r>
              <w:rPr>
                <w:szCs w:val="22"/>
              </w:rPr>
              <w:br/>
              <w:t xml:space="preserve">5.60 plus </w:t>
            </w:r>
            <w:r>
              <w:rPr>
                <w:szCs w:val="22"/>
              </w:rPr>
              <w:br/>
              <w:t>1.95 per page</w:t>
            </w:r>
          </w:p>
        </w:tc>
      </w:tr>
      <w:tr>
        <w:trPr>
          <w:cantSplit/>
        </w:trPr>
        <w:tc>
          <w:tcPr>
            <w:tcW w:w="709" w:type="dxa"/>
            <w:tcBorders>
              <w:top w:val="nil"/>
              <w:bottom w:val="nil"/>
            </w:tcBorders>
          </w:tcPr>
          <w:p>
            <w:pPr>
              <w:pStyle w:val="yTableNAm"/>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19.60</w:t>
            </w:r>
          </w:p>
        </w:tc>
        <w:tc>
          <w:tcPr>
            <w:tcW w:w="1560" w:type="dxa"/>
            <w:tcBorders>
              <w:top w:val="nil"/>
              <w:bottom w:val="nil"/>
            </w:tcBorders>
          </w:tcPr>
          <w:p>
            <w:pPr>
              <w:pStyle w:val="yTableNAm"/>
            </w:pPr>
            <w:r>
              <w:rPr>
                <w:szCs w:val="22"/>
              </w:rPr>
              <w:br/>
            </w:r>
            <w:r>
              <w:rPr>
                <w:szCs w:val="22"/>
              </w:rPr>
              <w:br/>
            </w:r>
            <w:r>
              <w:rPr>
                <w:szCs w:val="22"/>
              </w:rPr>
              <w:br/>
            </w:r>
            <w:r>
              <w:rPr>
                <w:szCs w:val="22"/>
              </w:rPr>
              <w:br/>
            </w:r>
            <w:r>
              <w:rPr>
                <w:szCs w:val="22"/>
              </w:rPr>
              <w:br/>
            </w:r>
            <w:r>
              <w:rPr>
                <w:szCs w:val="22"/>
              </w:rPr>
              <w:br/>
              <w:t>5.90</w:t>
            </w:r>
          </w:p>
        </w:tc>
      </w:tr>
      <w:tr>
        <w:trPr>
          <w:cantSplit/>
        </w:trPr>
        <w:tc>
          <w:tcPr>
            <w:tcW w:w="709" w:type="dxa"/>
            <w:tcBorders>
              <w:top w:val="nil"/>
              <w:bottom w:val="single" w:sz="4" w:space="0" w:color="auto"/>
            </w:tcBorders>
          </w:tcPr>
          <w:p>
            <w:pPr>
              <w:pStyle w:val="yTableNAm"/>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1.90</w:t>
            </w:r>
          </w:p>
        </w:tc>
        <w:tc>
          <w:tcPr>
            <w:tcW w:w="1560" w:type="dxa"/>
            <w:tcBorders>
              <w:top w:val="nil"/>
              <w:bottom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t>0.55</w:t>
            </w:r>
          </w:p>
        </w:tc>
      </w:tr>
    </w:tbl>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15" w:name="_Toc415732890"/>
      <w:bookmarkStart w:id="116" w:name="_Toc423343286"/>
      <w:bookmarkStart w:id="117" w:name="_Toc423343318"/>
      <w:bookmarkStart w:id="118" w:name="_Toc453657189"/>
      <w:r>
        <w:rPr>
          <w:sz w:val="28"/>
        </w:rPr>
        <w:t>Defined terms</w:t>
      </w:r>
      <w:bookmarkEnd w:id="115"/>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fee</w:t>
      </w:r>
      <w:r>
        <w:tab/>
        <w:t>3A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147"/>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5594</Words>
  <Characters>29369</Characters>
  <Application>Microsoft Office Word</Application>
  <DocSecurity>0</DocSecurity>
  <Lines>1087</Lines>
  <Paragraphs>685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1997 - 03-d0-00</dc:title>
  <dc:subject/>
  <dc:creator/>
  <cp:keywords/>
  <dc:description/>
  <cp:lastModifiedBy>svcMRProcess</cp:lastModifiedBy>
  <cp:revision>4</cp:revision>
  <cp:lastPrinted>2014-05-19T03:28:00Z</cp:lastPrinted>
  <dcterms:created xsi:type="dcterms:W3CDTF">2016-06-14T08:49:00Z</dcterms:created>
  <dcterms:modified xsi:type="dcterms:W3CDTF">2016-06-14T08:49:00Z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14 Jun 2016</vt:lpwstr>
  </property>
  <property fmtid="{D5CDD505-2E9C-101B-9397-08002B2CF9AE}" pid="8" name="Suffix">
    <vt:lpwstr>03-d0-00</vt:lpwstr>
  </property>
  <property fmtid="{D5CDD505-2E9C-101B-9397-08002B2CF9AE}" pid="9" name="CommencementDate">
    <vt:lpwstr>20160614</vt:lpwstr>
  </property>
</Properties>
</file>