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(Regional Power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_Toc455137015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_Toc455137016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_Toc455137017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Electricity charges</w:t>
      </w:r>
      <w:r>
        <w:tab/>
      </w:r>
      <w:r>
        <w:fldChar w:fldCharType="begin"/>
      </w:r>
      <w:r>
        <w:instrText xml:space="preserve"> PAGEREF _Toc455137018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residential tariffs</w:t>
      </w:r>
      <w:r>
        <w:tab/>
      </w:r>
      <w:r>
        <w:fldChar w:fldCharType="begin"/>
      </w:r>
      <w:r>
        <w:instrText xml:space="preserve"> PAGEREF _Toc455137019 \h </w:instrText>
      </w:r>
      <w:r>
        <w:fldChar w:fldCharType="separate"/>
      </w:r>
      <w:r>
        <w:t>3</w:t>
      </w:r>
      <w:r>
        <w:fldChar w:fldCharType="end"/>
      </w:r>
    </w:p>
    <w:p>
      <w:pPr>
        <w:pStyle w:val="TOC8"/>
        <w:rPr>
          <w:rFonts w:asciiTheme="minorHAnsi" w:eastAsiaTheme="minorEastAsia" w:hAnsiTheme="minorHAnsi" w:cstheme="minorBidi"/>
          <w:szCs w:val="22"/>
        </w:rPr>
      </w:pPr>
      <w:r>
        <w:t>6.</w:t>
      </w:r>
      <w:r>
        <w:tab/>
        <w:t>Meter rental</w:t>
      </w:r>
      <w:r>
        <w:tab/>
      </w:r>
      <w:r>
        <w:fldChar w:fldCharType="begin"/>
      </w:r>
      <w:r>
        <w:instrText xml:space="preserve"> PAGEREF _Toc455137020 \h </w:instrText>
      </w:r>
      <w:r>
        <w:fldChar w:fldCharType="separate"/>
      </w:r>
      <w:r>
        <w:t>3</w:t>
      </w:r>
      <w:r>
        <w:fldChar w:fldCharType="end"/>
      </w:r>
    </w:p>
    <w:p>
      <w:pPr>
        <w:pStyle w:val="TOC8"/>
        <w:rPr>
          <w:rFonts w:asciiTheme="minorHAnsi" w:eastAsiaTheme="minorEastAsia" w:hAnsiTheme="minorHAnsi" w:cstheme="minorBidi"/>
          <w:szCs w:val="22"/>
        </w:rPr>
      </w:pPr>
      <w:r>
        <w:t>7.</w:t>
      </w:r>
      <w:r>
        <w:tab/>
        <w:t>Fees</w:t>
      </w:r>
      <w:r>
        <w:tab/>
      </w:r>
      <w:r>
        <w:fldChar w:fldCharType="begin"/>
      </w:r>
      <w:r>
        <w:instrText xml:space="preserve"> PAGEREF _Toc455137021 \h </w:instrText>
      </w:r>
      <w:r>
        <w:fldChar w:fldCharType="separate"/>
      </w:r>
      <w:r>
        <w:t>3</w:t>
      </w:r>
      <w:r>
        <w:fldChar w:fldCharType="end"/>
      </w:r>
    </w:p>
    <w:p>
      <w:pPr>
        <w:pStyle w:val="TOC8"/>
        <w:rPr>
          <w:rFonts w:asciiTheme="minorHAnsi" w:eastAsiaTheme="minorEastAsia" w:hAnsiTheme="minorHAnsi" w:cstheme="minorBidi"/>
          <w:szCs w:val="22"/>
        </w:rPr>
      </w:pPr>
      <w:r>
        <w:t>8.</w:t>
      </w:r>
      <w:r>
        <w:tab/>
        <w:t>Payment</w:t>
      </w:r>
      <w:r>
        <w:tab/>
      </w:r>
      <w:r>
        <w:fldChar w:fldCharType="begin"/>
      </w:r>
      <w:r>
        <w:instrText xml:space="preserve"> PAGEREF _Toc455137022 \h </w:instrText>
      </w:r>
      <w:r>
        <w:fldChar w:fldCharType="separate"/>
      </w:r>
      <w:r>
        <w:t>3</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_Toc455137023 \h </w:instrText>
      </w:r>
      <w:r>
        <w:fldChar w:fldCharType="separate"/>
      </w:r>
      <w:r>
        <w:t>4</w:t>
      </w:r>
      <w:r>
        <w:fldChar w:fldCharType="end"/>
      </w:r>
    </w:p>
    <w:p>
      <w:pPr>
        <w:pStyle w:val="TOC8"/>
        <w:rPr>
          <w:rFonts w:asciiTheme="minorHAnsi" w:eastAsiaTheme="minorEastAsia" w:hAnsiTheme="minorHAnsi" w:cstheme="minorBidi"/>
          <w:szCs w:val="22"/>
        </w:rPr>
      </w:pPr>
      <w:r>
        <w:t>11.</w:t>
      </w:r>
      <w:r>
        <w:tab/>
        <w:t>Changes in rates</w:t>
      </w:r>
      <w:r>
        <w:tab/>
      </w:r>
      <w:r>
        <w:fldChar w:fldCharType="begin"/>
      </w:r>
      <w:r>
        <w:instrText xml:space="preserve"> PAGEREF _Toc455137024 \h </w:instrText>
      </w:r>
      <w:r>
        <w:fldChar w:fldCharType="separate"/>
      </w:r>
      <w:r>
        <w:t>5</w:t>
      </w:r>
      <w:r>
        <w:fldChar w:fldCharType="end"/>
      </w:r>
    </w:p>
    <w:p>
      <w:pPr>
        <w:pStyle w:val="TOC8"/>
        <w:rPr>
          <w:rFonts w:asciiTheme="minorHAnsi" w:eastAsiaTheme="minorEastAsia" w:hAnsiTheme="minorHAnsi" w:cstheme="minorBidi"/>
          <w:szCs w:val="22"/>
        </w:rPr>
      </w:pPr>
      <w:r>
        <w:t>12.</w:t>
      </w:r>
      <w:r>
        <w:tab/>
        <w:t>Prescribed rate of interest for s. 62(16) of Act</w:t>
      </w:r>
      <w:r>
        <w:tab/>
      </w:r>
      <w:r>
        <w:fldChar w:fldCharType="begin"/>
      </w:r>
      <w:r>
        <w:instrText xml:space="preserve"> PAGEREF _Toc455137025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Supply charges</w:t>
      </w:r>
    </w:p>
    <w:p>
      <w:pPr>
        <w:pStyle w:val="TOC8"/>
        <w:rPr>
          <w:rFonts w:asciiTheme="minorHAnsi" w:eastAsiaTheme="minorEastAsia" w:hAnsiTheme="minorHAnsi" w:cstheme="minorBidi"/>
          <w:szCs w:val="22"/>
        </w:rPr>
      </w:pPr>
      <w:r>
        <w:t>1.</w:t>
      </w:r>
      <w:r>
        <w:tab/>
        <w:t>Tariff L2 (general supply — low/medium voltage tariff)</w:t>
      </w:r>
      <w:r>
        <w:tab/>
      </w:r>
      <w:r>
        <w:fldChar w:fldCharType="begin"/>
      </w:r>
      <w:r>
        <w:instrText xml:space="preserve"> PAGEREF _Toc455137027 \h </w:instrText>
      </w:r>
      <w:r>
        <w:fldChar w:fldCharType="separate"/>
      </w:r>
      <w:r>
        <w:t>6</w:t>
      </w:r>
      <w:r>
        <w:fldChar w:fldCharType="end"/>
      </w:r>
    </w:p>
    <w:p>
      <w:pPr>
        <w:pStyle w:val="TOC8"/>
        <w:rPr>
          <w:rFonts w:asciiTheme="minorHAnsi" w:eastAsiaTheme="minorEastAsia" w:hAnsiTheme="minorHAnsi" w:cstheme="minorBidi"/>
          <w:szCs w:val="22"/>
        </w:rPr>
      </w:pPr>
      <w:r>
        <w:t>2.</w:t>
      </w:r>
      <w:r>
        <w:tab/>
        <w:t>Tariff L4 (general supply — low/medium voltage tariff)</w:t>
      </w:r>
      <w:r>
        <w:tab/>
      </w:r>
      <w:r>
        <w:fldChar w:fldCharType="begin"/>
      </w:r>
      <w:r>
        <w:instrText xml:space="preserve"> PAGEREF _Toc455137028 \h </w:instrText>
      </w:r>
      <w:r>
        <w:fldChar w:fldCharType="separate"/>
      </w:r>
      <w:r>
        <w:t>6</w:t>
      </w:r>
      <w:r>
        <w:fldChar w:fldCharType="end"/>
      </w:r>
    </w:p>
    <w:p>
      <w:pPr>
        <w:pStyle w:val="TOC8"/>
        <w:rPr>
          <w:rFonts w:asciiTheme="minorHAnsi" w:eastAsiaTheme="minorEastAsia" w:hAnsiTheme="minorHAnsi" w:cstheme="minorBidi"/>
          <w:szCs w:val="22"/>
        </w:rPr>
      </w:pPr>
      <w:r>
        <w:t>3.</w:t>
      </w:r>
      <w:r>
        <w:tab/>
        <w:t>Tariff M2 (general supply — high voltage tariff)</w:t>
      </w:r>
      <w:r>
        <w:tab/>
      </w:r>
      <w:r>
        <w:fldChar w:fldCharType="begin"/>
      </w:r>
      <w:r>
        <w:instrText xml:space="preserve"> PAGEREF _Toc455137029 \h </w:instrText>
      </w:r>
      <w:r>
        <w:fldChar w:fldCharType="separate"/>
      </w:r>
      <w:r>
        <w:t>7</w:t>
      </w:r>
      <w:r>
        <w:fldChar w:fldCharType="end"/>
      </w:r>
    </w:p>
    <w:p>
      <w:pPr>
        <w:pStyle w:val="TOC8"/>
        <w:rPr>
          <w:rFonts w:asciiTheme="minorHAnsi" w:eastAsiaTheme="minorEastAsia" w:hAnsiTheme="minorHAnsi" w:cstheme="minorBidi"/>
          <w:szCs w:val="22"/>
        </w:rPr>
      </w:pPr>
      <w:r>
        <w:t>4.</w:t>
      </w:r>
      <w:r>
        <w:tab/>
        <w:t>Tariff A2 (residential tariff)</w:t>
      </w:r>
      <w:r>
        <w:tab/>
      </w:r>
      <w:r>
        <w:fldChar w:fldCharType="begin"/>
      </w:r>
      <w:r>
        <w:instrText xml:space="preserve"> PAGEREF _Toc455137030 \h </w:instrText>
      </w:r>
      <w:r>
        <w:fldChar w:fldCharType="separate"/>
      </w:r>
      <w:r>
        <w:t>7</w:t>
      </w:r>
      <w:r>
        <w:fldChar w:fldCharType="end"/>
      </w:r>
    </w:p>
    <w:p>
      <w:pPr>
        <w:pStyle w:val="TOC8"/>
        <w:rPr>
          <w:rFonts w:asciiTheme="minorHAnsi" w:eastAsiaTheme="minorEastAsia" w:hAnsiTheme="minorHAnsi" w:cstheme="minorBidi"/>
          <w:szCs w:val="22"/>
        </w:rPr>
      </w:pPr>
      <w:r>
        <w:t>5.</w:t>
      </w:r>
      <w:r>
        <w:tab/>
        <w:t>Tariff C2 (special community service tariff)</w:t>
      </w:r>
      <w:r>
        <w:tab/>
      </w:r>
      <w:r>
        <w:fldChar w:fldCharType="begin"/>
      </w:r>
      <w:r>
        <w:instrText xml:space="preserve"> PAGEREF _Toc455137031 \h </w:instrText>
      </w:r>
      <w:r>
        <w:fldChar w:fldCharType="separate"/>
      </w:r>
      <w:r>
        <w:t>7</w:t>
      </w:r>
      <w:r>
        <w:fldChar w:fldCharType="end"/>
      </w:r>
    </w:p>
    <w:p>
      <w:pPr>
        <w:pStyle w:val="TOC8"/>
        <w:rPr>
          <w:rFonts w:asciiTheme="minorHAnsi" w:eastAsiaTheme="minorEastAsia" w:hAnsiTheme="minorHAnsi" w:cstheme="minorBidi"/>
          <w:szCs w:val="22"/>
        </w:rPr>
      </w:pPr>
      <w:r>
        <w:t>6.</w:t>
      </w:r>
      <w:r>
        <w:tab/>
        <w:t>Tariff D2 (special tariff for certain premises)</w:t>
      </w:r>
      <w:r>
        <w:tab/>
      </w:r>
      <w:r>
        <w:fldChar w:fldCharType="begin"/>
      </w:r>
      <w:r>
        <w:instrText xml:space="preserve"> PAGEREF _Toc455137032 \h </w:instrText>
      </w:r>
      <w:r>
        <w:fldChar w:fldCharType="separate"/>
      </w:r>
      <w:r>
        <w:t>8</w:t>
      </w:r>
      <w:r>
        <w:fldChar w:fldCharType="end"/>
      </w:r>
    </w:p>
    <w:p>
      <w:pPr>
        <w:pStyle w:val="TOC8"/>
        <w:rPr>
          <w:rFonts w:asciiTheme="minorHAnsi" w:eastAsiaTheme="minorEastAsia" w:hAnsiTheme="minorHAnsi" w:cstheme="minorBidi"/>
          <w:szCs w:val="22"/>
        </w:rPr>
      </w:pPr>
      <w:r>
        <w:t>7.</w:t>
      </w:r>
      <w:r>
        <w:tab/>
        <w:t>Tariff K2 (general supply with residential tariff)</w:t>
      </w:r>
      <w:r>
        <w:tab/>
      </w:r>
      <w:r>
        <w:fldChar w:fldCharType="begin"/>
      </w:r>
      <w:r>
        <w:instrText xml:space="preserve"> PAGEREF _Toc455137033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2 — Unmetered supply</w:t>
      </w:r>
    </w:p>
    <w:p>
      <w:pPr>
        <w:pStyle w:val="TOC4"/>
        <w:tabs>
          <w:tab w:val="right" w:leader="dot" w:pos="7077"/>
        </w:tabs>
        <w:rPr>
          <w:rFonts w:asciiTheme="minorHAnsi" w:eastAsiaTheme="minorEastAsia" w:hAnsiTheme="minorHAnsi" w:cstheme="minorBidi"/>
          <w:b w:val="0"/>
          <w:szCs w:val="22"/>
        </w:rPr>
      </w:pPr>
      <w:r>
        <w:t>Division 1</w:t>
      </w:r>
      <w:r>
        <w:rPr>
          <w:b w:val="0"/>
        </w:rPr>
        <w:t> — </w:t>
      </w:r>
      <w:r>
        <w:t>Street lighting</w:t>
      </w:r>
    </w:p>
    <w:p>
      <w:pPr>
        <w:pStyle w:val="TOC4"/>
        <w:tabs>
          <w:tab w:val="right" w:leader="dot" w:pos="7077"/>
        </w:tabs>
        <w:rPr>
          <w:rFonts w:asciiTheme="minorHAnsi" w:eastAsiaTheme="minorEastAsia" w:hAnsiTheme="minorHAnsi" w:cstheme="minorBidi"/>
          <w:b w:val="0"/>
          <w:szCs w:val="22"/>
        </w:rPr>
      </w:pPr>
      <w:r>
        <w:t>Division 2</w:t>
      </w:r>
      <w:r>
        <w:rPr>
          <w:b w:val="0"/>
        </w:rPr>
        <w:t> — </w:t>
      </w:r>
      <w:r>
        <w:t>Miscellaneous</w:t>
      </w:r>
    </w:p>
    <w:p>
      <w:pPr>
        <w:pStyle w:val="TOC8"/>
        <w:rPr>
          <w:rFonts w:asciiTheme="minorHAnsi" w:eastAsiaTheme="minorEastAsia" w:hAnsiTheme="minorHAnsi" w:cstheme="minorBidi"/>
          <w:szCs w:val="22"/>
        </w:rPr>
      </w:pPr>
      <w:r>
        <w:t>1.</w:t>
      </w:r>
      <w:r>
        <w:tab/>
        <w:t>Traffic light installations</w:t>
      </w:r>
      <w:r>
        <w:tab/>
      </w:r>
      <w:r>
        <w:fldChar w:fldCharType="begin"/>
      </w:r>
      <w:r>
        <w:instrText xml:space="preserve"> PAGEREF _Toc455137037 \h </w:instrText>
      </w:r>
      <w:r>
        <w:fldChar w:fldCharType="separate"/>
      </w:r>
      <w:r>
        <w:t>12</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_Toc455137038 \h </w:instrText>
      </w:r>
      <w:r>
        <w:fldChar w:fldCharType="separate"/>
      </w:r>
      <w:r>
        <w:t>12</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_Toc455137039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3 — Meter rentals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_Toc455137043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3" w:name="_Toc401908194"/>
      <w:bookmarkStart w:id="4" w:name="_Toc455137015"/>
      <w:r>
        <w:rPr>
          <w:rStyle w:val="CharSectno"/>
        </w:rPr>
        <w:t>1</w:t>
      </w:r>
      <w:r>
        <w:t>.</w:t>
      </w:r>
      <w:r>
        <w:tab/>
        <w:t>Citation</w:t>
      </w:r>
      <w:bookmarkEnd w:id="3"/>
      <w:bookmarkEnd w:id="4"/>
    </w:p>
    <w:p>
      <w:pPr>
        <w:pStyle w:val="Subsection"/>
      </w:pPr>
      <w:r>
        <w:tab/>
      </w:r>
      <w:r>
        <w:tab/>
        <w:t>These by</w:t>
      </w:r>
      <w:r>
        <w:noBreakHyphen/>
        <w:t xml:space="preserve">laws are the </w:t>
      </w:r>
      <w:r>
        <w:rPr>
          <w:i/>
        </w:rPr>
        <w:t>Energy Operators (Regional Power Corporation) (Charges) By</w:t>
      </w:r>
      <w:r>
        <w:rPr>
          <w:i/>
        </w:rPr>
        <w:noBreakHyphen/>
        <w:t>laws 2006</w:t>
      </w:r>
      <w:r>
        <w:rPr>
          <w:vertAlign w:val="superscript"/>
        </w:rPr>
        <w:t> 1</w:t>
      </w:r>
      <w:r>
        <w:t>.</w:t>
      </w:r>
    </w:p>
    <w:p>
      <w:pPr>
        <w:pStyle w:val="Heading5"/>
      </w:pPr>
      <w:bookmarkStart w:id="5" w:name="_Toc401908195"/>
      <w:bookmarkStart w:id="6" w:name="_Toc455137016"/>
      <w:r>
        <w:rPr>
          <w:rStyle w:val="CharSectno"/>
        </w:rPr>
        <w:t>2</w:t>
      </w:r>
      <w:r>
        <w:t>.</w:t>
      </w:r>
      <w:r>
        <w:tab/>
        <w:t>Commencement</w:t>
      </w:r>
      <w:bookmarkEnd w:id="5"/>
      <w:bookmarkEnd w:id="6"/>
    </w:p>
    <w:p>
      <w:pPr>
        <w:pStyle w:val="Subsection"/>
      </w:pPr>
      <w:r>
        <w:tab/>
      </w:r>
      <w:r>
        <w:tab/>
        <w:t>These by</w:t>
      </w:r>
      <w:r>
        <w:noBreakHyphen/>
        <w:t>laws come into operation on 1 April 2006.</w:t>
      </w:r>
    </w:p>
    <w:p>
      <w:pPr>
        <w:pStyle w:val="Heading5"/>
        <w:rPr>
          <w:snapToGrid w:val="0"/>
        </w:rPr>
      </w:pPr>
      <w:bookmarkStart w:id="7" w:name="_Toc401908196"/>
      <w:bookmarkStart w:id="8" w:name="_Toc455137017"/>
      <w:r>
        <w:rPr>
          <w:rStyle w:val="CharSectno"/>
        </w:rPr>
        <w:t>3</w:t>
      </w:r>
      <w:r>
        <w:t>.</w:t>
      </w:r>
      <w:r>
        <w:tab/>
      </w:r>
      <w:r>
        <w:rPr>
          <w:snapToGrid w:val="0"/>
        </w:rPr>
        <w:t>Terms used</w:t>
      </w:r>
      <w:bookmarkEnd w:id="7"/>
      <w:bookmarkEnd w:id="8"/>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tab/>
      </w:r>
      <w:r>
        <w:rPr>
          <w:rStyle w:val="CharDefText"/>
        </w:rPr>
        <w:t>RBA cash rate</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rPr>
          <w:b/>
        </w:rPr>
        <w:tab/>
      </w:r>
      <w:r>
        <w:rPr>
          <w:rStyle w:val="CharDefText"/>
        </w:rPr>
        <w:t>residential tarif</w:t>
      </w:r>
      <w:r>
        <w:rPr>
          <w:rStyle w:val="CharDefText"/>
          <w:spacing w:val="40"/>
        </w:rPr>
        <w:t>f</w:t>
      </w:r>
      <w:r>
        <w:t xml:space="preserve"> means Tariff A2;</w:t>
      </w:r>
    </w:p>
    <w:p>
      <w:pPr>
        <w:pStyle w:val="Defstart"/>
      </w:pPr>
      <w:r>
        <w:rPr>
          <w:b/>
        </w:rPr>
        <w:tab/>
      </w:r>
      <w:r>
        <w:rPr>
          <w:rStyle w:val="CharDefText"/>
        </w:rPr>
        <w:t>Tarif</w:t>
      </w:r>
      <w:r>
        <w:rPr>
          <w:rStyle w:val="CharDefText"/>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1000; 29 Jun 2012 p. 2900; 22 Aug 2014 p. 3017.]</w:t>
      </w:r>
    </w:p>
    <w:p>
      <w:pPr>
        <w:pStyle w:val="Ednotesection"/>
      </w:pPr>
      <w:r>
        <w:t>[</w:t>
      </w:r>
      <w:r>
        <w:rPr>
          <w:b/>
        </w:rPr>
        <w:t>4A.</w:t>
      </w:r>
      <w:r>
        <w:tab/>
        <w:t>Deleted in Gazette 22 Aug 2014 p. 3017.]</w:t>
      </w:r>
    </w:p>
    <w:p>
      <w:pPr>
        <w:pStyle w:val="Heading5"/>
        <w:rPr>
          <w:snapToGrid w:val="0"/>
        </w:rPr>
      </w:pPr>
      <w:bookmarkStart w:id="9" w:name="_Toc401908197"/>
      <w:bookmarkStart w:id="10" w:name="_Toc455137018"/>
      <w:r>
        <w:rPr>
          <w:rStyle w:val="CharSectno"/>
        </w:rPr>
        <w:t>4</w:t>
      </w:r>
      <w:r>
        <w:t>.</w:t>
      </w:r>
      <w:r>
        <w:tab/>
      </w:r>
      <w:r>
        <w:rPr>
          <w:snapToGrid w:val="0"/>
        </w:rPr>
        <w:t>Electricity charges</w:t>
      </w:r>
      <w:bookmarkEnd w:id="9"/>
      <w:bookmarkEnd w:id="10"/>
    </w:p>
    <w:p>
      <w:pPr>
        <w:pStyle w:val="Subsection"/>
      </w:pPr>
      <w:r>
        <w:tab/>
        <w:t>(1A)</w:t>
      </w:r>
      <w:r>
        <w:tab/>
        <w:t xml:space="preserve">In this </w:t>
      </w:r>
      <w:r>
        <w:rPr>
          <w:snapToGrid w:val="0"/>
        </w:rPr>
        <w:t>by</w:t>
      </w:r>
      <w:r>
        <w:rPr>
          <w:snapToGrid w:val="0"/>
        </w:rPr>
        <w:noBreakHyphen/>
        <w:t>law</w:t>
      </w:r>
      <w:r>
        <w:t xml:space="preserve"> — </w:t>
      </w:r>
    </w:p>
    <w:p>
      <w:pPr>
        <w:pStyle w:val="yDefstart"/>
      </w:pPr>
      <w:r>
        <w:rPr>
          <w:sz w:val="24"/>
          <w:szCs w:val="24"/>
        </w:rPr>
        <w:tab/>
      </w:r>
      <w:r>
        <w:rPr>
          <w:rStyle w:val="CharDefText"/>
          <w:sz w:val="24"/>
          <w:szCs w:val="24"/>
        </w:rPr>
        <w:t>North West interconnected system</w:t>
      </w:r>
      <w:r>
        <w:rPr>
          <w:sz w:val="24"/>
          <w:szCs w:val="24"/>
        </w:rPr>
        <w:t xml:space="preserve"> has the meaning given in the </w:t>
      </w:r>
      <w:r>
        <w:rPr>
          <w:i/>
          <w:sz w:val="24"/>
          <w:szCs w:val="24"/>
        </w:rPr>
        <w:t>Electricity Transmission and Distribution Systems (Access) Act 1994</w:t>
      </w:r>
      <w:r>
        <w:rPr>
          <w:sz w:val="24"/>
          <w:szCs w:val="24"/>
        </w:rPr>
        <w:t xml:space="preserve"> section 2;</w:t>
      </w:r>
    </w:p>
    <w:p>
      <w:pPr>
        <w:pStyle w:val="yDefstart"/>
      </w:pPr>
      <w:r>
        <w:tab/>
      </w:r>
      <w:r>
        <w:rPr>
          <w:rStyle w:val="CharDefText"/>
          <w:sz w:val="24"/>
          <w:szCs w:val="24"/>
        </w:rPr>
        <w:t>regional non</w:t>
      </w:r>
      <w:r>
        <w:rPr>
          <w:rStyle w:val="CharDefText"/>
          <w:sz w:val="24"/>
          <w:szCs w:val="24"/>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rStyle w:val="CharDefText"/>
          <w:sz w:val="24"/>
          <w:szCs w:val="24"/>
        </w:rPr>
        <w:t>South West interconnected system</w:t>
      </w:r>
      <w:r>
        <w:t xml:space="preserve"> has the meaning given in the </w:t>
      </w:r>
      <w:r>
        <w:rPr>
          <w:i/>
        </w:rPr>
        <w:t>Electricity Industry Act 2004</w:t>
      </w:r>
      <w:r>
        <w:t xml:space="preserve"> section 3.</w:t>
      </w:r>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pPr>
        <w:pStyle w:val="Subsection"/>
        <w:rPr>
          <w:snapToGrid w:val="0"/>
        </w:rPr>
      </w:pPr>
      <w:r>
        <w:tab/>
        <w:t>(2A)</w:t>
      </w:r>
      <w:r>
        <w:tab/>
      </w:r>
      <w:r>
        <w:rPr>
          <w:snapToGrid w:val="0"/>
        </w:rPr>
        <w:t>Sub</w:t>
      </w:r>
      <w:r>
        <w:rPr>
          <w:snapToGrid w:val="0"/>
        </w:rPr>
        <w:noBreakHyphen/>
        <w:t>bylaw (</w:t>
      </w:r>
      <w:r>
        <w:t>1) does not apply to electricity supplied from a regional non</w:t>
      </w:r>
      <w:r>
        <w:noBreakHyphen/>
        <w:t xml:space="preserve">integrated system or the </w:t>
      </w:r>
      <w:r>
        <w:rPr>
          <w:rStyle w:val="CharDefText"/>
          <w:szCs w:val="24"/>
        </w:rPr>
        <w:t>North West interconnected system</w:t>
      </w:r>
      <w:r>
        <w:t xml:space="preserve"> to Commonwealth, State or foreign government departments, instrumentalities, agencies or trading concerns (except for local governments, regional local governments or other bodies corporate not prohibited by the </w:t>
      </w:r>
      <w:r>
        <w:rPr>
          <w:i/>
        </w:rPr>
        <w:t>Local Government Act 1995</w:t>
      </w:r>
      <w:r>
        <w:t xml:space="preserve"> section 3.60).</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ind w:left="890" w:hanging="890"/>
      </w:pPr>
      <w:r>
        <w:tab/>
        <w:t>[By</w:t>
      </w:r>
      <w:r>
        <w:noBreakHyphen/>
        <w:t>law 4 amended in Gazette 30 Aug 2013 p. 4093-4; 26 Jun 2015 p. 2247</w:t>
      </w:r>
      <w:r>
        <w:noBreakHyphen/>
        <w:t>8.]</w:t>
      </w:r>
    </w:p>
    <w:p>
      <w:pPr>
        <w:pStyle w:val="Heading5"/>
      </w:pPr>
      <w:bookmarkStart w:id="11" w:name="_Toc401908198"/>
      <w:bookmarkStart w:id="12" w:name="_Toc455137019"/>
      <w:r>
        <w:rPr>
          <w:rStyle w:val="CharSectno"/>
        </w:rPr>
        <w:t>5</w:t>
      </w:r>
      <w:r>
        <w:t>.</w:t>
      </w:r>
      <w:r>
        <w:tab/>
        <w:t>Application of residential tariffs</w:t>
      </w:r>
      <w:bookmarkEnd w:id="11"/>
      <w:bookmarkEnd w:id="12"/>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13" w:name="_Toc401908199"/>
      <w:bookmarkStart w:id="14" w:name="_Toc455137020"/>
      <w:r>
        <w:rPr>
          <w:rStyle w:val="CharSectno"/>
        </w:rPr>
        <w:t>6</w:t>
      </w:r>
      <w:r>
        <w:t>.</w:t>
      </w:r>
      <w:r>
        <w:tab/>
        <w:t>Meter rental</w:t>
      </w:r>
      <w:bookmarkEnd w:id="13"/>
      <w:bookmarkEnd w:id="14"/>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15" w:name="_Toc401908200"/>
      <w:bookmarkStart w:id="16" w:name="_Toc455137021"/>
      <w:r>
        <w:rPr>
          <w:rStyle w:val="CharSectno"/>
        </w:rPr>
        <w:t>7</w:t>
      </w:r>
      <w:r>
        <w:t>.</w:t>
      </w:r>
      <w:r>
        <w:tab/>
        <w:t>Fees</w:t>
      </w:r>
      <w:bookmarkEnd w:id="15"/>
      <w:bookmarkEnd w:id="16"/>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7" w:name="_Toc401908201"/>
      <w:bookmarkStart w:id="18" w:name="_Toc455137022"/>
      <w:r>
        <w:rPr>
          <w:rStyle w:val="CharSectno"/>
        </w:rPr>
        <w:t>8</w:t>
      </w:r>
      <w:r>
        <w:t>.</w:t>
      </w:r>
      <w:r>
        <w:tab/>
        <w:t>Payment</w:t>
      </w:r>
      <w:bookmarkEnd w:id="17"/>
      <w:bookmarkEnd w:id="18"/>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1000.]</w:t>
      </w:r>
    </w:p>
    <w:p>
      <w:pPr>
        <w:pStyle w:val="Ednotesection"/>
      </w:pPr>
      <w:r>
        <w:t>[</w:t>
      </w:r>
      <w:r>
        <w:rPr>
          <w:b/>
        </w:rPr>
        <w:t>9.</w:t>
      </w:r>
      <w:r>
        <w:tab/>
        <w:t>Deleted in Gazette 21 Sep 2012 p. 4423.]</w:t>
      </w:r>
    </w:p>
    <w:p>
      <w:pPr>
        <w:pStyle w:val="Heading5"/>
      </w:pPr>
      <w:bookmarkStart w:id="19" w:name="_Toc401908202"/>
      <w:bookmarkStart w:id="20" w:name="_Toc455137023"/>
      <w:r>
        <w:rPr>
          <w:rStyle w:val="CharSectno"/>
        </w:rPr>
        <w:t>10</w:t>
      </w:r>
      <w:r>
        <w:t>.</w:t>
      </w:r>
      <w:r>
        <w:tab/>
        <w:t>Calculation of charges</w:t>
      </w:r>
      <w:bookmarkEnd w:id="19"/>
      <w:bookmarkEnd w:id="20"/>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w:t>
      </w:r>
      <w:r>
        <w:tab/>
        <w:t>deleted]</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Footnotesection"/>
      </w:pPr>
      <w:r>
        <w:tab/>
        <w:t>[By-law 10 amended in Gazette 27 Jun 2014 p. 2320.]</w:t>
      </w:r>
    </w:p>
    <w:p>
      <w:pPr>
        <w:pStyle w:val="Heading5"/>
      </w:pPr>
      <w:bookmarkStart w:id="21" w:name="_Toc401908203"/>
      <w:bookmarkStart w:id="22" w:name="_Toc455137024"/>
      <w:r>
        <w:rPr>
          <w:rStyle w:val="CharSectno"/>
        </w:rPr>
        <w:t>11</w:t>
      </w:r>
      <w:r>
        <w:t>.</w:t>
      </w:r>
      <w:r>
        <w:tab/>
        <w:t>Changes in rates</w:t>
      </w:r>
      <w:bookmarkEnd w:id="21"/>
      <w:bookmarkEnd w:id="22"/>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23" w:name="_Toc401908204"/>
      <w:bookmarkStart w:id="24" w:name="_Toc455137025"/>
      <w:r>
        <w:rPr>
          <w:rStyle w:val="CharSectno"/>
        </w:rPr>
        <w:t>12</w:t>
      </w:r>
      <w:r>
        <w:t>.</w:t>
      </w:r>
      <w:r>
        <w:tab/>
        <w:t>Prescribed rate of interest for s. 62(16) of Act</w:t>
      </w:r>
      <w:bookmarkEnd w:id="23"/>
      <w:bookmarkEnd w:id="24"/>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1000</w:t>
      </w:r>
      <w:r>
        <w:noBreakHyphen/>
        <w:t>1.]</w:t>
      </w: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380" w:gutter="0"/>
          <w:pgNumType w:start="1"/>
          <w:cols w:space="720"/>
          <w:noEndnote/>
          <w:titlePg/>
          <w:docGrid w:linePitch="326"/>
        </w:sectPr>
      </w:pPr>
    </w:p>
    <w:p>
      <w:pPr>
        <w:pStyle w:val="yHeading2"/>
      </w:pPr>
      <w:bookmarkStart w:id="25" w:name="_Toc423343933"/>
      <w:bookmarkStart w:id="26" w:name="_Toc423344417"/>
      <w:bookmarkStart w:id="27" w:name="_Toc423442513"/>
      <w:bookmarkStart w:id="28" w:name="_Toc455137026"/>
      <w:bookmarkStart w:id="29" w:name="_Toc399137918"/>
      <w:bookmarkStart w:id="30" w:name="_Toc401908205"/>
      <w:bookmarkStart w:id="31" w:name="_Toc416788387"/>
      <w:bookmarkStart w:id="32" w:name="_Toc416788419"/>
      <w:r>
        <w:rPr>
          <w:rStyle w:val="CharSchNo"/>
        </w:rPr>
        <w:t>Schedule 1</w:t>
      </w:r>
      <w:r>
        <w:t xml:space="preserve"> — </w:t>
      </w:r>
      <w:r>
        <w:rPr>
          <w:rStyle w:val="CharSchText"/>
        </w:rPr>
        <w:t>Supply charges</w:t>
      </w:r>
      <w:bookmarkEnd w:id="25"/>
      <w:bookmarkEnd w:id="26"/>
      <w:bookmarkEnd w:id="27"/>
      <w:bookmarkEnd w:id="28"/>
    </w:p>
    <w:p>
      <w:pPr>
        <w:pStyle w:val="yShoulderClause"/>
      </w:pPr>
      <w:r>
        <w:t>[bl. 3, 4(1) and 10(1)]</w:t>
      </w:r>
    </w:p>
    <w:p>
      <w:pPr>
        <w:pStyle w:val="yFootnoteheading"/>
      </w:pPr>
      <w:r>
        <w:tab/>
        <w:t>[Heading inserted in Gazette 26 Jun 2015 p. 2248.]</w:t>
      </w:r>
    </w:p>
    <w:p>
      <w:pPr>
        <w:pStyle w:val="yHeading5"/>
      </w:pPr>
      <w:bookmarkStart w:id="33" w:name="_Toc455137027"/>
      <w:r>
        <w:rPr>
          <w:rStyle w:val="CharSClsNo"/>
        </w:rPr>
        <w:t>1</w:t>
      </w:r>
      <w:r>
        <w:t>.</w:t>
      </w:r>
      <w:r>
        <w:tab/>
        <w:t>Tariff L2 (general supply — low/medium voltage tariff)</w:t>
      </w:r>
      <w:bookmarkEnd w:id="33"/>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46.1185 cents per day; and</w:t>
      </w:r>
    </w:p>
    <w:p>
      <w:pPr>
        <w:pStyle w:val="yIndenta"/>
      </w:pPr>
      <w:r>
        <w:tab/>
        <w:t>(b)</w:t>
      </w:r>
      <w:r>
        <w:tab/>
        <w:t xml:space="preserve">a charge for metered consumption at the rate of — </w:t>
      </w:r>
    </w:p>
    <w:p>
      <w:pPr>
        <w:pStyle w:val="yIndenti0"/>
      </w:pPr>
      <w:r>
        <w:tab/>
        <w:t>(i)</w:t>
      </w:r>
      <w:r>
        <w:tab/>
        <w:t>30.3104 cents per unit for the first 1 650 units per day; and</w:t>
      </w:r>
    </w:p>
    <w:p>
      <w:pPr>
        <w:pStyle w:val="yIndenti0"/>
      </w:pPr>
      <w:r>
        <w:tab/>
        <w:t>(ii)</w:t>
      </w:r>
      <w:r>
        <w:tab/>
        <w:t>27.3503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megawatt hours per annum.</w:t>
      </w:r>
    </w:p>
    <w:p>
      <w:pPr>
        <w:pStyle w:val="yFootnotesection"/>
      </w:pPr>
      <w:r>
        <w:tab/>
        <w:t>[Clause 1 inserted in Gazette 26 Jun 2015 p. 2248; amended in Gazette 28 Jun 2016 p. 2626.]</w:t>
      </w:r>
    </w:p>
    <w:p>
      <w:pPr>
        <w:pStyle w:val="yHeading5"/>
      </w:pPr>
      <w:bookmarkStart w:id="34" w:name="_Toc455137028"/>
      <w:r>
        <w:rPr>
          <w:rStyle w:val="CharSClsNo"/>
        </w:rPr>
        <w:t>2</w:t>
      </w:r>
      <w:r>
        <w:t>.</w:t>
      </w:r>
      <w:r>
        <w:tab/>
        <w:t>Tariff L4 (general supply — low/medium voltage tariff)</w:t>
      </w:r>
      <w:bookmarkEnd w:id="34"/>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51.6881 cents per day; and</w:t>
      </w:r>
    </w:p>
    <w:p>
      <w:pPr>
        <w:pStyle w:val="yIndenta"/>
      </w:pPr>
      <w:r>
        <w:tab/>
        <w:t>(b)</w:t>
      </w:r>
      <w:r>
        <w:tab/>
        <w:t xml:space="preserve">a charge for metered consumption at the rate of — </w:t>
      </w:r>
    </w:p>
    <w:p>
      <w:pPr>
        <w:pStyle w:val="yIndenti0"/>
      </w:pPr>
      <w:r>
        <w:tab/>
        <w:t>(i)</w:t>
      </w:r>
      <w:r>
        <w:tab/>
        <w:t>33.9633 cents per unit for the first 1 650 units per day; and</w:t>
      </w:r>
    </w:p>
    <w:p>
      <w:pPr>
        <w:pStyle w:val="yIndenti0"/>
      </w:pPr>
      <w:r>
        <w:tab/>
        <w:t>(ii)</w:t>
      </w:r>
      <w:r>
        <w:tab/>
        <w:t>30.6556 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megawatt hours or more per annum.</w:t>
      </w:r>
    </w:p>
    <w:p>
      <w:pPr>
        <w:pStyle w:val="yFootnotesection"/>
        <w:keepNext/>
      </w:pPr>
      <w:r>
        <w:tab/>
        <w:t>[Clause 2 inserted in Gazette 26 Jun 2015 p. 2248.]</w:t>
      </w:r>
    </w:p>
    <w:p>
      <w:pPr>
        <w:pStyle w:val="yHeading5"/>
      </w:pPr>
      <w:bookmarkStart w:id="35" w:name="_Toc455137029"/>
      <w:r>
        <w:rPr>
          <w:rStyle w:val="CharSClsNo"/>
        </w:rPr>
        <w:t>3</w:t>
      </w:r>
      <w:r>
        <w:t>.</w:t>
      </w:r>
      <w:r>
        <w:tab/>
        <w:t>Tariff M2 (general supply — high voltage tariff)</w:t>
      </w:r>
      <w:bookmarkEnd w:id="35"/>
    </w:p>
    <w:p>
      <w:pPr>
        <w:pStyle w:val="ySubsection"/>
      </w:pPr>
      <w:r>
        <w:tab/>
        <w:t>(1)</w:t>
      </w:r>
      <w:r>
        <w:tab/>
        <w:t>Tariff M2 is available for consumers supplied at 6.6 kV, 11 kV, 22 kV or 33 kV or such higher voltage as the corporation may approve.</w:t>
      </w:r>
    </w:p>
    <w:p>
      <w:pPr>
        <w:pStyle w:val="ySubsection"/>
      </w:pPr>
      <w:r>
        <w:tab/>
        <w:t>(2)</w:t>
      </w:r>
      <w:r>
        <w:tab/>
        <w:t xml:space="preserve">Tariff M2 comprises — </w:t>
      </w:r>
    </w:p>
    <w:p>
      <w:pPr>
        <w:pStyle w:val="yIndenta"/>
      </w:pPr>
      <w:r>
        <w:tab/>
        <w:t>(a)</w:t>
      </w:r>
      <w:r>
        <w:tab/>
        <w:t>a fixed charge at the rate of 54.2587 cents per day; and</w:t>
      </w:r>
    </w:p>
    <w:p>
      <w:pPr>
        <w:pStyle w:val="yIndenta"/>
      </w:pPr>
      <w:r>
        <w:tab/>
        <w:t>(b)</w:t>
      </w:r>
      <w:r>
        <w:tab/>
        <w:t xml:space="preserve">a charge for metered consumption at the rate of — </w:t>
      </w:r>
    </w:p>
    <w:p>
      <w:pPr>
        <w:pStyle w:val="yIndenti0"/>
      </w:pPr>
      <w:r>
        <w:tab/>
        <w:t>(i)</w:t>
      </w:r>
      <w:r>
        <w:tab/>
        <w:t>34.4455 cents per unit for the first 1 650 units per day; and</w:t>
      </w:r>
    </w:p>
    <w:p>
      <w:pPr>
        <w:pStyle w:val="yIndenti0"/>
      </w:pPr>
      <w:r>
        <w:tab/>
        <w:t>(ii)</w:t>
      </w:r>
      <w:r>
        <w:tab/>
        <w:t>30.9362 cents per unit for all units exceeding 1 650 units per day.</w:t>
      </w:r>
    </w:p>
    <w:p>
      <w:pPr>
        <w:pStyle w:val="yFootnotesection"/>
      </w:pPr>
      <w:r>
        <w:tab/>
        <w:t>[Clause 3 inserted in Gazette 26 Jun 2015 p. 2248</w:t>
      </w:r>
      <w:r>
        <w:noBreakHyphen/>
        <w:t>9.]</w:t>
      </w:r>
    </w:p>
    <w:p>
      <w:pPr>
        <w:pStyle w:val="yHeading5"/>
      </w:pPr>
      <w:bookmarkStart w:id="36" w:name="_Toc455137030"/>
      <w:r>
        <w:rPr>
          <w:rStyle w:val="CharSClsNo"/>
        </w:rPr>
        <w:t>4</w:t>
      </w:r>
      <w:r>
        <w:t>.</w:t>
      </w:r>
      <w:r>
        <w:tab/>
        <w:t>Tariff A2 (residential tariff)</w:t>
      </w:r>
      <w:bookmarkEnd w:id="36"/>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 xml:space="preserve">a fixed charge at the rate of 48.5989 cents per day or, for multiple dwellings supplied through one metered supply point, a fixed charge at the rate of — </w:t>
      </w:r>
    </w:p>
    <w:p>
      <w:pPr>
        <w:pStyle w:val="yIndenti0"/>
      </w:pPr>
      <w:r>
        <w:tab/>
        <w:t>(i)</w:t>
      </w:r>
      <w:r>
        <w:tab/>
        <w:t>48.5989 cents per day for the first dwelling; and</w:t>
      </w:r>
    </w:p>
    <w:p>
      <w:pPr>
        <w:pStyle w:val="yIndenti0"/>
      </w:pPr>
      <w:r>
        <w:tab/>
        <w:t>(ii)</w:t>
      </w:r>
      <w:r>
        <w:tab/>
        <w:t>37.7348 cents per day for each additional dwelling;</w:t>
      </w:r>
    </w:p>
    <w:p>
      <w:pPr>
        <w:pStyle w:val="yIndenta"/>
      </w:pPr>
      <w:r>
        <w:tab/>
      </w:r>
      <w:r>
        <w:tab/>
        <w:t>and</w:t>
      </w:r>
    </w:p>
    <w:p>
      <w:pPr>
        <w:pStyle w:val="yIndenta"/>
      </w:pPr>
      <w:r>
        <w:tab/>
        <w:t>(b)</w:t>
      </w:r>
      <w:r>
        <w:tab/>
        <w:t>a charge for metered consumption at the rate of 26.4740 cents per unit.</w:t>
      </w:r>
    </w:p>
    <w:p>
      <w:pPr>
        <w:pStyle w:val="yFootnotesection"/>
      </w:pPr>
      <w:r>
        <w:tab/>
        <w:t>[Clause 4 inserted in Gazette 26 Jun 2015 p. 2249; amended in Gazette 28 Jun 2016 p. 2626</w:t>
      </w:r>
      <w:r>
        <w:noBreakHyphen/>
        <w:t>7.]</w:t>
      </w:r>
    </w:p>
    <w:p>
      <w:pPr>
        <w:pStyle w:val="yHeading5"/>
      </w:pPr>
      <w:bookmarkStart w:id="37" w:name="_Toc455137031"/>
      <w:r>
        <w:rPr>
          <w:rStyle w:val="CharSClsNo"/>
        </w:rPr>
        <w:t>5</w:t>
      </w:r>
      <w:r>
        <w:t>.</w:t>
      </w:r>
      <w:r>
        <w:tab/>
        <w:t>Tariff C2 (special community service tariff)</w:t>
      </w:r>
      <w:bookmarkEnd w:id="37"/>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a fixed charge at the rate of 35.7763 cents per day; and</w:t>
      </w:r>
    </w:p>
    <w:p>
      <w:pPr>
        <w:pStyle w:val="yIndenta"/>
      </w:pPr>
      <w:r>
        <w:tab/>
        <w:t>(b)</w:t>
      </w:r>
      <w:r>
        <w:tab/>
        <w:t xml:space="preserve">a charge for metered consumption at the rate of — </w:t>
      </w:r>
    </w:p>
    <w:p>
      <w:pPr>
        <w:pStyle w:val="yIndenti0"/>
      </w:pPr>
      <w:r>
        <w:tab/>
        <w:t>(i)</w:t>
      </w:r>
      <w:r>
        <w:tab/>
        <w:t>19.5011 cents per unit for the first 20 units per day; and</w:t>
      </w:r>
    </w:p>
    <w:p>
      <w:pPr>
        <w:pStyle w:val="yIndenti0"/>
      </w:pPr>
      <w:r>
        <w:tab/>
        <w:t>(ii)</w:t>
      </w:r>
      <w:r>
        <w:tab/>
        <w:t>24.4331 cents per unit for the next 1 630 units per day; and</w:t>
      </w:r>
    </w:p>
    <w:p>
      <w:pPr>
        <w:pStyle w:val="yIndenti0"/>
      </w:pPr>
      <w:r>
        <w:tab/>
        <w:t>(iii)</w:t>
      </w:r>
      <w:r>
        <w:tab/>
        <w:t>22.0470 cents per unit for all units exceeding 1 650 units per day.</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Income Tax Assessment Act 1997</w:t>
      </w:r>
      <w:r>
        <w:t xml:space="preserve"> (Commonwealth)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[Clause 5 inserted in Gazette 26 Jun 2015 p. 2249</w:t>
      </w:r>
      <w:r>
        <w:noBreakHyphen/>
        <w:t>50; amended in Gazette 28 Jun 2016 p. 2627.]</w:t>
      </w:r>
    </w:p>
    <w:p>
      <w:pPr>
        <w:pStyle w:val="yHeading5"/>
      </w:pPr>
      <w:bookmarkStart w:id="38" w:name="_Toc455137032"/>
      <w:r>
        <w:rPr>
          <w:rStyle w:val="CharSClsNo"/>
        </w:rPr>
        <w:t>6</w:t>
      </w:r>
      <w:r>
        <w:t>.</w:t>
      </w:r>
      <w:r>
        <w:tab/>
        <w:t>Tariff D2 (special tariff for certain premises)</w:t>
      </w:r>
      <w:bookmarkEnd w:id="38"/>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a fixed charge at the rate of 40.8681 cents per day; and</w:t>
      </w:r>
    </w:p>
    <w:p>
      <w:pPr>
        <w:pStyle w:val="yIndenta"/>
      </w:pPr>
      <w:r>
        <w:tab/>
        <w:t>(b)</w:t>
      </w:r>
      <w:r>
        <w:tab/>
        <w:t>if under subclause (3) there is deemed to be more than one equivalent domestic residence in the premises, a charge of 31.7323 cents per day for each equivalent domestic residence except the first that is deemed to be in the premises; and</w:t>
      </w:r>
    </w:p>
    <w:p>
      <w:pPr>
        <w:pStyle w:val="yIndenta"/>
      </w:pPr>
      <w:r>
        <w:tab/>
        <w:t>(c)</w:t>
      </w:r>
      <w:r>
        <w:tab/>
        <w:t>a charge for metered consumption at the rate of 22.2764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6 inserted in Gazette 26 Jun 2015 p. 2250; amended in Gazette 28 Jun 2016 p. 2627.]</w:t>
      </w:r>
    </w:p>
    <w:p>
      <w:pPr>
        <w:pStyle w:val="yHeading5"/>
      </w:pPr>
      <w:bookmarkStart w:id="39" w:name="_Toc455137033"/>
      <w:r>
        <w:rPr>
          <w:rStyle w:val="CharSClsNo"/>
        </w:rPr>
        <w:t>7</w:t>
      </w:r>
      <w:r>
        <w:t>.</w:t>
      </w:r>
      <w:r>
        <w:tab/>
        <w:t xml:space="preserve">Tariff </w:t>
      </w:r>
      <w:smartTag w:uri="urn:schemas-microsoft-com:office:smarttags" w:element="place">
        <w:r>
          <w:t>K2</w:t>
        </w:r>
      </w:smartTag>
      <w:r>
        <w:t xml:space="preserve"> (general supply with residential tariff)</w:t>
      </w:r>
      <w:bookmarkEnd w:id="39"/>
    </w:p>
    <w:p>
      <w:pPr>
        <w:pStyle w:val="ySubsection"/>
      </w:pPr>
      <w:r>
        <w:tab/>
        <w:t>(1)</w:t>
      </w:r>
      <w:r>
        <w:tab/>
        <w:t xml:space="preserve">Tariff </w:t>
      </w:r>
      <w:smartTag w:uri="urn:schemas-microsoft-com:office:smarttags" w:element="place">
        <w:r>
          <w:t>K2</w:t>
        </w:r>
      </w:smartTag>
      <w:r>
        <w:t xml:space="preserve"> is available for premises where the circuit wiring is not separate and the electricity is used partly for general purposes and partly for residential purposes.</w:t>
      </w:r>
    </w:p>
    <w:p>
      <w:pPr>
        <w:pStyle w:val="ySubsection"/>
      </w:pPr>
      <w:r>
        <w:tab/>
        <w:t>(2)</w:t>
      </w:r>
      <w:r>
        <w:tab/>
        <w:t xml:space="preserve">Tariff </w:t>
      </w:r>
      <w:smartTag w:uri="urn:schemas-microsoft-com:office:smarttags" w:element="place">
        <w:r>
          <w:t>K2</w:t>
        </w:r>
      </w:smartTag>
      <w:r>
        <w:t xml:space="preserve"> comprises — </w:t>
      </w:r>
    </w:p>
    <w:p>
      <w:pPr>
        <w:pStyle w:val="yIndenta"/>
      </w:pPr>
      <w:r>
        <w:tab/>
        <w:t>(a)</w:t>
      </w:r>
      <w:r>
        <w:tab/>
        <w:t>a fixed charge at the rate of 48.5989 cents per day; and</w:t>
      </w:r>
    </w:p>
    <w:p>
      <w:pPr>
        <w:pStyle w:val="yIndenta"/>
      </w:pPr>
      <w:r>
        <w:tab/>
        <w:t>(b)</w:t>
      </w:r>
      <w:r>
        <w:tab/>
        <w:t xml:space="preserve">a charge for metered consumption at the rate of — </w:t>
      </w:r>
    </w:p>
    <w:p>
      <w:pPr>
        <w:pStyle w:val="yIndenti0"/>
      </w:pPr>
      <w:r>
        <w:tab/>
        <w:t>(i)</w:t>
      </w:r>
      <w:r>
        <w:tab/>
        <w:t>26.4740 cents per unit for the first 20 units per day; and</w:t>
      </w:r>
    </w:p>
    <w:p>
      <w:pPr>
        <w:pStyle w:val="yIndenti0"/>
      </w:pPr>
      <w:r>
        <w:tab/>
        <w:t>(ii)</w:t>
      </w:r>
      <w:r>
        <w:tab/>
        <w:t>30.3104  cents per unit for the next 1 630 units per day; and</w:t>
      </w:r>
    </w:p>
    <w:p>
      <w:pPr>
        <w:pStyle w:val="yIndenti0"/>
      </w:pPr>
      <w:r>
        <w:tab/>
        <w:t>(iii)</w:t>
      </w:r>
      <w:r>
        <w:tab/>
        <w:t>27.3503 cents per unit for all units exceeding 1 650 units per day.</w:t>
      </w:r>
    </w:p>
    <w:p>
      <w:pPr>
        <w:pStyle w:val="yFootnotesection"/>
      </w:pPr>
      <w:r>
        <w:tab/>
        <w:t>[Clause 7 inserted in Gazette 26 Jun 2015 p. 2250; amended in Gazette 28 Jun 2016 p. 2627.]</w:t>
      </w:r>
    </w:p>
    <w:bookmarkEnd w:id="29"/>
    <w:bookmarkEnd w:id="30"/>
    <w:bookmarkEnd w:id="31"/>
    <w:bookmarkEnd w:id="32"/>
    <w:p>
      <w:pPr>
        <w:pStyle w:val="yEdnoteschedule"/>
      </w:pPr>
      <w:r>
        <w:t>[Schedule 2A deleted in Gazette 22 Aug 2014 p. 3021.]</w:t>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Heading2"/>
      </w:pPr>
      <w:bookmarkStart w:id="41" w:name="_Toc423343941"/>
      <w:bookmarkStart w:id="42" w:name="_Toc423344425"/>
      <w:bookmarkStart w:id="43" w:name="_Toc423442521"/>
      <w:bookmarkStart w:id="44" w:name="_Toc455137034"/>
      <w:bookmarkStart w:id="45" w:name="_Toc399137929"/>
      <w:bookmarkStart w:id="46" w:name="_Toc401908216"/>
      <w:bookmarkStart w:id="47" w:name="_Toc416788398"/>
      <w:bookmarkStart w:id="48" w:name="_Toc416788430"/>
      <w:r>
        <w:rPr>
          <w:rStyle w:val="CharSchNo"/>
        </w:rPr>
        <w:t>Schedule 2</w:t>
      </w:r>
      <w:r>
        <w:t> — </w:t>
      </w:r>
      <w:r>
        <w:rPr>
          <w:rStyle w:val="CharSchText"/>
        </w:rPr>
        <w:t>Unmetered supply</w:t>
      </w:r>
      <w:bookmarkEnd w:id="41"/>
      <w:bookmarkEnd w:id="42"/>
      <w:bookmarkEnd w:id="43"/>
      <w:bookmarkEnd w:id="44"/>
    </w:p>
    <w:p>
      <w:pPr>
        <w:pStyle w:val="yShoulderClause"/>
      </w:pPr>
      <w:r>
        <w:t>[bl. 4(2) and (3)]</w:t>
      </w:r>
    </w:p>
    <w:p>
      <w:pPr>
        <w:pStyle w:val="yFootnoteheading"/>
        <w:spacing w:after="120"/>
      </w:pPr>
      <w:r>
        <w:tab/>
        <w:t>[Heading inserted in Gazette 26 Jun 2015 p. 2251.]</w:t>
      </w:r>
    </w:p>
    <w:p>
      <w:pPr>
        <w:pStyle w:val="yHeading3"/>
      </w:pPr>
      <w:bookmarkStart w:id="49" w:name="_Toc423343942"/>
      <w:bookmarkStart w:id="50" w:name="_Toc423344426"/>
      <w:bookmarkStart w:id="51" w:name="_Toc423442522"/>
      <w:bookmarkStart w:id="52" w:name="_Toc455137035"/>
      <w:r>
        <w:rPr>
          <w:rStyle w:val="CharSDivNo"/>
        </w:rPr>
        <w:t>Division 1</w:t>
      </w:r>
      <w:r>
        <w:rPr>
          <w:b w:val="0"/>
        </w:rPr>
        <w:t> — </w:t>
      </w:r>
      <w:r>
        <w:rPr>
          <w:rStyle w:val="CharSDivText"/>
        </w:rPr>
        <w:t>Street lighting</w:t>
      </w:r>
      <w:bookmarkEnd w:id="49"/>
      <w:bookmarkEnd w:id="50"/>
      <w:bookmarkEnd w:id="51"/>
      <w:bookmarkEnd w:id="52"/>
    </w:p>
    <w:p>
      <w:pPr>
        <w:pStyle w:val="yFootnoteheading"/>
        <w:spacing w:after="120"/>
      </w:pPr>
      <w:r>
        <w:tab/>
        <w:t>[Heading inserted in Gazette 26 Jun 2015 p. 2251.]</w:t>
      </w:r>
    </w:p>
    <w:tbl>
      <w:tblPr>
        <w:tblW w:w="7088" w:type="dxa"/>
        <w:tblInd w:w="70" w:type="dxa"/>
        <w:tblLayout w:type="fixed"/>
        <w:tblCellMar>
          <w:left w:w="70" w:type="dxa"/>
          <w:right w:w="70" w:type="dxa"/>
        </w:tblCellMar>
        <w:tblLook w:val="0000" w:firstRow="0" w:lastRow="0" w:firstColumn="0" w:lastColumn="0" w:noHBand="0" w:noVBand="0"/>
      </w:tblPr>
      <w:tblGrid>
        <w:gridCol w:w="709"/>
        <w:gridCol w:w="851"/>
        <w:gridCol w:w="992"/>
        <w:gridCol w:w="1512"/>
        <w:gridCol w:w="1512"/>
        <w:gridCol w:w="1512"/>
      </w:tblGrid>
      <w:tr>
        <w:trPr>
          <w:cantSplit/>
          <w:tblHeader/>
        </w:trPr>
        <w:tc>
          <w:tcPr>
            <w:tcW w:w="709" w:type="dxa"/>
            <w:tcBorders>
              <w:top w:val="single" w:sz="4" w:space="0" w:color="auto"/>
              <w:bottom w:val="single" w:sz="4" w:space="0" w:color="auto"/>
            </w:tcBorders>
          </w:tcPr>
          <w:p>
            <w:pPr>
              <w:pStyle w:val="yTableNAm"/>
            </w:pPr>
            <w:r>
              <w:rPr>
                <w:b/>
                <w:sz w:val="16"/>
                <w:szCs w:val="16"/>
              </w:rPr>
              <w:t>Item</w:t>
            </w:r>
          </w:p>
        </w:tc>
        <w:tc>
          <w:tcPr>
            <w:tcW w:w="851" w:type="dxa"/>
            <w:tcBorders>
              <w:top w:val="single" w:sz="4" w:space="0" w:color="auto"/>
              <w:bottom w:val="single" w:sz="4" w:space="0" w:color="auto"/>
            </w:tcBorders>
          </w:tcPr>
          <w:p>
            <w:pPr>
              <w:pStyle w:val="yTableNAm"/>
            </w:pPr>
            <w:r>
              <w:rPr>
                <w:b/>
                <w:sz w:val="16"/>
                <w:szCs w:val="16"/>
              </w:rPr>
              <w:t>Wattage</w:t>
            </w:r>
          </w:p>
        </w:tc>
        <w:tc>
          <w:tcPr>
            <w:tcW w:w="992" w:type="dxa"/>
            <w:tcBorders>
              <w:top w:val="single" w:sz="4" w:space="0" w:color="auto"/>
              <w:bottom w:val="single" w:sz="4" w:space="0" w:color="auto"/>
            </w:tcBorders>
          </w:tcPr>
          <w:p>
            <w:pPr>
              <w:pStyle w:val="yTableNAm"/>
            </w:pPr>
            <w:r>
              <w:rPr>
                <w:b/>
                <w:sz w:val="16"/>
                <w:szCs w:val="16"/>
              </w:rPr>
              <w:t>Type</w:t>
            </w:r>
          </w:p>
        </w:tc>
        <w:tc>
          <w:tcPr>
            <w:tcW w:w="1512" w:type="dxa"/>
            <w:tcBorders>
              <w:top w:val="single" w:sz="4" w:space="0" w:color="auto"/>
              <w:bottom w:val="single" w:sz="4" w:space="0" w:color="auto"/>
            </w:tcBorders>
          </w:tcPr>
          <w:p>
            <w:pPr>
              <w:pStyle w:val="yTableNAm"/>
            </w:pPr>
            <w:r>
              <w:rPr>
                <w:b/>
                <w:spacing w:val="-4"/>
                <w:sz w:val="16"/>
                <w:szCs w:val="16"/>
              </w:rPr>
              <w:t>Midnight Switch</w:t>
            </w:r>
            <w:r>
              <w:rPr>
                <w:b/>
                <w:spacing w:val="-4"/>
                <w:sz w:val="16"/>
                <w:szCs w:val="16"/>
              </w:rPr>
              <w:noBreakHyphen/>
              <w:t xml:space="preserve">off (Obsolescent) </w:t>
            </w:r>
            <w:r>
              <w:rPr>
                <w:b/>
                <w:spacing w:val="-4"/>
                <w:sz w:val="16"/>
                <w:szCs w:val="16"/>
              </w:rPr>
              <w:br/>
              <w:t>Cents per day</w:t>
            </w:r>
          </w:p>
        </w:tc>
        <w:tc>
          <w:tcPr>
            <w:tcW w:w="1512" w:type="dxa"/>
            <w:tcBorders>
              <w:top w:val="single" w:sz="4" w:space="0" w:color="auto"/>
              <w:bottom w:val="single" w:sz="4" w:space="0" w:color="auto"/>
            </w:tcBorders>
          </w:tcPr>
          <w:p>
            <w:pPr>
              <w:pStyle w:val="yTableNAm"/>
            </w:pPr>
            <w:r>
              <w:rPr>
                <w:b/>
                <w:spacing w:val="-4"/>
                <w:sz w:val="16"/>
                <w:szCs w:val="16"/>
              </w:rPr>
              <w:t>1.15 a.m. Switch</w:t>
            </w:r>
            <w:r>
              <w:rPr>
                <w:b/>
                <w:spacing w:val="-4"/>
                <w:sz w:val="16"/>
                <w:szCs w:val="16"/>
              </w:rPr>
              <w:noBreakHyphen/>
              <w:t>off Cents per day</w:t>
            </w:r>
          </w:p>
        </w:tc>
        <w:tc>
          <w:tcPr>
            <w:tcW w:w="1512" w:type="dxa"/>
            <w:tcBorders>
              <w:top w:val="single" w:sz="4" w:space="0" w:color="auto"/>
              <w:bottom w:val="single" w:sz="4" w:space="0" w:color="auto"/>
            </w:tcBorders>
          </w:tcPr>
          <w:p>
            <w:pPr>
              <w:pStyle w:val="yTableNAm"/>
            </w:pPr>
            <w:r>
              <w:rPr>
                <w:b/>
                <w:spacing w:val="-4"/>
                <w:sz w:val="16"/>
                <w:szCs w:val="16"/>
              </w:rPr>
              <w:t>Dawn Switch</w:t>
            </w:r>
            <w:r>
              <w:rPr>
                <w:b/>
                <w:spacing w:val="-4"/>
                <w:sz w:val="16"/>
                <w:szCs w:val="16"/>
              </w:rPr>
              <w:noBreakHyphen/>
              <w:t>off Cents per day</w:t>
            </w:r>
          </w:p>
        </w:tc>
      </w:tr>
      <w:tr>
        <w:trPr>
          <w:cantSplit/>
        </w:trPr>
        <w:tc>
          <w:tcPr>
            <w:tcW w:w="7088" w:type="dxa"/>
            <w:gridSpan w:val="6"/>
          </w:tcPr>
          <w:p>
            <w:pPr>
              <w:pStyle w:val="yTableNAm"/>
            </w:pPr>
            <w:r>
              <w:rPr>
                <w:b/>
                <w:i/>
                <w:iCs/>
                <w:sz w:val="16"/>
                <w:szCs w:val="16"/>
              </w:rPr>
              <w:t>Street lighting on current offer and for existing services</w:t>
            </w:r>
          </w:p>
        </w:tc>
      </w:tr>
      <w:tr>
        <w:trPr>
          <w:cantSplit/>
        </w:trPr>
        <w:tc>
          <w:tcPr>
            <w:tcW w:w="709"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tcPr>
          <w:p>
            <w:pPr>
              <w:pStyle w:val="yTableNAm"/>
            </w:pPr>
            <w:r>
              <w:rPr>
                <w:sz w:val="16"/>
                <w:szCs w:val="16"/>
              </w:rPr>
              <w:t>34.7217</w:t>
            </w:r>
          </w:p>
        </w:tc>
        <w:tc>
          <w:tcPr>
            <w:tcW w:w="1512" w:type="dxa"/>
          </w:tcPr>
          <w:p>
            <w:pPr>
              <w:pStyle w:val="yTableNAm"/>
            </w:pPr>
            <w:r>
              <w:rPr>
                <w:sz w:val="16"/>
                <w:szCs w:val="16"/>
              </w:rPr>
              <w:t>35.4653</w:t>
            </w:r>
          </w:p>
        </w:tc>
        <w:tc>
          <w:tcPr>
            <w:tcW w:w="1512" w:type="dxa"/>
          </w:tcPr>
          <w:p>
            <w:pPr>
              <w:pStyle w:val="yTableNAm"/>
            </w:pPr>
            <w:r>
              <w:rPr>
                <w:sz w:val="16"/>
                <w:szCs w:val="16"/>
              </w:rPr>
              <w:t>38.1517</w:t>
            </w:r>
          </w:p>
        </w:tc>
      </w:tr>
      <w:tr>
        <w:trPr>
          <w:cantSplit/>
        </w:trPr>
        <w:tc>
          <w:tcPr>
            <w:tcW w:w="709"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tcPr>
          <w:p>
            <w:pPr>
              <w:pStyle w:val="yTableNAm"/>
            </w:pPr>
            <w:r>
              <w:rPr>
                <w:sz w:val="16"/>
                <w:szCs w:val="16"/>
              </w:rPr>
              <w:t>40.8888</w:t>
            </w:r>
          </w:p>
        </w:tc>
        <w:tc>
          <w:tcPr>
            <w:tcW w:w="1512" w:type="dxa"/>
          </w:tcPr>
          <w:p>
            <w:pPr>
              <w:pStyle w:val="yTableNAm"/>
            </w:pPr>
            <w:r>
              <w:rPr>
                <w:sz w:val="16"/>
                <w:szCs w:val="16"/>
              </w:rPr>
              <w:t>41.8013</w:t>
            </w:r>
          </w:p>
        </w:tc>
        <w:tc>
          <w:tcPr>
            <w:tcW w:w="1512" w:type="dxa"/>
          </w:tcPr>
          <w:p>
            <w:pPr>
              <w:pStyle w:val="yTableNAm"/>
            </w:pPr>
            <w:r>
              <w:rPr>
                <w:sz w:val="16"/>
                <w:szCs w:val="16"/>
              </w:rPr>
              <w:t>45.9917</w:t>
            </w:r>
          </w:p>
        </w:tc>
      </w:tr>
      <w:tr>
        <w:trPr>
          <w:cantSplit/>
        </w:trPr>
        <w:tc>
          <w:tcPr>
            <w:tcW w:w="709"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tcPr>
          <w:p>
            <w:pPr>
              <w:pStyle w:val="yTableNAm"/>
            </w:pPr>
            <w:r>
              <w:rPr>
                <w:sz w:val="16"/>
                <w:szCs w:val="16"/>
              </w:rPr>
              <w:t>50.5705</w:t>
            </w:r>
          </w:p>
        </w:tc>
        <w:tc>
          <w:tcPr>
            <w:tcW w:w="1512" w:type="dxa"/>
          </w:tcPr>
          <w:p>
            <w:pPr>
              <w:pStyle w:val="yTableNAm"/>
            </w:pPr>
            <w:r>
              <w:rPr>
                <w:sz w:val="16"/>
                <w:szCs w:val="16"/>
              </w:rPr>
              <w:t>52.2095</w:t>
            </w:r>
          </w:p>
        </w:tc>
        <w:tc>
          <w:tcPr>
            <w:tcW w:w="1512" w:type="dxa"/>
          </w:tcPr>
          <w:p>
            <w:pPr>
              <w:pStyle w:val="yTableNAm"/>
            </w:pPr>
            <w:r>
              <w:rPr>
                <w:sz w:val="16"/>
                <w:szCs w:val="16"/>
              </w:rPr>
              <w:t>58.1231</w:t>
            </w:r>
          </w:p>
        </w:tc>
      </w:tr>
      <w:tr>
        <w:trPr>
          <w:cantSplit/>
        </w:trPr>
        <w:tc>
          <w:tcPr>
            <w:tcW w:w="709"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tcPr>
          <w:p>
            <w:pPr>
              <w:pStyle w:val="yTableNAm"/>
            </w:pPr>
            <w:r>
              <w:rPr>
                <w:sz w:val="16"/>
                <w:szCs w:val="16"/>
              </w:rPr>
              <w:t>51.7532</w:t>
            </w:r>
          </w:p>
        </w:tc>
        <w:tc>
          <w:tcPr>
            <w:tcW w:w="1512" w:type="dxa"/>
          </w:tcPr>
          <w:p>
            <w:pPr>
              <w:pStyle w:val="yTableNAm"/>
            </w:pPr>
            <w:r>
              <w:rPr>
                <w:sz w:val="16"/>
                <w:szCs w:val="16"/>
              </w:rPr>
              <w:t>53.4430</w:t>
            </w:r>
          </w:p>
        </w:tc>
        <w:tc>
          <w:tcPr>
            <w:tcW w:w="1512" w:type="dxa"/>
          </w:tcPr>
          <w:p>
            <w:pPr>
              <w:pStyle w:val="yTableNAm"/>
            </w:pPr>
            <w:r>
              <w:rPr>
                <w:sz w:val="16"/>
                <w:szCs w:val="16"/>
              </w:rPr>
              <w:t>60.2352</w:t>
            </w:r>
          </w:p>
        </w:tc>
      </w:tr>
      <w:tr>
        <w:trPr>
          <w:cantSplit/>
        </w:trPr>
        <w:tc>
          <w:tcPr>
            <w:tcW w:w="709"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62.7528</w:t>
            </w:r>
          </w:p>
        </w:tc>
        <w:tc>
          <w:tcPr>
            <w:tcW w:w="1512" w:type="dxa"/>
          </w:tcPr>
          <w:p>
            <w:pPr>
              <w:pStyle w:val="yTableNAm"/>
            </w:pPr>
            <w:r>
              <w:rPr>
                <w:sz w:val="16"/>
                <w:szCs w:val="16"/>
              </w:rPr>
              <w:t>65.9461</w:t>
            </w:r>
          </w:p>
        </w:tc>
        <w:tc>
          <w:tcPr>
            <w:tcW w:w="1512" w:type="dxa"/>
          </w:tcPr>
          <w:p>
            <w:pPr>
              <w:pStyle w:val="yTableNAm"/>
            </w:pPr>
            <w:r>
              <w:rPr>
                <w:sz w:val="16"/>
                <w:szCs w:val="16"/>
              </w:rPr>
              <w:t>77.8579</w:t>
            </w:r>
          </w:p>
        </w:tc>
      </w:tr>
      <w:tr>
        <w:trPr>
          <w:cantSplit/>
        </w:trPr>
        <w:tc>
          <w:tcPr>
            <w:tcW w:w="709"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92.9631</w:t>
            </w:r>
          </w:p>
        </w:tc>
        <w:tc>
          <w:tcPr>
            <w:tcW w:w="1512" w:type="dxa"/>
          </w:tcPr>
          <w:p>
            <w:pPr>
              <w:pStyle w:val="yTableNAm"/>
            </w:pPr>
            <w:r>
              <w:rPr>
                <w:sz w:val="16"/>
                <w:szCs w:val="16"/>
              </w:rPr>
              <w:t>97.8293</w:t>
            </w:r>
          </w:p>
        </w:tc>
        <w:tc>
          <w:tcPr>
            <w:tcW w:w="1512" w:type="dxa"/>
          </w:tcPr>
          <w:p>
            <w:pPr>
              <w:pStyle w:val="yTableNAm"/>
            </w:pPr>
            <w:r>
              <w:rPr>
                <w:sz w:val="16"/>
                <w:szCs w:val="16"/>
              </w:rPr>
              <w:t>116.4151</w:t>
            </w:r>
          </w:p>
        </w:tc>
      </w:tr>
      <w:tr>
        <w:trPr>
          <w:cantSplit/>
        </w:trPr>
        <w:tc>
          <w:tcPr>
            <w:tcW w:w="709"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47.9009</w:t>
            </w:r>
          </w:p>
        </w:tc>
        <w:tc>
          <w:tcPr>
            <w:tcW w:w="1512" w:type="dxa"/>
          </w:tcPr>
          <w:p>
            <w:pPr>
              <w:pStyle w:val="yTableNAm"/>
            </w:pPr>
            <w:r>
              <w:rPr>
                <w:sz w:val="16"/>
                <w:szCs w:val="16"/>
              </w:rPr>
              <w:t>49.6582</w:t>
            </w:r>
          </w:p>
        </w:tc>
        <w:tc>
          <w:tcPr>
            <w:tcW w:w="1512" w:type="dxa"/>
          </w:tcPr>
          <w:p>
            <w:pPr>
              <w:pStyle w:val="yTableNAm"/>
            </w:pPr>
            <w:r>
              <w:rPr>
                <w:sz w:val="16"/>
                <w:szCs w:val="16"/>
              </w:rPr>
              <w:t>59.4916</w:t>
            </w:r>
          </w:p>
        </w:tc>
      </w:tr>
      <w:tr>
        <w:trPr>
          <w:cantSplit/>
        </w:trPr>
        <w:tc>
          <w:tcPr>
            <w:tcW w:w="709"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tcPr>
          <w:p>
            <w:pPr>
              <w:pStyle w:val="yTableNAm"/>
            </w:pPr>
            <w:r>
              <w:rPr>
                <w:sz w:val="16"/>
                <w:szCs w:val="16"/>
              </w:rPr>
              <w:t>71.0149</w:t>
            </w:r>
          </w:p>
        </w:tc>
        <w:tc>
          <w:tcPr>
            <w:tcW w:w="1512" w:type="dxa"/>
          </w:tcPr>
          <w:p>
            <w:pPr>
              <w:pStyle w:val="yTableNAm"/>
            </w:pPr>
            <w:r>
              <w:rPr>
                <w:sz w:val="16"/>
                <w:szCs w:val="16"/>
              </w:rPr>
              <w:t>74.7998</w:t>
            </w:r>
          </w:p>
        </w:tc>
        <w:tc>
          <w:tcPr>
            <w:tcW w:w="1512" w:type="dxa"/>
          </w:tcPr>
          <w:p>
            <w:pPr>
              <w:pStyle w:val="yTableNAm"/>
            </w:pPr>
            <w:r>
              <w:rPr>
                <w:sz w:val="16"/>
                <w:szCs w:val="16"/>
              </w:rPr>
              <w:t>89.3980</w:t>
            </w:r>
          </w:p>
        </w:tc>
      </w:tr>
      <w:tr>
        <w:trPr>
          <w:cantSplit/>
        </w:trPr>
        <w:tc>
          <w:tcPr>
            <w:tcW w:w="709"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tcPr>
          <w:p>
            <w:pPr>
              <w:pStyle w:val="yTableNAm"/>
            </w:pPr>
            <w:r>
              <w:rPr>
                <w:sz w:val="16"/>
                <w:szCs w:val="16"/>
              </w:rPr>
              <w:t>Not applicable</w:t>
            </w:r>
          </w:p>
        </w:tc>
        <w:tc>
          <w:tcPr>
            <w:tcW w:w="1512" w:type="dxa"/>
          </w:tcPr>
          <w:p>
            <w:pPr>
              <w:pStyle w:val="yTableNAm"/>
            </w:pPr>
            <w:r>
              <w:rPr>
                <w:sz w:val="16"/>
                <w:szCs w:val="16"/>
              </w:rPr>
              <w:t>Not applicable</w:t>
            </w:r>
          </w:p>
        </w:tc>
        <w:tc>
          <w:tcPr>
            <w:tcW w:w="1512" w:type="dxa"/>
          </w:tcPr>
          <w:p>
            <w:pPr>
              <w:pStyle w:val="yTableNAm"/>
            </w:pPr>
            <w:r>
              <w:rPr>
                <w:sz w:val="16"/>
                <w:szCs w:val="16"/>
              </w:rPr>
              <w:t>259.2388</w:t>
            </w:r>
          </w:p>
        </w:tc>
      </w:tr>
      <w:tr>
        <w:trPr>
          <w:cantSplit/>
        </w:trPr>
        <w:tc>
          <w:tcPr>
            <w:tcW w:w="709" w:type="dxa"/>
          </w:tcPr>
          <w:p>
            <w:pPr>
              <w:pStyle w:val="yTableNAm"/>
            </w:pPr>
            <w:r>
              <w:rPr>
                <w:sz w:val="16"/>
                <w:szCs w:val="16"/>
              </w:rPr>
              <w:t>Z.59</w:t>
            </w:r>
          </w:p>
        </w:tc>
        <w:tc>
          <w:tcPr>
            <w:tcW w:w="851" w:type="dxa"/>
          </w:tcPr>
          <w:p>
            <w:pPr>
              <w:pStyle w:val="yTableNAm"/>
            </w:pPr>
            <w:r>
              <w:rPr>
                <w:sz w:val="16"/>
                <w:szCs w:val="16"/>
              </w:rPr>
              <w:t>66</w:t>
            </w:r>
          </w:p>
        </w:tc>
        <w:tc>
          <w:tcPr>
            <w:tcW w:w="992" w:type="dxa"/>
          </w:tcPr>
          <w:p>
            <w:pPr>
              <w:pStyle w:val="yTableNAm"/>
            </w:pPr>
            <w:r>
              <w:rPr>
                <w:sz w:val="16"/>
                <w:szCs w:val="16"/>
              </w:rPr>
              <w:t>LED</w:t>
            </w:r>
          </w:p>
        </w:tc>
        <w:tc>
          <w:tcPr>
            <w:tcW w:w="1512" w:type="dxa"/>
          </w:tcPr>
          <w:p>
            <w:pPr>
              <w:pStyle w:val="yTableNAm"/>
            </w:pPr>
            <w:r>
              <w:rPr>
                <w:sz w:val="16"/>
                <w:szCs w:val="16"/>
              </w:rPr>
              <w:t>35.2947</w:t>
            </w:r>
          </w:p>
        </w:tc>
        <w:tc>
          <w:tcPr>
            <w:tcW w:w="1512" w:type="dxa"/>
          </w:tcPr>
          <w:p>
            <w:pPr>
              <w:pStyle w:val="yTableNAm"/>
            </w:pPr>
            <w:r>
              <w:rPr>
                <w:sz w:val="16"/>
                <w:szCs w:val="16"/>
              </w:rPr>
              <w:t>36.3361</w:t>
            </w:r>
          </w:p>
        </w:tc>
        <w:tc>
          <w:tcPr>
            <w:tcW w:w="1512" w:type="dxa"/>
          </w:tcPr>
          <w:p>
            <w:pPr>
              <w:pStyle w:val="yTableNAm"/>
            </w:pPr>
            <w:r>
              <w:rPr>
                <w:sz w:val="16"/>
                <w:szCs w:val="16"/>
              </w:rPr>
              <w:t>39.3118</w:t>
            </w:r>
          </w:p>
        </w:tc>
      </w:tr>
      <w:tr>
        <w:trPr>
          <w:cantSplit/>
        </w:trPr>
        <w:tc>
          <w:tcPr>
            <w:tcW w:w="709" w:type="dxa"/>
          </w:tcPr>
          <w:p>
            <w:pPr>
              <w:pStyle w:val="yTableNAm"/>
            </w:pPr>
            <w:r>
              <w:rPr>
                <w:sz w:val="16"/>
                <w:szCs w:val="16"/>
              </w:rPr>
              <w:t>Z.60</w:t>
            </w:r>
          </w:p>
        </w:tc>
        <w:tc>
          <w:tcPr>
            <w:tcW w:w="851" w:type="dxa"/>
          </w:tcPr>
          <w:p>
            <w:pPr>
              <w:pStyle w:val="yTableNAm"/>
            </w:pPr>
            <w:r>
              <w:rPr>
                <w:sz w:val="16"/>
                <w:szCs w:val="16"/>
              </w:rPr>
              <w:t>132</w:t>
            </w:r>
          </w:p>
        </w:tc>
        <w:tc>
          <w:tcPr>
            <w:tcW w:w="992" w:type="dxa"/>
          </w:tcPr>
          <w:p>
            <w:pPr>
              <w:pStyle w:val="yTableNAm"/>
            </w:pPr>
            <w:r>
              <w:rPr>
                <w:sz w:val="16"/>
                <w:szCs w:val="16"/>
              </w:rPr>
              <w:t>LED</w:t>
            </w:r>
          </w:p>
        </w:tc>
        <w:tc>
          <w:tcPr>
            <w:tcW w:w="1512" w:type="dxa"/>
          </w:tcPr>
          <w:p>
            <w:pPr>
              <w:pStyle w:val="yTableNAm"/>
            </w:pPr>
            <w:r>
              <w:rPr>
                <w:sz w:val="16"/>
                <w:szCs w:val="16"/>
              </w:rPr>
              <w:t>47.1147</w:t>
            </w:r>
          </w:p>
        </w:tc>
        <w:tc>
          <w:tcPr>
            <w:tcW w:w="1512" w:type="dxa"/>
          </w:tcPr>
          <w:p>
            <w:pPr>
              <w:pStyle w:val="yTableNAm"/>
            </w:pPr>
            <w:r>
              <w:rPr>
                <w:sz w:val="16"/>
                <w:szCs w:val="16"/>
              </w:rPr>
              <w:t>49.3540</w:t>
            </w:r>
          </w:p>
        </w:tc>
        <w:tc>
          <w:tcPr>
            <w:tcW w:w="1512" w:type="dxa"/>
          </w:tcPr>
          <w:p>
            <w:pPr>
              <w:pStyle w:val="yTableNAm"/>
            </w:pPr>
            <w:r>
              <w:rPr>
                <w:sz w:val="16"/>
                <w:szCs w:val="16"/>
              </w:rPr>
              <w:t>59.8570</w:t>
            </w:r>
          </w:p>
        </w:tc>
      </w:tr>
      <w:tr>
        <w:trPr>
          <w:cantSplit/>
        </w:trPr>
        <w:tc>
          <w:tcPr>
            <w:tcW w:w="709" w:type="dxa"/>
          </w:tcPr>
          <w:p>
            <w:pPr>
              <w:pStyle w:val="yTableNAm"/>
            </w:pPr>
            <w:r>
              <w:rPr>
                <w:sz w:val="16"/>
                <w:szCs w:val="16"/>
              </w:rPr>
              <w:t>Z.61</w:t>
            </w:r>
          </w:p>
        </w:tc>
        <w:tc>
          <w:tcPr>
            <w:tcW w:w="851" w:type="dxa"/>
          </w:tcPr>
          <w:p>
            <w:pPr>
              <w:pStyle w:val="yTableNAm"/>
            </w:pPr>
            <w:r>
              <w:rPr>
                <w:sz w:val="16"/>
                <w:szCs w:val="16"/>
              </w:rPr>
              <w:t>198</w:t>
            </w:r>
          </w:p>
        </w:tc>
        <w:tc>
          <w:tcPr>
            <w:tcW w:w="992" w:type="dxa"/>
          </w:tcPr>
          <w:p>
            <w:pPr>
              <w:pStyle w:val="yTableNAm"/>
            </w:pPr>
            <w:r>
              <w:rPr>
                <w:sz w:val="16"/>
                <w:szCs w:val="16"/>
              </w:rPr>
              <w:t>LED</w:t>
            </w:r>
          </w:p>
        </w:tc>
        <w:tc>
          <w:tcPr>
            <w:tcW w:w="1512" w:type="dxa"/>
          </w:tcPr>
          <w:p>
            <w:pPr>
              <w:pStyle w:val="yTableNAm"/>
            </w:pPr>
            <w:r>
              <w:rPr>
                <w:sz w:val="16"/>
                <w:szCs w:val="16"/>
              </w:rPr>
              <w:t>51.3449</w:t>
            </w:r>
          </w:p>
        </w:tc>
        <w:tc>
          <w:tcPr>
            <w:tcW w:w="1512" w:type="dxa"/>
          </w:tcPr>
          <w:p>
            <w:pPr>
              <w:pStyle w:val="yTableNAm"/>
            </w:pPr>
            <w:r>
              <w:rPr>
                <w:sz w:val="16"/>
                <w:szCs w:val="16"/>
              </w:rPr>
              <w:t>54.9891</w:t>
            </w:r>
          </w:p>
        </w:tc>
        <w:tc>
          <w:tcPr>
            <w:tcW w:w="1512" w:type="dxa"/>
          </w:tcPr>
          <w:p>
            <w:pPr>
              <w:pStyle w:val="yTableNAm"/>
            </w:pPr>
            <w:r>
              <w:rPr>
                <w:sz w:val="16"/>
                <w:szCs w:val="16"/>
              </w:rPr>
              <w:t>71.4287</w:t>
            </w:r>
          </w:p>
        </w:tc>
      </w:tr>
      <w:tr>
        <w:trPr>
          <w:cantSplit/>
        </w:trPr>
        <w:tc>
          <w:tcPr>
            <w:tcW w:w="709" w:type="dxa"/>
          </w:tcPr>
          <w:p>
            <w:pPr>
              <w:pStyle w:val="yTableNAm"/>
            </w:pPr>
            <w:r>
              <w:rPr>
                <w:sz w:val="16"/>
                <w:szCs w:val="16"/>
              </w:rPr>
              <w:t>Z.62</w:t>
            </w:r>
          </w:p>
        </w:tc>
        <w:tc>
          <w:tcPr>
            <w:tcW w:w="851" w:type="dxa"/>
          </w:tcPr>
          <w:p>
            <w:pPr>
              <w:pStyle w:val="yTableNAm"/>
            </w:pPr>
            <w:r>
              <w:rPr>
                <w:sz w:val="16"/>
                <w:szCs w:val="16"/>
              </w:rPr>
              <w:t>25</w:t>
            </w:r>
          </w:p>
        </w:tc>
        <w:tc>
          <w:tcPr>
            <w:tcW w:w="992" w:type="dxa"/>
          </w:tcPr>
          <w:p>
            <w:pPr>
              <w:pStyle w:val="yTableNAm"/>
            </w:pPr>
            <w:r>
              <w:rPr>
                <w:sz w:val="16"/>
                <w:szCs w:val="16"/>
              </w:rPr>
              <w:t>LED</w:t>
            </w:r>
          </w:p>
        </w:tc>
        <w:tc>
          <w:tcPr>
            <w:tcW w:w="1512" w:type="dxa"/>
          </w:tcPr>
          <w:p>
            <w:pPr>
              <w:pStyle w:val="yTableNAm"/>
            </w:pPr>
            <w:r>
              <w:rPr>
                <w:sz w:val="16"/>
                <w:szCs w:val="16"/>
              </w:rPr>
              <w:t>32.4998</w:t>
            </w:r>
          </w:p>
        </w:tc>
        <w:tc>
          <w:tcPr>
            <w:tcW w:w="1512" w:type="dxa"/>
          </w:tcPr>
          <w:p>
            <w:pPr>
              <w:pStyle w:val="yTableNAm"/>
            </w:pPr>
            <w:r>
              <w:rPr>
                <w:sz w:val="16"/>
                <w:szCs w:val="16"/>
              </w:rPr>
              <w:t>32.8577</w:t>
            </w:r>
          </w:p>
        </w:tc>
        <w:tc>
          <w:tcPr>
            <w:tcW w:w="1512" w:type="dxa"/>
          </w:tcPr>
          <w:p>
            <w:pPr>
              <w:pStyle w:val="yTableNAm"/>
            </w:pPr>
            <w:r>
              <w:rPr>
                <w:sz w:val="16"/>
                <w:szCs w:val="16"/>
              </w:rPr>
              <w:t>33.2389</w:t>
            </w:r>
          </w:p>
        </w:tc>
      </w:tr>
      <w:tr>
        <w:trPr>
          <w:cantSplit/>
        </w:trPr>
        <w:tc>
          <w:tcPr>
            <w:tcW w:w="7088" w:type="dxa"/>
            <w:gridSpan w:val="6"/>
          </w:tcPr>
          <w:p>
            <w:pPr>
              <w:pStyle w:val="yTableNAm"/>
              <w:keepNext/>
            </w:pPr>
            <w:r>
              <w:rPr>
                <w:b/>
                <w:i/>
                <w:iCs/>
                <w:sz w:val="16"/>
                <w:szCs w:val="16"/>
              </w:rPr>
              <w:t>Street lighting for existing services only</w:t>
            </w:r>
          </w:p>
        </w:tc>
      </w:tr>
      <w:tr>
        <w:trPr>
          <w:cantSplit/>
        </w:trPr>
        <w:tc>
          <w:tcPr>
            <w:tcW w:w="709" w:type="dxa"/>
          </w:tcPr>
          <w:p>
            <w:pPr>
              <w:pStyle w:val="yTableNAm"/>
              <w:keepNext/>
            </w:pPr>
            <w:r>
              <w:rPr>
                <w:sz w:val="16"/>
                <w:szCs w:val="16"/>
              </w:rPr>
              <w:t>Z.05</w:t>
            </w:r>
          </w:p>
        </w:tc>
        <w:tc>
          <w:tcPr>
            <w:tcW w:w="851" w:type="dxa"/>
          </w:tcPr>
          <w:p>
            <w:pPr>
              <w:pStyle w:val="yTableNAm"/>
              <w:keepNext/>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81.3217</w:t>
            </w:r>
          </w:p>
        </w:tc>
        <w:tc>
          <w:tcPr>
            <w:tcW w:w="1512" w:type="dxa"/>
          </w:tcPr>
          <w:p>
            <w:pPr>
              <w:pStyle w:val="yTableNAm"/>
            </w:pPr>
            <w:r>
              <w:rPr>
                <w:sz w:val="16"/>
                <w:szCs w:val="16"/>
              </w:rPr>
              <w:t>84.4982</w:t>
            </w:r>
          </w:p>
        </w:tc>
        <w:tc>
          <w:tcPr>
            <w:tcW w:w="1512" w:type="dxa"/>
          </w:tcPr>
          <w:p>
            <w:pPr>
              <w:pStyle w:val="yTableNAm"/>
            </w:pPr>
            <w:r>
              <w:rPr>
                <w:sz w:val="16"/>
                <w:szCs w:val="16"/>
              </w:rPr>
              <w:t>96.4269</w:t>
            </w:r>
          </w:p>
        </w:tc>
      </w:tr>
      <w:tr>
        <w:trPr>
          <w:cantSplit/>
        </w:trPr>
        <w:tc>
          <w:tcPr>
            <w:tcW w:w="709" w:type="dxa"/>
          </w:tcPr>
          <w:p>
            <w:pPr>
              <w:pStyle w:val="yTableNAm"/>
            </w:pPr>
            <w:r>
              <w:rPr>
                <w:sz w:val="16"/>
                <w:szCs w:val="16"/>
              </w:rPr>
              <w:t>Z.06</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111.5490</w:t>
            </w:r>
          </w:p>
        </w:tc>
        <w:tc>
          <w:tcPr>
            <w:tcW w:w="1512" w:type="dxa"/>
          </w:tcPr>
          <w:p>
            <w:pPr>
              <w:pStyle w:val="yTableNAm"/>
            </w:pPr>
            <w:r>
              <w:rPr>
                <w:sz w:val="16"/>
                <w:szCs w:val="16"/>
              </w:rPr>
              <w:t>116.4151</w:t>
            </w:r>
          </w:p>
        </w:tc>
        <w:tc>
          <w:tcPr>
            <w:tcW w:w="1512" w:type="dxa"/>
          </w:tcPr>
          <w:p>
            <w:pPr>
              <w:pStyle w:val="yTableNAm"/>
            </w:pPr>
            <w:r>
              <w:rPr>
                <w:sz w:val="16"/>
                <w:szCs w:val="16"/>
              </w:rPr>
              <w:t>134.9164</w:t>
            </w:r>
          </w:p>
        </w:tc>
      </w:tr>
      <w:tr>
        <w:trPr>
          <w:cantSplit/>
        </w:trPr>
        <w:tc>
          <w:tcPr>
            <w:tcW w:w="709" w:type="dxa"/>
          </w:tcPr>
          <w:p>
            <w:pPr>
              <w:pStyle w:val="yTableNAm"/>
            </w:pPr>
            <w:r>
              <w:rPr>
                <w:sz w:val="16"/>
                <w:szCs w:val="16"/>
              </w:rPr>
              <w:t>Z.08</w:t>
            </w:r>
          </w:p>
        </w:tc>
        <w:tc>
          <w:tcPr>
            <w:tcW w:w="851" w:type="dxa"/>
          </w:tcPr>
          <w:p>
            <w:pPr>
              <w:pStyle w:val="yTableNAm"/>
            </w:pPr>
            <w:r>
              <w:rPr>
                <w:sz w:val="16"/>
                <w:szCs w:val="16"/>
              </w:rPr>
              <w:t>250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72.0287</w:t>
            </w:r>
          </w:p>
        </w:tc>
        <w:tc>
          <w:tcPr>
            <w:tcW w:w="1512" w:type="dxa"/>
          </w:tcPr>
          <w:p>
            <w:pPr>
              <w:pStyle w:val="yTableNAm"/>
            </w:pPr>
            <w:r>
              <w:rPr>
                <w:sz w:val="16"/>
                <w:szCs w:val="16"/>
              </w:rPr>
              <w:t>75.1715</w:t>
            </w:r>
          </w:p>
        </w:tc>
        <w:tc>
          <w:tcPr>
            <w:tcW w:w="1512" w:type="dxa"/>
          </w:tcPr>
          <w:p>
            <w:pPr>
              <w:pStyle w:val="yTableNAm"/>
            </w:pPr>
            <w:r>
              <w:rPr>
                <w:sz w:val="16"/>
                <w:szCs w:val="16"/>
              </w:rPr>
              <w:t>87.1340</w:t>
            </w:r>
          </w:p>
        </w:tc>
      </w:tr>
      <w:tr>
        <w:trPr>
          <w:cantSplit/>
        </w:trPr>
        <w:tc>
          <w:tcPr>
            <w:tcW w:w="709" w:type="dxa"/>
          </w:tcPr>
          <w:p>
            <w:pPr>
              <w:pStyle w:val="yTableNAm"/>
            </w:pPr>
            <w:r>
              <w:rPr>
                <w:sz w:val="16"/>
                <w:szCs w:val="16"/>
              </w:rPr>
              <w:t>Z.09</w:t>
            </w:r>
          </w:p>
        </w:tc>
        <w:tc>
          <w:tcPr>
            <w:tcW w:w="851" w:type="dxa"/>
          </w:tcPr>
          <w:p>
            <w:pPr>
              <w:pStyle w:val="yTableNAm"/>
            </w:pPr>
            <w:r>
              <w:rPr>
                <w:sz w:val="16"/>
                <w:szCs w:val="16"/>
              </w:rPr>
              <w:t>250</w:t>
            </w:r>
          </w:p>
        </w:tc>
        <w:tc>
          <w:tcPr>
            <w:tcW w:w="992" w:type="dxa"/>
          </w:tcPr>
          <w:p>
            <w:pPr>
              <w:pStyle w:val="yTableNAm"/>
            </w:pPr>
            <w:r>
              <w:rPr>
                <w:sz w:val="16"/>
                <w:szCs w:val="16"/>
              </w:rPr>
              <w:t>Mercury Vapour</w:t>
            </w:r>
            <w:r>
              <w:rPr>
                <w:sz w:val="16"/>
                <w:szCs w:val="16"/>
              </w:rPr>
              <w:br/>
              <w:t>100% E.C. cost</w:t>
            </w:r>
          </w:p>
        </w:tc>
        <w:tc>
          <w:tcPr>
            <w:tcW w:w="1512" w:type="dxa"/>
          </w:tcPr>
          <w:p>
            <w:pPr>
              <w:pStyle w:val="yTableNAm"/>
            </w:pPr>
            <w:r>
              <w:rPr>
                <w:sz w:val="16"/>
                <w:szCs w:val="16"/>
              </w:rPr>
              <w:t>81.3217</w:t>
            </w:r>
          </w:p>
        </w:tc>
        <w:tc>
          <w:tcPr>
            <w:tcW w:w="1512" w:type="dxa"/>
          </w:tcPr>
          <w:p>
            <w:pPr>
              <w:pStyle w:val="yTableNAm"/>
            </w:pPr>
            <w:r>
              <w:rPr>
                <w:sz w:val="16"/>
                <w:szCs w:val="16"/>
              </w:rPr>
              <w:t>84.4982</w:t>
            </w:r>
          </w:p>
        </w:tc>
        <w:tc>
          <w:tcPr>
            <w:tcW w:w="1512" w:type="dxa"/>
          </w:tcPr>
          <w:p>
            <w:pPr>
              <w:pStyle w:val="yTableNAm"/>
            </w:pPr>
            <w:r>
              <w:rPr>
                <w:sz w:val="16"/>
                <w:szCs w:val="16"/>
              </w:rPr>
              <w:t>96.4269</w:t>
            </w:r>
          </w:p>
        </w:tc>
      </w:tr>
      <w:tr>
        <w:trPr>
          <w:cantSplit/>
        </w:trPr>
        <w:tc>
          <w:tcPr>
            <w:tcW w:w="709" w:type="dxa"/>
          </w:tcPr>
          <w:p>
            <w:pPr>
              <w:pStyle w:val="yTableNAm"/>
            </w:pPr>
            <w:r>
              <w:rPr>
                <w:sz w:val="16"/>
                <w:szCs w:val="16"/>
              </w:rPr>
              <w:t>Z.11</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102.2561</w:t>
            </w:r>
          </w:p>
        </w:tc>
        <w:tc>
          <w:tcPr>
            <w:tcW w:w="1512" w:type="dxa"/>
          </w:tcPr>
          <w:p>
            <w:pPr>
              <w:pStyle w:val="yTableNAm"/>
            </w:pPr>
            <w:r>
              <w:rPr>
                <w:sz w:val="16"/>
                <w:szCs w:val="16"/>
              </w:rPr>
              <w:t>107.1392</w:t>
            </w:r>
          </w:p>
        </w:tc>
        <w:tc>
          <w:tcPr>
            <w:tcW w:w="1512" w:type="dxa"/>
          </w:tcPr>
          <w:p>
            <w:pPr>
              <w:pStyle w:val="yTableNAm"/>
            </w:pPr>
            <w:r>
              <w:rPr>
                <w:sz w:val="16"/>
                <w:szCs w:val="16"/>
              </w:rPr>
              <w:t>125.6574</w:t>
            </w:r>
          </w:p>
        </w:tc>
      </w:tr>
      <w:tr>
        <w:trPr>
          <w:cantSplit/>
        </w:trPr>
        <w:tc>
          <w:tcPr>
            <w:tcW w:w="709" w:type="dxa"/>
          </w:tcPr>
          <w:p>
            <w:pPr>
              <w:pStyle w:val="yTableNAm"/>
            </w:pPr>
            <w:r>
              <w:rPr>
                <w:sz w:val="16"/>
                <w:szCs w:val="16"/>
              </w:rPr>
              <w:t>Z.12</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100% E.C. cost</w:t>
            </w:r>
          </w:p>
        </w:tc>
        <w:tc>
          <w:tcPr>
            <w:tcW w:w="1512" w:type="dxa"/>
          </w:tcPr>
          <w:p>
            <w:pPr>
              <w:pStyle w:val="yTableNAm"/>
            </w:pPr>
            <w:r>
              <w:rPr>
                <w:sz w:val="16"/>
                <w:szCs w:val="16"/>
              </w:rPr>
              <w:t>111.5490</w:t>
            </w:r>
          </w:p>
        </w:tc>
        <w:tc>
          <w:tcPr>
            <w:tcW w:w="1512" w:type="dxa"/>
          </w:tcPr>
          <w:p>
            <w:pPr>
              <w:pStyle w:val="yTableNAm"/>
            </w:pPr>
            <w:r>
              <w:rPr>
                <w:sz w:val="16"/>
                <w:szCs w:val="16"/>
              </w:rPr>
              <w:t>116.4151</w:t>
            </w:r>
          </w:p>
        </w:tc>
        <w:tc>
          <w:tcPr>
            <w:tcW w:w="1512" w:type="dxa"/>
          </w:tcPr>
          <w:p>
            <w:pPr>
              <w:pStyle w:val="yTableNAm"/>
            </w:pPr>
            <w:r>
              <w:rPr>
                <w:sz w:val="16"/>
                <w:szCs w:val="16"/>
              </w:rPr>
              <w:t>134.9164</w:t>
            </w:r>
          </w:p>
        </w:tc>
      </w:tr>
      <w:tr>
        <w:trPr>
          <w:cantSplit/>
        </w:trPr>
        <w:tc>
          <w:tcPr>
            <w:tcW w:w="709" w:type="dxa"/>
          </w:tcPr>
          <w:p>
            <w:pPr>
              <w:pStyle w:val="yTableNAm"/>
            </w:pPr>
            <w:r>
              <w:rPr>
                <w:sz w:val="16"/>
                <w:szCs w:val="16"/>
              </w:rPr>
              <w:t>Z.14</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73.9041</w:t>
            </w:r>
          </w:p>
        </w:tc>
        <w:tc>
          <w:tcPr>
            <w:tcW w:w="1512" w:type="dxa"/>
          </w:tcPr>
          <w:p>
            <w:pPr>
              <w:pStyle w:val="yTableNAm"/>
            </w:pPr>
            <w:r>
              <w:rPr>
                <w:sz w:val="16"/>
                <w:szCs w:val="16"/>
              </w:rPr>
              <w:t>75.6275</w:t>
            </w:r>
          </w:p>
        </w:tc>
        <w:tc>
          <w:tcPr>
            <w:tcW w:w="1512" w:type="dxa"/>
          </w:tcPr>
          <w:p>
            <w:pPr>
              <w:pStyle w:val="yTableNAm"/>
            </w:pPr>
            <w:r>
              <w:rPr>
                <w:sz w:val="16"/>
                <w:szCs w:val="16"/>
              </w:rPr>
              <w:t>85.4273</w:t>
            </w:r>
          </w:p>
        </w:tc>
      </w:tr>
      <w:tr>
        <w:trPr>
          <w:cantSplit/>
        </w:trPr>
        <w:tc>
          <w:tcPr>
            <w:tcW w:w="709" w:type="dxa"/>
          </w:tcPr>
          <w:p>
            <w:pPr>
              <w:pStyle w:val="yTableNAm"/>
            </w:pPr>
            <w:r>
              <w:rPr>
                <w:sz w:val="16"/>
                <w:szCs w:val="16"/>
              </w:rPr>
              <w:t>Z.16</w:t>
            </w:r>
          </w:p>
        </w:tc>
        <w:tc>
          <w:tcPr>
            <w:tcW w:w="851" w:type="dxa"/>
          </w:tcPr>
          <w:p>
            <w:pPr>
              <w:pStyle w:val="yTableNAm"/>
            </w:pPr>
            <w:r>
              <w:rPr>
                <w:sz w:val="16"/>
                <w:szCs w:val="16"/>
              </w:rPr>
              <w:t>250</w:t>
            </w:r>
          </w:p>
        </w:tc>
        <w:tc>
          <w:tcPr>
            <w:tcW w:w="992" w:type="dxa"/>
          </w:tcPr>
          <w:p>
            <w:pPr>
              <w:pStyle w:val="yTableNAm"/>
            </w:pPr>
            <w:r>
              <w:rPr>
                <w:sz w:val="16"/>
                <w:szCs w:val="16"/>
              </w:rPr>
              <w:t>High Pressure Sodium</w:t>
            </w:r>
            <w:r>
              <w:rPr>
                <w:sz w:val="16"/>
                <w:szCs w:val="16"/>
              </w:rPr>
              <w:br/>
              <w:t>50% E.C. cost</w:t>
            </w:r>
          </w:p>
        </w:tc>
        <w:tc>
          <w:tcPr>
            <w:tcW w:w="1512" w:type="dxa"/>
          </w:tcPr>
          <w:p>
            <w:pPr>
              <w:pStyle w:val="yTableNAm"/>
            </w:pPr>
            <w:r>
              <w:rPr>
                <w:sz w:val="16"/>
                <w:szCs w:val="16"/>
              </w:rPr>
              <w:t>84.9204</w:t>
            </w:r>
          </w:p>
        </w:tc>
        <w:tc>
          <w:tcPr>
            <w:tcW w:w="1512" w:type="dxa"/>
          </w:tcPr>
          <w:p>
            <w:pPr>
              <w:pStyle w:val="yTableNAm"/>
            </w:pPr>
            <w:r>
              <w:rPr>
                <w:sz w:val="16"/>
                <w:szCs w:val="16"/>
              </w:rPr>
              <w:t>88.7391</w:t>
            </w:r>
          </w:p>
        </w:tc>
        <w:tc>
          <w:tcPr>
            <w:tcW w:w="1512" w:type="dxa"/>
          </w:tcPr>
          <w:p>
            <w:pPr>
              <w:pStyle w:val="yTableNAm"/>
            </w:pPr>
            <w:r>
              <w:rPr>
                <w:sz w:val="16"/>
                <w:szCs w:val="16"/>
              </w:rPr>
              <w:t>103.3036</w:t>
            </w:r>
          </w:p>
        </w:tc>
      </w:tr>
      <w:tr>
        <w:trPr>
          <w:cantSplit/>
        </w:trPr>
        <w:tc>
          <w:tcPr>
            <w:tcW w:w="709" w:type="dxa"/>
          </w:tcPr>
          <w:p>
            <w:pPr>
              <w:pStyle w:val="yTableNAm"/>
            </w:pPr>
            <w:r>
              <w:rPr>
                <w:sz w:val="16"/>
                <w:szCs w:val="16"/>
              </w:rPr>
              <w:t>Z.17</w:t>
            </w:r>
          </w:p>
        </w:tc>
        <w:tc>
          <w:tcPr>
            <w:tcW w:w="851" w:type="dxa"/>
          </w:tcPr>
          <w:p>
            <w:pPr>
              <w:pStyle w:val="yTableNAm"/>
            </w:pPr>
            <w:r>
              <w:rPr>
                <w:sz w:val="16"/>
                <w:szCs w:val="16"/>
              </w:rPr>
              <w:t>250</w:t>
            </w:r>
          </w:p>
        </w:tc>
        <w:tc>
          <w:tcPr>
            <w:tcW w:w="992" w:type="dxa"/>
          </w:tcPr>
          <w:p>
            <w:pPr>
              <w:pStyle w:val="yTableNAm"/>
            </w:pPr>
            <w:r>
              <w:rPr>
                <w:sz w:val="16"/>
                <w:szCs w:val="16"/>
              </w:rPr>
              <w:t xml:space="preserve">High Pressure Sodium </w:t>
            </w:r>
            <w:r>
              <w:rPr>
                <w:sz w:val="16"/>
                <w:szCs w:val="16"/>
              </w:rPr>
              <w:br/>
              <w:t>100% E.C. cost</w:t>
            </w:r>
          </w:p>
        </w:tc>
        <w:tc>
          <w:tcPr>
            <w:tcW w:w="1512" w:type="dxa"/>
          </w:tcPr>
          <w:p>
            <w:pPr>
              <w:pStyle w:val="yTableNAm"/>
            </w:pPr>
            <w:r>
              <w:rPr>
                <w:sz w:val="16"/>
                <w:szCs w:val="16"/>
              </w:rPr>
              <w:t>98.7922</w:t>
            </w:r>
          </w:p>
        </w:tc>
        <w:tc>
          <w:tcPr>
            <w:tcW w:w="1512" w:type="dxa"/>
          </w:tcPr>
          <w:p>
            <w:pPr>
              <w:pStyle w:val="yTableNAm"/>
            </w:pPr>
            <w:r>
              <w:rPr>
                <w:sz w:val="16"/>
                <w:szCs w:val="16"/>
              </w:rPr>
              <w:t>102.6616</w:t>
            </w:r>
          </w:p>
        </w:tc>
        <w:tc>
          <w:tcPr>
            <w:tcW w:w="1512" w:type="dxa"/>
          </w:tcPr>
          <w:p>
            <w:pPr>
              <w:pStyle w:val="yTableNAm"/>
            </w:pPr>
            <w:r>
              <w:rPr>
                <w:sz w:val="16"/>
                <w:szCs w:val="16"/>
              </w:rPr>
              <w:t>117.2430</w:t>
            </w:r>
          </w:p>
        </w:tc>
      </w:tr>
      <w:tr>
        <w:trPr>
          <w:cantSplit/>
        </w:trPr>
        <w:tc>
          <w:tcPr>
            <w:tcW w:w="709" w:type="dxa"/>
          </w:tcPr>
          <w:p>
            <w:pPr>
              <w:pStyle w:val="yTableNAm"/>
            </w:pPr>
            <w:r>
              <w:rPr>
                <w:sz w:val="16"/>
                <w:szCs w:val="16"/>
              </w:rPr>
              <w:t>Z.51</w:t>
            </w:r>
          </w:p>
        </w:tc>
        <w:tc>
          <w:tcPr>
            <w:tcW w:w="851" w:type="dxa"/>
          </w:tcPr>
          <w:p>
            <w:pPr>
              <w:pStyle w:val="yTableNAm"/>
            </w:pPr>
            <w:r>
              <w:rPr>
                <w:sz w:val="16"/>
                <w:szCs w:val="16"/>
              </w:rPr>
              <w:t>60</w:t>
            </w:r>
          </w:p>
        </w:tc>
        <w:tc>
          <w:tcPr>
            <w:tcW w:w="992" w:type="dxa"/>
          </w:tcPr>
          <w:p>
            <w:pPr>
              <w:pStyle w:val="yTableNAm"/>
            </w:pPr>
            <w:r>
              <w:rPr>
                <w:sz w:val="16"/>
                <w:szCs w:val="16"/>
              </w:rPr>
              <w:t>Incandescent</w:t>
            </w:r>
          </w:p>
        </w:tc>
        <w:tc>
          <w:tcPr>
            <w:tcW w:w="1512" w:type="dxa"/>
          </w:tcPr>
          <w:p>
            <w:pPr>
              <w:pStyle w:val="yTableNAm"/>
            </w:pPr>
            <w:r>
              <w:rPr>
                <w:sz w:val="16"/>
                <w:szCs w:val="16"/>
              </w:rPr>
              <w:t>34.7218</w:t>
            </w:r>
          </w:p>
        </w:tc>
        <w:tc>
          <w:tcPr>
            <w:tcW w:w="1512" w:type="dxa"/>
          </w:tcPr>
          <w:p>
            <w:pPr>
              <w:pStyle w:val="yTableNAm"/>
            </w:pPr>
            <w:r>
              <w:rPr>
                <w:sz w:val="16"/>
                <w:szCs w:val="16"/>
              </w:rPr>
              <w:t>35.4652</w:t>
            </w:r>
          </w:p>
        </w:tc>
        <w:tc>
          <w:tcPr>
            <w:tcW w:w="1512" w:type="dxa"/>
          </w:tcPr>
          <w:p>
            <w:pPr>
              <w:pStyle w:val="yTableNAm"/>
            </w:pPr>
            <w:r>
              <w:rPr>
                <w:sz w:val="16"/>
                <w:szCs w:val="16"/>
              </w:rPr>
              <w:t>38.1516</w:t>
            </w:r>
          </w:p>
        </w:tc>
      </w:tr>
      <w:tr>
        <w:trPr>
          <w:cantSplit/>
        </w:trPr>
        <w:tc>
          <w:tcPr>
            <w:tcW w:w="709" w:type="dxa"/>
          </w:tcPr>
          <w:p>
            <w:pPr>
              <w:pStyle w:val="yTableNAm"/>
            </w:pPr>
            <w:r>
              <w:rPr>
                <w:sz w:val="16"/>
                <w:szCs w:val="16"/>
              </w:rPr>
              <w:t>Z.52</w:t>
            </w:r>
          </w:p>
        </w:tc>
        <w:tc>
          <w:tcPr>
            <w:tcW w:w="851" w:type="dxa"/>
          </w:tcPr>
          <w:p>
            <w:pPr>
              <w:pStyle w:val="yTableNAm"/>
            </w:pPr>
            <w:r>
              <w:rPr>
                <w:sz w:val="16"/>
                <w:szCs w:val="16"/>
              </w:rPr>
              <w:t>100</w:t>
            </w:r>
          </w:p>
        </w:tc>
        <w:tc>
          <w:tcPr>
            <w:tcW w:w="992" w:type="dxa"/>
          </w:tcPr>
          <w:p>
            <w:pPr>
              <w:pStyle w:val="yTableNAm"/>
            </w:pPr>
            <w:r>
              <w:rPr>
                <w:sz w:val="16"/>
                <w:szCs w:val="16"/>
              </w:rPr>
              <w:t>Incandescent</w:t>
            </w:r>
          </w:p>
        </w:tc>
        <w:tc>
          <w:tcPr>
            <w:tcW w:w="1512" w:type="dxa"/>
          </w:tcPr>
          <w:p>
            <w:pPr>
              <w:pStyle w:val="yTableNAm"/>
            </w:pPr>
            <w:r>
              <w:rPr>
                <w:sz w:val="16"/>
                <w:szCs w:val="16"/>
              </w:rPr>
              <w:t>34.7217</w:t>
            </w:r>
          </w:p>
        </w:tc>
        <w:tc>
          <w:tcPr>
            <w:tcW w:w="1512" w:type="dxa"/>
          </w:tcPr>
          <w:p>
            <w:pPr>
              <w:pStyle w:val="yTableNAm"/>
            </w:pPr>
            <w:r>
              <w:rPr>
                <w:sz w:val="16"/>
                <w:szCs w:val="16"/>
              </w:rPr>
              <w:t>35.4652</w:t>
            </w:r>
          </w:p>
        </w:tc>
        <w:tc>
          <w:tcPr>
            <w:tcW w:w="1512" w:type="dxa"/>
          </w:tcPr>
          <w:p>
            <w:pPr>
              <w:pStyle w:val="yTableNAm"/>
            </w:pPr>
            <w:r>
              <w:rPr>
                <w:sz w:val="16"/>
                <w:szCs w:val="16"/>
              </w:rPr>
              <w:t>38.1515</w:t>
            </w:r>
          </w:p>
        </w:tc>
      </w:tr>
      <w:tr>
        <w:trPr>
          <w:cantSplit/>
        </w:trPr>
        <w:tc>
          <w:tcPr>
            <w:tcW w:w="709" w:type="dxa"/>
          </w:tcPr>
          <w:p>
            <w:pPr>
              <w:pStyle w:val="yTableNAm"/>
            </w:pPr>
            <w:r>
              <w:rPr>
                <w:sz w:val="16"/>
                <w:szCs w:val="16"/>
              </w:rPr>
              <w:t>Z.53</w:t>
            </w:r>
          </w:p>
        </w:tc>
        <w:tc>
          <w:tcPr>
            <w:tcW w:w="851" w:type="dxa"/>
          </w:tcPr>
          <w:p>
            <w:pPr>
              <w:pStyle w:val="yTableNAm"/>
            </w:pPr>
            <w:r>
              <w:rPr>
                <w:sz w:val="16"/>
                <w:szCs w:val="16"/>
              </w:rPr>
              <w:t>200</w:t>
            </w:r>
          </w:p>
        </w:tc>
        <w:tc>
          <w:tcPr>
            <w:tcW w:w="992" w:type="dxa"/>
          </w:tcPr>
          <w:p>
            <w:pPr>
              <w:pStyle w:val="yTableNAm"/>
            </w:pPr>
            <w:r>
              <w:rPr>
                <w:sz w:val="16"/>
                <w:szCs w:val="16"/>
              </w:rPr>
              <w:t>Incandescent</w:t>
            </w:r>
          </w:p>
        </w:tc>
        <w:tc>
          <w:tcPr>
            <w:tcW w:w="1512" w:type="dxa"/>
          </w:tcPr>
          <w:p>
            <w:pPr>
              <w:pStyle w:val="yTableNAm"/>
            </w:pPr>
            <w:r>
              <w:rPr>
                <w:sz w:val="16"/>
                <w:szCs w:val="16"/>
              </w:rPr>
              <w:t>40.8890</w:t>
            </w:r>
          </w:p>
        </w:tc>
        <w:tc>
          <w:tcPr>
            <w:tcW w:w="1512" w:type="dxa"/>
          </w:tcPr>
          <w:p>
            <w:pPr>
              <w:pStyle w:val="yTableNAm"/>
            </w:pPr>
            <w:r>
              <w:rPr>
                <w:sz w:val="16"/>
                <w:szCs w:val="16"/>
              </w:rPr>
              <w:t>41.8013</w:t>
            </w:r>
          </w:p>
        </w:tc>
        <w:tc>
          <w:tcPr>
            <w:tcW w:w="1512" w:type="dxa"/>
          </w:tcPr>
          <w:p>
            <w:pPr>
              <w:pStyle w:val="yTableNAm"/>
            </w:pPr>
            <w:r>
              <w:rPr>
                <w:sz w:val="16"/>
                <w:szCs w:val="16"/>
              </w:rPr>
              <w:t>45.9917</w:t>
            </w:r>
          </w:p>
        </w:tc>
      </w:tr>
      <w:tr>
        <w:trPr>
          <w:cantSplit/>
        </w:trPr>
        <w:tc>
          <w:tcPr>
            <w:tcW w:w="709" w:type="dxa"/>
          </w:tcPr>
          <w:p>
            <w:pPr>
              <w:pStyle w:val="yTableNAm"/>
            </w:pPr>
            <w:r>
              <w:rPr>
                <w:sz w:val="16"/>
                <w:szCs w:val="16"/>
              </w:rPr>
              <w:t>Z.54</w:t>
            </w:r>
          </w:p>
        </w:tc>
        <w:tc>
          <w:tcPr>
            <w:tcW w:w="851" w:type="dxa"/>
          </w:tcPr>
          <w:p>
            <w:pPr>
              <w:pStyle w:val="yTableNAm"/>
            </w:pPr>
            <w:r>
              <w:rPr>
                <w:sz w:val="16"/>
                <w:szCs w:val="16"/>
              </w:rPr>
              <w:t>300</w:t>
            </w:r>
          </w:p>
        </w:tc>
        <w:tc>
          <w:tcPr>
            <w:tcW w:w="992" w:type="dxa"/>
          </w:tcPr>
          <w:p>
            <w:pPr>
              <w:pStyle w:val="yTableNAm"/>
            </w:pPr>
            <w:r>
              <w:rPr>
                <w:sz w:val="16"/>
                <w:szCs w:val="16"/>
              </w:rPr>
              <w:t>Incandescent</w:t>
            </w:r>
          </w:p>
        </w:tc>
        <w:tc>
          <w:tcPr>
            <w:tcW w:w="1512" w:type="dxa"/>
          </w:tcPr>
          <w:p>
            <w:pPr>
              <w:pStyle w:val="yTableNAm"/>
            </w:pPr>
            <w:r>
              <w:rPr>
                <w:sz w:val="16"/>
                <w:szCs w:val="16"/>
              </w:rPr>
              <w:t>50.5705</w:t>
            </w:r>
          </w:p>
        </w:tc>
        <w:tc>
          <w:tcPr>
            <w:tcW w:w="1512" w:type="dxa"/>
          </w:tcPr>
          <w:p>
            <w:pPr>
              <w:pStyle w:val="yTableNAm"/>
            </w:pPr>
            <w:r>
              <w:rPr>
                <w:sz w:val="16"/>
                <w:szCs w:val="16"/>
              </w:rPr>
              <w:t>52.2093</w:t>
            </w:r>
          </w:p>
        </w:tc>
        <w:tc>
          <w:tcPr>
            <w:tcW w:w="1512" w:type="dxa"/>
          </w:tcPr>
          <w:p>
            <w:pPr>
              <w:pStyle w:val="yTableNAm"/>
            </w:pPr>
            <w:r>
              <w:rPr>
                <w:sz w:val="16"/>
                <w:szCs w:val="16"/>
              </w:rPr>
              <w:t>58.1230</w:t>
            </w:r>
          </w:p>
        </w:tc>
      </w:tr>
      <w:tr>
        <w:trPr>
          <w:cantSplit/>
        </w:trPr>
        <w:tc>
          <w:tcPr>
            <w:tcW w:w="709" w:type="dxa"/>
          </w:tcPr>
          <w:p>
            <w:pPr>
              <w:pStyle w:val="yTableNAm"/>
            </w:pPr>
            <w:r>
              <w:rPr>
                <w:sz w:val="16"/>
                <w:szCs w:val="16"/>
              </w:rPr>
              <w:t>Z.55</w:t>
            </w:r>
          </w:p>
        </w:tc>
        <w:tc>
          <w:tcPr>
            <w:tcW w:w="851" w:type="dxa"/>
          </w:tcPr>
          <w:p>
            <w:pPr>
              <w:pStyle w:val="yTableNAm"/>
            </w:pPr>
            <w:r>
              <w:rPr>
                <w:sz w:val="16"/>
                <w:szCs w:val="16"/>
              </w:rPr>
              <w:t>500</w:t>
            </w:r>
          </w:p>
        </w:tc>
        <w:tc>
          <w:tcPr>
            <w:tcW w:w="992" w:type="dxa"/>
          </w:tcPr>
          <w:p>
            <w:pPr>
              <w:pStyle w:val="yTableNAm"/>
            </w:pPr>
            <w:r>
              <w:rPr>
                <w:sz w:val="16"/>
                <w:szCs w:val="16"/>
              </w:rPr>
              <w:t>Incandescent</w:t>
            </w:r>
          </w:p>
        </w:tc>
        <w:tc>
          <w:tcPr>
            <w:tcW w:w="1512" w:type="dxa"/>
          </w:tcPr>
          <w:p>
            <w:pPr>
              <w:pStyle w:val="yTableNAm"/>
            </w:pPr>
            <w:r>
              <w:rPr>
                <w:sz w:val="16"/>
                <w:szCs w:val="16"/>
              </w:rPr>
              <w:t>81.3216</w:t>
            </w:r>
          </w:p>
        </w:tc>
        <w:tc>
          <w:tcPr>
            <w:tcW w:w="1512" w:type="dxa"/>
          </w:tcPr>
          <w:p>
            <w:pPr>
              <w:pStyle w:val="yTableNAm"/>
            </w:pPr>
            <w:r>
              <w:rPr>
                <w:sz w:val="16"/>
                <w:szCs w:val="16"/>
              </w:rPr>
              <w:t>84.4980</w:t>
            </w:r>
          </w:p>
        </w:tc>
        <w:tc>
          <w:tcPr>
            <w:tcW w:w="1512" w:type="dxa"/>
          </w:tcPr>
          <w:p>
            <w:pPr>
              <w:pStyle w:val="yTableNAm"/>
            </w:pPr>
            <w:r>
              <w:rPr>
                <w:sz w:val="16"/>
                <w:szCs w:val="16"/>
              </w:rPr>
              <w:t>96.4268</w:t>
            </w:r>
          </w:p>
        </w:tc>
      </w:tr>
      <w:tr>
        <w:trPr>
          <w:cantSplit/>
        </w:trPr>
        <w:tc>
          <w:tcPr>
            <w:tcW w:w="709" w:type="dxa"/>
          </w:tcPr>
          <w:p>
            <w:pPr>
              <w:pStyle w:val="yTableNAm"/>
            </w:pPr>
            <w:r>
              <w:rPr>
                <w:sz w:val="16"/>
                <w:szCs w:val="16"/>
              </w:rPr>
              <w:t>Z.56</w:t>
            </w:r>
          </w:p>
        </w:tc>
        <w:tc>
          <w:tcPr>
            <w:tcW w:w="851" w:type="dxa"/>
          </w:tcPr>
          <w:p>
            <w:pPr>
              <w:pStyle w:val="yTableNAm"/>
            </w:pPr>
            <w:r>
              <w:rPr>
                <w:sz w:val="16"/>
                <w:szCs w:val="16"/>
              </w:rPr>
              <w:t>40</w:t>
            </w:r>
          </w:p>
        </w:tc>
        <w:tc>
          <w:tcPr>
            <w:tcW w:w="992" w:type="dxa"/>
          </w:tcPr>
          <w:p>
            <w:pPr>
              <w:pStyle w:val="yTableNAm"/>
            </w:pPr>
            <w:r>
              <w:rPr>
                <w:sz w:val="16"/>
                <w:szCs w:val="16"/>
              </w:rPr>
              <w:t>Fluorescent</w:t>
            </w:r>
          </w:p>
        </w:tc>
        <w:tc>
          <w:tcPr>
            <w:tcW w:w="1512" w:type="dxa"/>
          </w:tcPr>
          <w:p>
            <w:pPr>
              <w:pStyle w:val="yTableNAm"/>
            </w:pPr>
            <w:r>
              <w:rPr>
                <w:sz w:val="16"/>
                <w:szCs w:val="16"/>
              </w:rPr>
              <w:t>34.7217</w:t>
            </w:r>
          </w:p>
        </w:tc>
        <w:tc>
          <w:tcPr>
            <w:tcW w:w="1512" w:type="dxa"/>
          </w:tcPr>
          <w:p>
            <w:pPr>
              <w:pStyle w:val="yTableNAm"/>
            </w:pPr>
            <w:r>
              <w:rPr>
                <w:sz w:val="16"/>
                <w:szCs w:val="16"/>
              </w:rPr>
              <w:t>35.4652</w:t>
            </w:r>
          </w:p>
        </w:tc>
        <w:tc>
          <w:tcPr>
            <w:tcW w:w="1512" w:type="dxa"/>
          </w:tcPr>
          <w:p>
            <w:pPr>
              <w:pStyle w:val="yTableNAm"/>
            </w:pPr>
            <w:r>
              <w:rPr>
                <w:sz w:val="16"/>
                <w:szCs w:val="16"/>
              </w:rPr>
              <w:t>38.1516</w:t>
            </w:r>
          </w:p>
        </w:tc>
      </w:tr>
      <w:tr>
        <w:trPr>
          <w:cantSplit/>
        </w:trPr>
        <w:tc>
          <w:tcPr>
            <w:tcW w:w="709" w:type="dxa"/>
          </w:tcPr>
          <w:p>
            <w:pPr>
              <w:pStyle w:val="yTableNAm"/>
            </w:pPr>
            <w:r>
              <w:rPr>
                <w:sz w:val="16"/>
                <w:szCs w:val="16"/>
              </w:rPr>
              <w:t>Z.57</w:t>
            </w:r>
          </w:p>
        </w:tc>
        <w:tc>
          <w:tcPr>
            <w:tcW w:w="851" w:type="dxa"/>
          </w:tcPr>
          <w:p>
            <w:pPr>
              <w:pStyle w:val="yTableNAm"/>
            </w:pPr>
            <w:r>
              <w:rPr>
                <w:sz w:val="16"/>
                <w:szCs w:val="16"/>
              </w:rPr>
              <w:t>80</w:t>
            </w:r>
          </w:p>
        </w:tc>
        <w:tc>
          <w:tcPr>
            <w:tcW w:w="992" w:type="dxa"/>
          </w:tcPr>
          <w:p>
            <w:pPr>
              <w:pStyle w:val="yTableNAm"/>
            </w:pPr>
            <w:r>
              <w:rPr>
                <w:sz w:val="16"/>
                <w:szCs w:val="16"/>
              </w:rPr>
              <w:t>Fluorescent</w:t>
            </w:r>
          </w:p>
        </w:tc>
        <w:tc>
          <w:tcPr>
            <w:tcW w:w="1512" w:type="dxa"/>
          </w:tcPr>
          <w:p>
            <w:pPr>
              <w:pStyle w:val="yTableNAm"/>
            </w:pPr>
            <w:r>
              <w:rPr>
                <w:sz w:val="16"/>
                <w:szCs w:val="16"/>
              </w:rPr>
              <w:t>40.8888</w:t>
            </w:r>
          </w:p>
        </w:tc>
        <w:tc>
          <w:tcPr>
            <w:tcW w:w="1512" w:type="dxa"/>
          </w:tcPr>
          <w:p>
            <w:pPr>
              <w:pStyle w:val="yTableNAm"/>
            </w:pPr>
            <w:r>
              <w:rPr>
                <w:sz w:val="16"/>
                <w:szCs w:val="16"/>
              </w:rPr>
              <w:t>41.8013</w:t>
            </w:r>
          </w:p>
        </w:tc>
        <w:tc>
          <w:tcPr>
            <w:tcW w:w="1512" w:type="dxa"/>
          </w:tcPr>
          <w:p>
            <w:pPr>
              <w:pStyle w:val="yTableNAm"/>
            </w:pPr>
            <w:r>
              <w:rPr>
                <w:sz w:val="16"/>
                <w:szCs w:val="16"/>
              </w:rPr>
              <w:t>45.9917</w:t>
            </w:r>
          </w:p>
        </w:tc>
      </w:tr>
      <w:tr>
        <w:trPr>
          <w:cantSplit/>
        </w:trPr>
        <w:tc>
          <w:tcPr>
            <w:tcW w:w="709"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992" w:type="dxa"/>
            <w:tcBorders>
              <w:bottom w:val="single" w:sz="4" w:space="0" w:color="auto"/>
            </w:tcBorders>
          </w:tcPr>
          <w:p>
            <w:pPr>
              <w:pStyle w:val="yTableNAm"/>
            </w:pPr>
            <w:r>
              <w:rPr>
                <w:sz w:val="16"/>
                <w:szCs w:val="16"/>
              </w:rPr>
              <w:t>Fluorescent</w:t>
            </w:r>
          </w:p>
        </w:tc>
        <w:tc>
          <w:tcPr>
            <w:tcW w:w="1512" w:type="dxa"/>
            <w:tcBorders>
              <w:bottom w:val="single" w:sz="4" w:space="0" w:color="auto"/>
            </w:tcBorders>
          </w:tcPr>
          <w:p>
            <w:pPr>
              <w:pStyle w:val="yTableNAm"/>
            </w:pPr>
            <w:r>
              <w:rPr>
                <w:sz w:val="16"/>
                <w:szCs w:val="16"/>
              </w:rPr>
              <w:t>57.1940</w:t>
            </w:r>
          </w:p>
        </w:tc>
        <w:tc>
          <w:tcPr>
            <w:tcW w:w="1512" w:type="dxa"/>
            <w:tcBorders>
              <w:bottom w:val="single" w:sz="4" w:space="0" w:color="auto"/>
            </w:tcBorders>
          </w:tcPr>
          <w:p>
            <w:pPr>
              <w:pStyle w:val="yTableNAm"/>
            </w:pPr>
            <w:r>
              <w:rPr>
                <w:sz w:val="16"/>
                <w:szCs w:val="16"/>
              </w:rPr>
              <w:t>57.9878</w:t>
            </w:r>
          </w:p>
        </w:tc>
        <w:tc>
          <w:tcPr>
            <w:tcW w:w="1512" w:type="dxa"/>
            <w:tcBorders>
              <w:bottom w:val="single" w:sz="4" w:space="0" w:color="auto"/>
            </w:tcBorders>
          </w:tcPr>
          <w:p>
            <w:pPr>
              <w:pStyle w:val="yTableNAm"/>
            </w:pPr>
            <w:r>
              <w:rPr>
                <w:sz w:val="16"/>
                <w:szCs w:val="16"/>
              </w:rPr>
              <w:t>67.2807</w:t>
            </w:r>
          </w:p>
        </w:tc>
      </w:tr>
    </w:tbl>
    <w:p>
      <w:pPr>
        <w:pStyle w:val="yFootnotesection"/>
      </w:pPr>
      <w:r>
        <w:tab/>
        <w:t>[Division 1 inserted in Gazette 26 Jun 2015 p. 2251</w:t>
      </w:r>
      <w:r>
        <w:noBreakHyphen/>
        <w:t>2.]</w:t>
      </w:r>
    </w:p>
    <w:p>
      <w:pPr>
        <w:pStyle w:val="yHeading3"/>
        <w:rPr>
          <w:b w:val="0"/>
        </w:rPr>
      </w:pPr>
      <w:bookmarkStart w:id="53" w:name="_Toc423343943"/>
      <w:bookmarkStart w:id="54" w:name="_Toc423344427"/>
      <w:bookmarkStart w:id="55" w:name="_Toc423442523"/>
      <w:bookmarkStart w:id="56" w:name="_Toc455137036"/>
      <w:r>
        <w:rPr>
          <w:rStyle w:val="CharSDivNo"/>
        </w:rPr>
        <w:t>Division 2</w:t>
      </w:r>
      <w:r>
        <w:rPr>
          <w:b w:val="0"/>
        </w:rPr>
        <w:t> — </w:t>
      </w:r>
      <w:r>
        <w:rPr>
          <w:rStyle w:val="CharSDivText"/>
        </w:rPr>
        <w:t>Miscellaneous</w:t>
      </w:r>
      <w:bookmarkEnd w:id="53"/>
      <w:bookmarkEnd w:id="54"/>
      <w:bookmarkEnd w:id="55"/>
      <w:bookmarkEnd w:id="56"/>
    </w:p>
    <w:p>
      <w:pPr>
        <w:pStyle w:val="yFootnoteheading"/>
        <w:spacing w:after="120"/>
      </w:pPr>
      <w:r>
        <w:tab/>
        <w:t>[Heading inserted in Gazette 26 Jun 2015 p. 2252.]</w:t>
      </w:r>
    </w:p>
    <w:p>
      <w:pPr>
        <w:pStyle w:val="yHeading5"/>
      </w:pPr>
      <w:bookmarkStart w:id="57" w:name="_Toc455137037"/>
      <w:r>
        <w:rPr>
          <w:rStyle w:val="CharSClsNo"/>
        </w:rPr>
        <w:t>1</w:t>
      </w:r>
      <w:r>
        <w:t>.</w:t>
      </w:r>
      <w:r>
        <w:tab/>
        <w:t>Traffic light installations</w:t>
      </w:r>
      <w:bookmarkEnd w:id="57"/>
    </w:p>
    <w:p>
      <w:pPr>
        <w:pStyle w:val="ySubsection"/>
      </w:pPr>
      <w:r>
        <w:tab/>
      </w:r>
      <w:r>
        <w:tab/>
        <w:t>Supply of electricity to traffic light installations comprises a charge of $6.0285 per day per kW of installed wattage.</w:t>
      </w:r>
    </w:p>
    <w:p>
      <w:pPr>
        <w:pStyle w:val="yFootnotesection"/>
      </w:pPr>
      <w:r>
        <w:tab/>
        <w:t>[Clause 1 inserted in Gazette 26 Jun 2015 p. 2252.]</w:t>
      </w:r>
    </w:p>
    <w:p>
      <w:pPr>
        <w:pStyle w:val="yHeading5"/>
      </w:pPr>
      <w:bookmarkStart w:id="58" w:name="_Toc455137038"/>
      <w:r>
        <w:rPr>
          <w:rStyle w:val="CharSClsNo"/>
        </w:rPr>
        <w:t>2</w:t>
      </w:r>
      <w:r>
        <w:t>.</w:t>
      </w:r>
      <w:r>
        <w:tab/>
        <w:t>Public telephone facility</w:t>
      </w:r>
      <w:bookmarkEnd w:id="58"/>
    </w:p>
    <w:p>
      <w:pPr>
        <w:pStyle w:val="ySubsection"/>
      </w:pPr>
      <w:r>
        <w:tab/>
      </w:r>
      <w:r>
        <w:tab/>
        <w:t>Supply of electricity to a standard public telephone facility where supply is not independently metered comprises a charge of 52.5370 cents per day.</w:t>
      </w:r>
    </w:p>
    <w:p>
      <w:pPr>
        <w:pStyle w:val="yFootnotesection"/>
      </w:pPr>
      <w:r>
        <w:tab/>
        <w:t>[Clause 2 inserted in Gazette 26 Jun 2015 p. 2252.]</w:t>
      </w:r>
    </w:p>
    <w:p>
      <w:pPr>
        <w:pStyle w:val="yHeading5"/>
      </w:pPr>
      <w:bookmarkStart w:id="59" w:name="_Toc455137039"/>
      <w:r>
        <w:rPr>
          <w:rStyle w:val="CharSClsNo"/>
        </w:rPr>
        <w:t>3</w:t>
      </w:r>
      <w:r>
        <w:t>.</w:t>
      </w:r>
      <w:r>
        <w:tab/>
        <w:t>Railway crossing</w:t>
      </w:r>
      <w:bookmarkEnd w:id="59"/>
    </w:p>
    <w:p>
      <w:pPr>
        <w:pStyle w:val="ySubsection"/>
      </w:pPr>
      <w:r>
        <w:tab/>
      </w:r>
      <w:r>
        <w:tab/>
        <w:t>Supply of electricity to standard railway crossing lights comprises a charge of 67.1387 cents per day.</w:t>
      </w:r>
    </w:p>
    <w:p>
      <w:pPr>
        <w:pStyle w:val="yFootnotesection"/>
      </w:pPr>
      <w:r>
        <w:tab/>
        <w:t>[Clause 3 inserted in Gazette 26 Jun 2015 p. 2252.]</w:t>
      </w:r>
    </w:p>
    <w:bookmarkEnd w:id="45"/>
    <w:bookmarkEnd w:id="46"/>
    <w:bookmarkEnd w:id="47"/>
    <w:bookmarkEnd w:id="48"/>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yScheduleHeading"/>
      </w:pPr>
      <w:bookmarkStart w:id="60" w:name="_Toc399137935"/>
      <w:bookmarkStart w:id="61" w:name="_Toc401908222"/>
      <w:bookmarkStart w:id="62" w:name="_Toc416788404"/>
      <w:bookmarkStart w:id="63" w:name="_Toc416788436"/>
      <w:bookmarkStart w:id="64" w:name="_Toc423343947"/>
      <w:bookmarkStart w:id="65" w:name="_Toc423344431"/>
      <w:bookmarkStart w:id="66" w:name="_Toc423442527"/>
      <w:bookmarkStart w:id="67" w:name="_Toc455137040"/>
      <w:r>
        <w:rPr>
          <w:rStyle w:val="CharSchNo"/>
        </w:rPr>
        <w:t>Schedule 3</w:t>
      </w:r>
      <w:r>
        <w:rPr>
          <w:rStyle w:val="CharSDivNo"/>
        </w:rPr>
        <w:t> </w:t>
      </w:r>
      <w:r>
        <w:t>—</w:t>
      </w:r>
      <w:r>
        <w:rPr>
          <w:rStyle w:val="CharSDivText"/>
        </w:rPr>
        <w:t> </w:t>
      </w:r>
      <w:r>
        <w:rPr>
          <w:rStyle w:val="CharSchText"/>
        </w:rPr>
        <w:t>Meter rentals</w:t>
      </w:r>
      <w:bookmarkEnd w:id="60"/>
      <w:bookmarkEnd w:id="61"/>
      <w:bookmarkEnd w:id="62"/>
      <w:bookmarkEnd w:id="63"/>
      <w:bookmarkEnd w:id="64"/>
      <w:bookmarkEnd w:id="65"/>
      <w:bookmarkEnd w:id="66"/>
      <w:bookmarkEnd w:id="67"/>
    </w:p>
    <w:p>
      <w:pPr>
        <w:pStyle w:val="yShoulderClause"/>
        <w:spacing w:after="60"/>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68" w:name="_Toc455137041"/>
      <w:bookmarkStart w:id="69" w:name="_Toc399137936"/>
      <w:bookmarkStart w:id="70" w:name="_Toc401908223"/>
      <w:bookmarkStart w:id="71" w:name="_Toc416788405"/>
      <w:bookmarkStart w:id="72" w:name="_Toc416788437"/>
      <w:bookmarkStart w:id="73" w:name="_Toc423343948"/>
      <w:bookmarkStart w:id="74" w:name="_Toc423344432"/>
      <w:bookmarkStart w:id="75" w:name="_Toc423442528"/>
      <w:r>
        <w:rPr>
          <w:rStyle w:val="CharSchNo"/>
        </w:rPr>
        <w:t>Schedule 4</w:t>
      </w:r>
      <w:r>
        <w:rPr>
          <w:rStyle w:val="CharSDivNo"/>
        </w:rPr>
        <w:t> </w:t>
      </w:r>
      <w:r>
        <w:t>—</w:t>
      </w:r>
      <w:r>
        <w:rPr>
          <w:rStyle w:val="CharSDivText"/>
        </w:rPr>
        <w:t> </w:t>
      </w:r>
      <w:r>
        <w:rPr>
          <w:rStyle w:val="CharSchText"/>
        </w:rPr>
        <w:t>Fees</w:t>
      </w:r>
      <w:bookmarkEnd w:id="68"/>
    </w:p>
    <w:p>
      <w:pPr>
        <w:pStyle w:val="yShoulderClause"/>
      </w:pPr>
      <w:r>
        <w:t>[bl. 7]</w:t>
      </w:r>
    </w:p>
    <w:p>
      <w:pPr>
        <w:pStyle w:val="yFootnoteheading"/>
        <w:spacing w:after="60"/>
      </w:pPr>
      <w:r>
        <w:tab/>
        <w:t>[Heading inserted in Gazette 28 Jun 2016 p. 2628.]</w:t>
      </w:r>
    </w:p>
    <w:tbl>
      <w:tblPr>
        <w:tblW w:w="0" w:type="auto"/>
        <w:tblInd w:w="85" w:type="dxa"/>
        <w:tblLayout w:type="fixed"/>
        <w:tblCellMar>
          <w:left w:w="85" w:type="dxa"/>
          <w:right w:w="85" w:type="dxa"/>
        </w:tblCellMar>
        <w:tblLook w:val="0000" w:firstRow="0" w:lastRow="0" w:firstColumn="0" w:lastColumn="0" w:noHBand="0" w:noVBand="0"/>
      </w:tblPr>
      <w:tblGrid>
        <w:gridCol w:w="567"/>
        <w:gridCol w:w="5245"/>
        <w:gridCol w:w="1276"/>
      </w:tblGrid>
      <w:tr>
        <w:trPr>
          <w:cantSplit/>
          <w:tblHeader/>
        </w:trPr>
        <w:tc>
          <w:tcPr>
            <w:tcW w:w="567" w:type="dxa"/>
            <w:tcBorders>
              <w:top w:val="single" w:sz="4" w:space="0" w:color="auto"/>
              <w:bottom w:val="single" w:sz="4" w:space="0" w:color="auto"/>
            </w:tcBorders>
          </w:tcPr>
          <w:p>
            <w:pPr>
              <w:pStyle w:val="zyTableNAm"/>
              <w:spacing w:after="80"/>
            </w:pPr>
          </w:p>
        </w:tc>
        <w:tc>
          <w:tcPr>
            <w:tcW w:w="5245" w:type="dxa"/>
            <w:tcBorders>
              <w:top w:val="single" w:sz="4" w:space="0" w:color="auto"/>
              <w:bottom w:val="single" w:sz="4" w:space="0" w:color="auto"/>
            </w:tcBorders>
          </w:tcPr>
          <w:p>
            <w:pPr>
              <w:pStyle w:val="yTableNAm"/>
            </w:pPr>
            <w:r>
              <w:rPr>
                <w:b/>
                <w:iCs/>
              </w:rPr>
              <w:t>Description of fee</w:t>
            </w:r>
          </w:p>
        </w:tc>
        <w:tc>
          <w:tcPr>
            <w:tcW w:w="1276" w:type="dxa"/>
            <w:tcBorders>
              <w:top w:val="single" w:sz="4" w:space="0" w:color="auto"/>
              <w:bottom w:val="single" w:sz="4" w:space="0" w:color="auto"/>
            </w:tcBorders>
          </w:tcPr>
          <w:p>
            <w:pPr>
              <w:pStyle w:val="yTableNAm"/>
            </w:pPr>
            <w:r>
              <w:rPr>
                <w:b/>
                <w:iCs/>
              </w:rPr>
              <w:t>Amount</w:t>
            </w:r>
          </w:p>
        </w:tc>
      </w:tr>
      <w:tr>
        <w:tc>
          <w:tcPr>
            <w:tcW w:w="567" w:type="dxa"/>
            <w:tcBorders>
              <w:top w:val="single" w:sz="4" w:space="0" w:color="auto"/>
            </w:tcBorders>
          </w:tcPr>
          <w:p>
            <w:pPr>
              <w:pStyle w:val="yTableNAm"/>
            </w:pPr>
            <w:r>
              <w:t>1.</w:t>
            </w:r>
          </w:p>
        </w:tc>
        <w:tc>
          <w:tcPr>
            <w:tcW w:w="5245" w:type="dxa"/>
            <w:tcBorders>
              <w:top w:val="single" w:sz="4" w:space="0" w:color="auto"/>
            </w:tcBorders>
          </w:tcPr>
          <w:p>
            <w:pPr>
              <w:pStyle w:val="yTableNAm"/>
              <w:tabs>
                <w:tab w:val="clear" w:pos="567"/>
                <w:tab w:val="right" w:leader="dot" w:pos="5075"/>
              </w:tabs>
            </w:pPr>
            <w:r>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pPr>
            <w:r>
              <w:rPr>
                <w:bCs/>
                <w:iCs/>
              </w:rPr>
              <w:br/>
              <w:t>$34.14</w:t>
            </w:r>
          </w:p>
        </w:tc>
      </w:tr>
      <w:tr>
        <w:tc>
          <w:tcPr>
            <w:tcW w:w="567" w:type="dxa"/>
          </w:tcPr>
          <w:p>
            <w:pPr>
              <w:pStyle w:val="yTableNAm"/>
            </w:pPr>
            <w:r>
              <w:t>2.</w:t>
            </w:r>
          </w:p>
        </w:tc>
        <w:tc>
          <w:tcPr>
            <w:tcW w:w="5245" w:type="dxa"/>
          </w:tcPr>
          <w:p>
            <w:pPr>
              <w:pStyle w:val="yTableNAm"/>
            </w:pPr>
            <w:r>
              <w:t>Three phase residential installation — </w:t>
            </w:r>
          </w:p>
          <w:p>
            <w:pPr>
              <w:pStyle w:val="yTableNAm"/>
              <w:tabs>
                <w:tab w:val="clear" w:pos="567"/>
                <w:tab w:val="left" w:pos="384"/>
                <w:tab w:val="left" w:pos="902"/>
                <w:tab w:val="right" w:leader="dot" w:pos="5075"/>
              </w:tabs>
              <w:ind w:left="919" w:hanging="919"/>
            </w:pPr>
            <w:r>
              <w:tab/>
              <w:t>(a)</w:t>
            </w:r>
            <w:r>
              <w:tab/>
            </w:r>
            <w:r>
              <w:rPr>
                <w:iCs/>
              </w:rPr>
              <w:t>new</w:t>
            </w:r>
            <w:r>
              <w:t xml:space="preserve"> installation or replacement of single phase meter </w:t>
            </w:r>
            <w:r>
              <w:tab/>
            </w:r>
          </w:p>
          <w:p>
            <w:pPr>
              <w:pStyle w:val="yTableNAm"/>
              <w:tabs>
                <w:tab w:val="clear" w:pos="567"/>
                <w:tab w:val="left" w:pos="384"/>
                <w:tab w:val="left" w:pos="902"/>
                <w:tab w:val="right" w:leader="dot" w:pos="5075"/>
              </w:tabs>
              <w:ind w:left="919" w:hanging="919"/>
              <w:rPr>
                <w:b/>
                <w:iCs/>
              </w:rPr>
            </w:pPr>
            <w:r>
              <w:tab/>
              <w:t>(b)</w:t>
            </w:r>
            <w:r>
              <w:tab/>
              <w:t xml:space="preserve">installation of subsidiary three phase meter (each installation) </w:t>
            </w:r>
            <w:r>
              <w:tab/>
            </w:r>
          </w:p>
        </w:tc>
        <w:tc>
          <w:tcPr>
            <w:tcW w:w="1276" w:type="dxa"/>
          </w:tcPr>
          <w:p>
            <w:pPr>
              <w:pStyle w:val="yTableNAm"/>
            </w:pPr>
          </w:p>
          <w:p>
            <w:pPr>
              <w:pStyle w:val="yTableNAm"/>
            </w:pPr>
            <w:r>
              <w:br/>
              <w:t>$585.03</w:t>
            </w:r>
          </w:p>
          <w:p>
            <w:pPr>
              <w:pStyle w:val="yTableNAm"/>
            </w:pPr>
            <w:r>
              <w:rPr>
                <w:sz w:val="24"/>
              </w:rPr>
              <w:br/>
            </w:r>
            <w:r>
              <w:t>$149.99</w:t>
            </w:r>
          </w:p>
        </w:tc>
      </w:tr>
      <w:tr>
        <w:tc>
          <w:tcPr>
            <w:tcW w:w="567" w:type="dxa"/>
          </w:tcPr>
          <w:p>
            <w:pPr>
              <w:pStyle w:val="yTableNAm"/>
            </w:pPr>
            <w:r>
              <w:t>3.</w:t>
            </w:r>
          </w:p>
        </w:tc>
        <w:tc>
          <w:tcPr>
            <w:tcW w:w="5245" w:type="dxa"/>
          </w:tcPr>
          <w:p>
            <w:pPr>
              <w:pStyle w:val="yTableNAm"/>
              <w:tabs>
                <w:tab w:val="clear" w:pos="567"/>
                <w:tab w:val="right" w:leader="dot" w:pos="5075"/>
              </w:tabs>
            </w:pPr>
            <w:r>
              <w:t>Non</w:t>
            </w:r>
            <w:r>
              <w:noBreakHyphen/>
              <w:t>refundable reconnection fee where supply has been terminated for non</w:t>
            </w:r>
            <w:r>
              <w:noBreakHyphen/>
              <w:t>payment of charges or for any other lawful reason</w:t>
            </w:r>
            <w:r>
              <w:tab/>
            </w:r>
          </w:p>
        </w:tc>
        <w:tc>
          <w:tcPr>
            <w:tcW w:w="1276" w:type="dxa"/>
          </w:tcPr>
          <w:p>
            <w:pPr>
              <w:pStyle w:val="yTableNAm"/>
            </w:pPr>
            <w:r>
              <w:rPr>
                <w:bCs/>
                <w:iCs/>
              </w:rPr>
              <w:br/>
            </w:r>
            <w:r>
              <w:rPr>
                <w:bCs/>
                <w:iCs/>
              </w:rPr>
              <w:br/>
              <w:t>$31.41</w:t>
            </w:r>
          </w:p>
        </w:tc>
      </w:tr>
      <w:tr>
        <w:tc>
          <w:tcPr>
            <w:tcW w:w="567" w:type="dxa"/>
          </w:tcPr>
          <w:p>
            <w:pPr>
              <w:pStyle w:val="yTableNAm"/>
            </w:pPr>
            <w:r>
              <w:t>5.</w:t>
            </w:r>
          </w:p>
        </w:tc>
        <w:tc>
          <w:tcPr>
            <w:tcW w:w="5245" w:type="dxa"/>
          </w:tcPr>
          <w:p>
            <w:pPr>
              <w:pStyle w:val="yTableNAm"/>
            </w:pPr>
            <w:r>
              <w:t>Temporary supply connection — </w:t>
            </w:r>
          </w:p>
          <w:p>
            <w:pPr>
              <w:pStyle w:val="yTableNAm"/>
              <w:tabs>
                <w:tab w:val="clear" w:pos="567"/>
                <w:tab w:val="left" w:pos="384"/>
                <w:tab w:val="left" w:pos="902"/>
                <w:tab w:val="right" w:leader="dot" w:pos="5075"/>
              </w:tabs>
              <w:ind w:left="919" w:hanging="919"/>
            </w:pPr>
            <w:r>
              <w:tab/>
              <w:t>(a)</w:t>
            </w:r>
            <w:r>
              <w:tab/>
              <w:t xml:space="preserve">single phase (overhead) </w:t>
            </w:r>
            <w:r>
              <w:tab/>
            </w:r>
          </w:p>
          <w:p>
            <w:pPr>
              <w:pStyle w:val="yTableNAm"/>
              <w:tabs>
                <w:tab w:val="clear" w:pos="567"/>
                <w:tab w:val="left" w:pos="384"/>
                <w:tab w:val="left" w:pos="902"/>
                <w:tab w:val="right" w:leader="dot" w:pos="5075"/>
              </w:tabs>
              <w:ind w:left="919" w:hanging="919"/>
              <w:rPr>
                <w:b/>
                <w:iCs/>
              </w:rPr>
            </w:pPr>
            <w:r>
              <w:tab/>
              <w:t>(b)</w:t>
            </w:r>
            <w:r>
              <w:tab/>
              <w:t xml:space="preserve">three phase (overhead) </w:t>
            </w:r>
            <w:r>
              <w:tab/>
            </w:r>
          </w:p>
        </w:tc>
        <w:tc>
          <w:tcPr>
            <w:tcW w:w="1276" w:type="dxa"/>
          </w:tcPr>
          <w:p>
            <w:pPr>
              <w:pStyle w:val="yTableNAm"/>
            </w:pPr>
          </w:p>
          <w:p>
            <w:pPr>
              <w:pStyle w:val="yTableNAm"/>
            </w:pPr>
            <w:r>
              <w:t>$1 065.38</w:t>
            </w:r>
          </w:p>
          <w:p>
            <w:pPr>
              <w:pStyle w:val="yTableNAm"/>
            </w:pPr>
            <w:r>
              <w:t>$1 065.38</w:t>
            </w:r>
          </w:p>
        </w:tc>
      </w:tr>
      <w:tr>
        <w:tc>
          <w:tcPr>
            <w:tcW w:w="567" w:type="dxa"/>
          </w:tcPr>
          <w:p>
            <w:pPr>
              <w:pStyle w:val="yTableNAm"/>
            </w:pPr>
            <w:r>
              <w:t>6.</w:t>
            </w:r>
          </w:p>
        </w:tc>
        <w:tc>
          <w:tcPr>
            <w:tcW w:w="5245" w:type="dxa"/>
          </w:tcPr>
          <w:p>
            <w:pPr>
              <w:pStyle w:val="yTableNAm"/>
            </w:pPr>
            <w:r>
              <w:t>Meter testing — </w:t>
            </w:r>
          </w:p>
          <w:p>
            <w:pPr>
              <w:pStyle w:val="yTableNAm"/>
              <w:tabs>
                <w:tab w:val="clear" w:pos="567"/>
                <w:tab w:val="left" w:pos="384"/>
                <w:tab w:val="left" w:pos="902"/>
                <w:tab w:val="right" w:leader="dot" w:pos="5075"/>
              </w:tabs>
              <w:ind w:left="919" w:hanging="919"/>
            </w:pPr>
            <w:r>
              <w:tab/>
              <w:t>(a)</w:t>
            </w:r>
            <w:r>
              <w:tab/>
              <w:t xml:space="preserve">standard meter testing fee </w:t>
            </w:r>
            <w:r>
              <w:tab/>
            </w:r>
          </w:p>
          <w:p>
            <w:pPr>
              <w:pStyle w:val="yTableNAm"/>
              <w:tabs>
                <w:tab w:val="clear" w:pos="567"/>
                <w:tab w:val="left" w:pos="384"/>
                <w:tab w:val="left" w:pos="902"/>
                <w:tab w:val="right" w:leader="dot" w:pos="5075"/>
              </w:tabs>
              <w:ind w:left="919" w:hanging="919"/>
            </w:pPr>
            <w:r>
              <w:tab/>
              <w:t>(b)</w:t>
            </w:r>
            <w:r>
              <w:tab/>
              <w:t xml:space="preserve">reduced meter testing fee </w:t>
            </w:r>
            <w:r>
              <w:tab/>
            </w:r>
          </w:p>
        </w:tc>
        <w:tc>
          <w:tcPr>
            <w:tcW w:w="1276" w:type="dxa"/>
          </w:tcPr>
          <w:p>
            <w:pPr>
              <w:pStyle w:val="yTableNAm"/>
            </w:pPr>
          </w:p>
          <w:p>
            <w:pPr>
              <w:pStyle w:val="yTableNAm"/>
            </w:pPr>
            <w:r>
              <w:t>$153.52</w:t>
            </w:r>
          </w:p>
          <w:p>
            <w:pPr>
              <w:pStyle w:val="yTableNAm"/>
            </w:pPr>
            <w:r>
              <w:t>$141.20</w:t>
            </w:r>
          </w:p>
        </w:tc>
      </w:tr>
      <w:tr>
        <w:tc>
          <w:tcPr>
            <w:tcW w:w="567" w:type="dxa"/>
          </w:tcPr>
          <w:p>
            <w:pPr>
              <w:pStyle w:val="yTableNAm"/>
            </w:pPr>
            <w:r>
              <w:t>7.</w:t>
            </w:r>
          </w:p>
        </w:tc>
        <w:tc>
          <w:tcPr>
            <w:tcW w:w="5245" w:type="dxa"/>
          </w:tcPr>
          <w:p>
            <w:pPr>
              <w:pStyle w:val="yTableNAm"/>
              <w:tabs>
                <w:tab w:val="clear" w:pos="567"/>
                <w:tab w:val="right" w:leader="dot" w:pos="5075"/>
              </w:tabs>
            </w:pPr>
            <w:r>
              <w:t xml:space="preserve">Disconnection of </w:t>
            </w:r>
            <w:r>
              <w:rPr>
                <w:iCs/>
              </w:rPr>
              <w:t>overhead</w:t>
            </w:r>
            <w:r>
              <w:t xml:space="preserve"> service </w:t>
            </w:r>
            <w:r>
              <w:rPr>
                <w:iCs/>
              </w:rPr>
              <w:t>leads</w:t>
            </w:r>
            <w:r>
              <w:t xml:space="preserve"> following unauthorised reconnection </w:t>
            </w:r>
            <w:r>
              <w:tab/>
            </w:r>
          </w:p>
        </w:tc>
        <w:tc>
          <w:tcPr>
            <w:tcW w:w="1276" w:type="dxa"/>
          </w:tcPr>
          <w:p>
            <w:pPr>
              <w:pStyle w:val="yTableNAm"/>
            </w:pPr>
            <w:r>
              <w:rPr>
                <w:bCs/>
                <w:iCs/>
              </w:rPr>
              <w:br/>
            </w:r>
            <w:r>
              <w:t>$416.12</w:t>
            </w:r>
          </w:p>
        </w:tc>
      </w:tr>
      <w:tr>
        <w:tc>
          <w:tcPr>
            <w:tcW w:w="567" w:type="dxa"/>
          </w:tcPr>
          <w:p>
            <w:pPr>
              <w:pStyle w:val="yTableNAm"/>
            </w:pPr>
            <w:r>
              <w:t>8.</w:t>
            </w:r>
          </w:p>
        </w:tc>
        <w:tc>
          <w:tcPr>
            <w:tcW w:w="5245" w:type="dxa"/>
          </w:tcPr>
          <w:p>
            <w:pPr>
              <w:pStyle w:val="yTableNAm"/>
              <w:tabs>
                <w:tab w:val="clear" w:pos="567"/>
                <w:tab w:val="right" w:leader="dot" w:pos="5075"/>
              </w:tabs>
            </w:pPr>
            <w:r>
              <w:t xml:space="preserve">Meter reading where reading requested by consumer </w:t>
            </w:r>
            <w:r>
              <w:tab/>
            </w:r>
          </w:p>
        </w:tc>
        <w:tc>
          <w:tcPr>
            <w:tcW w:w="1276" w:type="dxa"/>
          </w:tcPr>
          <w:p>
            <w:pPr>
              <w:pStyle w:val="yTableNAm"/>
            </w:pPr>
            <w:r>
              <w:t>$23.00</w:t>
            </w:r>
          </w:p>
        </w:tc>
      </w:tr>
      <w:tr>
        <w:tc>
          <w:tcPr>
            <w:tcW w:w="567" w:type="dxa"/>
          </w:tcPr>
          <w:p>
            <w:pPr>
              <w:pStyle w:val="yTableNAm"/>
            </w:pPr>
            <w:r>
              <w:t>10.</w:t>
            </w:r>
          </w:p>
        </w:tc>
        <w:tc>
          <w:tcPr>
            <w:tcW w:w="5245" w:type="dxa"/>
          </w:tcPr>
          <w:p>
            <w:pPr>
              <w:pStyle w:val="yTableNAm"/>
              <w:tabs>
                <w:tab w:val="clear" w:pos="567"/>
                <w:tab w:val="right" w:leader="dot" w:pos="5075"/>
              </w:tabs>
            </w:pPr>
            <w:r>
              <w:t xml:space="preserve">Overdue account notices </w:t>
            </w:r>
            <w:r>
              <w:tab/>
            </w:r>
          </w:p>
        </w:tc>
        <w:tc>
          <w:tcPr>
            <w:tcW w:w="1276" w:type="dxa"/>
          </w:tcPr>
          <w:p>
            <w:pPr>
              <w:pStyle w:val="yTableNAm"/>
            </w:pPr>
            <w:r>
              <w:rPr>
                <w:szCs w:val="22"/>
              </w:rPr>
              <w:t>$5.50</w:t>
            </w:r>
          </w:p>
        </w:tc>
      </w:tr>
      <w:tr>
        <w:trPr>
          <w:cantSplit/>
        </w:trPr>
        <w:tc>
          <w:tcPr>
            <w:tcW w:w="567" w:type="dxa"/>
          </w:tcPr>
          <w:p>
            <w:pPr>
              <w:pStyle w:val="yTableNAm"/>
            </w:pPr>
            <w:r>
              <w:t>11.</w:t>
            </w:r>
          </w:p>
        </w:tc>
        <w:tc>
          <w:tcPr>
            <w:tcW w:w="5245" w:type="dxa"/>
          </w:tcPr>
          <w:p>
            <w:pPr>
              <w:pStyle w:val="yTableNAm"/>
              <w:tabs>
                <w:tab w:val="clear" w:pos="567"/>
                <w:tab w:val="right" w:leader="dot" w:pos="5075"/>
              </w:tabs>
            </w:pPr>
            <w:r>
              <w:t xml:space="preserve">Rejected account payment (where payment made through Australia Post) </w:t>
            </w:r>
            <w:r>
              <w:tab/>
            </w:r>
          </w:p>
        </w:tc>
        <w:tc>
          <w:tcPr>
            <w:tcW w:w="1276" w:type="dxa"/>
          </w:tcPr>
          <w:p>
            <w:pPr>
              <w:pStyle w:val="yTableNAm"/>
            </w:pPr>
            <w:r>
              <w:rPr>
                <w:bCs/>
                <w:iCs/>
              </w:rPr>
              <w:br/>
            </w:r>
            <w:r>
              <w:t>$24.44</w:t>
            </w:r>
          </w:p>
        </w:tc>
      </w:tr>
      <w:tr>
        <w:trPr>
          <w:cantSplit/>
        </w:trPr>
        <w:tc>
          <w:tcPr>
            <w:tcW w:w="567" w:type="dxa"/>
          </w:tcPr>
          <w:p>
            <w:pPr>
              <w:pStyle w:val="yTableNAm"/>
              <w:keepNext/>
            </w:pPr>
            <w:r>
              <w:t>12.</w:t>
            </w:r>
          </w:p>
        </w:tc>
        <w:tc>
          <w:tcPr>
            <w:tcW w:w="5245" w:type="dxa"/>
          </w:tcPr>
          <w:p>
            <w:pPr>
              <w:pStyle w:val="yTableNAm"/>
              <w:keepNext/>
            </w:pPr>
            <w:r>
              <w:t>A transaction fee where a consumer makes a payment to the corporation by means of one of the following — </w:t>
            </w:r>
          </w:p>
        </w:tc>
        <w:tc>
          <w:tcPr>
            <w:tcW w:w="1276" w:type="dxa"/>
          </w:tcPr>
          <w:p>
            <w:pPr>
              <w:pStyle w:val="yTableNAm"/>
              <w:keepNext/>
            </w:pPr>
          </w:p>
        </w:tc>
      </w:tr>
      <w:tr>
        <w:trPr>
          <w:cantSplit/>
        </w:trPr>
        <w:tc>
          <w:tcPr>
            <w:tcW w:w="567" w:type="dxa"/>
          </w:tcPr>
          <w:p>
            <w:pPr>
              <w:pStyle w:val="zyTableNAm"/>
            </w:pPr>
          </w:p>
        </w:tc>
        <w:tc>
          <w:tcPr>
            <w:tcW w:w="5245" w:type="dxa"/>
          </w:tcPr>
          <w:p>
            <w:pPr>
              <w:pStyle w:val="yTableNAm"/>
              <w:tabs>
                <w:tab w:val="clear" w:pos="567"/>
                <w:tab w:val="left" w:pos="384"/>
                <w:tab w:val="left" w:pos="902"/>
                <w:tab w:val="right" w:leader="dot" w:pos="5075"/>
              </w:tabs>
              <w:ind w:left="919" w:hanging="919"/>
            </w:pPr>
            <w:r>
              <w:tab/>
              <w:t>(a)</w:t>
            </w:r>
            <w:r>
              <w:tab/>
              <w:t xml:space="preserve">a Visa or a MasterCard credit card or debit card </w:t>
            </w:r>
            <w:r>
              <w:tab/>
            </w:r>
          </w:p>
        </w:tc>
        <w:tc>
          <w:tcPr>
            <w:tcW w:w="1276" w:type="dxa"/>
          </w:tcPr>
          <w:p>
            <w:pPr>
              <w:pStyle w:val="yTableNAm"/>
            </w:pPr>
            <w:r>
              <w:t>0.7% of the amount of the charge</w:t>
            </w:r>
          </w:p>
        </w:tc>
      </w:tr>
      <w:tr>
        <w:trPr>
          <w:cantSplit/>
        </w:trPr>
        <w:tc>
          <w:tcPr>
            <w:tcW w:w="567" w:type="dxa"/>
          </w:tcPr>
          <w:p>
            <w:pPr>
              <w:pStyle w:val="zyTableNAm"/>
              <w:spacing w:after="80"/>
            </w:pPr>
          </w:p>
        </w:tc>
        <w:tc>
          <w:tcPr>
            <w:tcW w:w="5245" w:type="dxa"/>
          </w:tcPr>
          <w:p>
            <w:pPr>
              <w:pStyle w:val="yTableNAm"/>
              <w:tabs>
                <w:tab w:val="clear" w:pos="567"/>
                <w:tab w:val="left" w:pos="384"/>
                <w:tab w:val="left" w:pos="902"/>
                <w:tab w:val="right" w:leader="dot" w:pos="5075"/>
              </w:tabs>
              <w:ind w:left="919" w:hanging="919"/>
            </w:pPr>
            <w:r>
              <w:tab/>
              <w:t>(b)</w:t>
            </w:r>
            <w:r>
              <w:tab/>
              <w:t xml:space="preserve">an American Express credit card </w:t>
            </w:r>
            <w:r>
              <w:tab/>
            </w:r>
          </w:p>
        </w:tc>
        <w:tc>
          <w:tcPr>
            <w:tcW w:w="1276" w:type="dxa"/>
          </w:tcPr>
          <w:p>
            <w:pPr>
              <w:pStyle w:val="yTableNAm"/>
            </w:pPr>
            <w:r>
              <w:t>0.84% of the amount of the charge</w:t>
            </w:r>
          </w:p>
        </w:tc>
      </w:tr>
      <w:tr>
        <w:trPr>
          <w:cantSplit/>
        </w:trPr>
        <w:tc>
          <w:tcPr>
            <w:tcW w:w="567" w:type="dxa"/>
          </w:tcPr>
          <w:p>
            <w:pPr>
              <w:pStyle w:val="yTableNAm"/>
            </w:pPr>
            <w:r>
              <w:t>13.</w:t>
            </w:r>
          </w:p>
        </w:tc>
        <w:tc>
          <w:tcPr>
            <w:tcW w:w="5245" w:type="dxa"/>
          </w:tcPr>
          <w:p>
            <w:pPr>
              <w:pStyle w:val="yTableNAm"/>
              <w:tabs>
                <w:tab w:val="clear" w:pos="567"/>
                <w:tab w:val="right" w:leader="dot" w:pos="5075"/>
              </w:tabs>
            </w:pPr>
            <w:r>
              <w:t xml:space="preserve">Remote configurations </w:t>
            </w:r>
            <w:r>
              <w:tab/>
            </w:r>
          </w:p>
        </w:tc>
        <w:tc>
          <w:tcPr>
            <w:tcW w:w="1276" w:type="dxa"/>
          </w:tcPr>
          <w:p>
            <w:pPr>
              <w:pStyle w:val="yTableNAm"/>
            </w:pPr>
            <w:r>
              <w:t>$25.00</w:t>
            </w:r>
          </w:p>
        </w:tc>
      </w:tr>
      <w:tr>
        <w:trPr>
          <w:cantSplit/>
        </w:trPr>
        <w:tc>
          <w:tcPr>
            <w:tcW w:w="567" w:type="dxa"/>
          </w:tcPr>
          <w:p>
            <w:pPr>
              <w:pStyle w:val="yTableNAm"/>
            </w:pPr>
            <w:r>
              <w:t>14.</w:t>
            </w:r>
          </w:p>
        </w:tc>
        <w:tc>
          <w:tcPr>
            <w:tcW w:w="5245" w:type="dxa"/>
          </w:tcPr>
          <w:p>
            <w:pPr>
              <w:pStyle w:val="yTableNAm"/>
              <w:tabs>
                <w:tab w:val="clear" w:pos="567"/>
                <w:tab w:val="right" w:leader="dot" w:pos="5075"/>
              </w:tabs>
            </w:pPr>
            <w:r>
              <w:t xml:space="preserve">Meter damage fee </w:t>
            </w:r>
            <w:r>
              <w:tab/>
            </w:r>
          </w:p>
        </w:tc>
        <w:tc>
          <w:tcPr>
            <w:tcW w:w="1276" w:type="dxa"/>
          </w:tcPr>
          <w:p>
            <w:pPr>
              <w:pStyle w:val="yTableNAm"/>
            </w:pPr>
            <w:r>
              <w:t>$967.03</w:t>
            </w:r>
          </w:p>
        </w:tc>
      </w:tr>
      <w:tr>
        <w:trPr>
          <w:cantSplit/>
        </w:trPr>
        <w:tc>
          <w:tcPr>
            <w:tcW w:w="567" w:type="dxa"/>
            <w:tcBorders>
              <w:bottom w:val="single" w:sz="4" w:space="0" w:color="auto"/>
            </w:tcBorders>
          </w:tcPr>
          <w:p>
            <w:pPr>
              <w:pStyle w:val="yTableNAm"/>
            </w:pPr>
            <w:r>
              <w:t>15.</w:t>
            </w:r>
          </w:p>
        </w:tc>
        <w:tc>
          <w:tcPr>
            <w:tcW w:w="5245" w:type="dxa"/>
            <w:tcBorders>
              <w:bottom w:val="single" w:sz="4" w:space="0" w:color="auto"/>
            </w:tcBorders>
          </w:tcPr>
          <w:p>
            <w:pPr>
              <w:pStyle w:val="yTableNAm"/>
              <w:tabs>
                <w:tab w:val="clear" w:pos="567"/>
                <w:tab w:val="right" w:leader="dot" w:pos="5075"/>
              </w:tabs>
            </w:pPr>
            <w:r>
              <w:t xml:space="preserve">Remote connection or disconnection </w:t>
            </w:r>
            <w:r>
              <w:tab/>
            </w:r>
          </w:p>
        </w:tc>
        <w:tc>
          <w:tcPr>
            <w:tcW w:w="1276" w:type="dxa"/>
            <w:tcBorders>
              <w:bottom w:val="single" w:sz="4" w:space="0" w:color="auto"/>
            </w:tcBorders>
          </w:tcPr>
          <w:p>
            <w:pPr>
              <w:pStyle w:val="yTableNAm"/>
            </w:pPr>
            <w:r>
              <w:t>$6.00</w:t>
            </w:r>
          </w:p>
        </w:tc>
      </w:tr>
    </w:tbl>
    <w:p>
      <w:pPr>
        <w:pStyle w:val="yFootnotesection"/>
      </w:pPr>
      <w:r>
        <w:tab/>
        <w:t>[Schedule 4 inserted in Gazette 28 Jun 2016 p. 2628.]</w:t>
      </w:r>
    </w:p>
    <w:bookmarkEnd w:id="69"/>
    <w:bookmarkEnd w:id="70"/>
    <w:bookmarkEnd w:id="71"/>
    <w:bookmarkEnd w:id="72"/>
    <w:bookmarkEnd w:id="73"/>
    <w:bookmarkEnd w:id="74"/>
    <w:bookmarkEnd w:id="75"/>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endnotePr>
            <w:numFmt w:val="decimal"/>
          </w:endnotePr>
          <w:pgSz w:w="11907" w:h="16840" w:code="9"/>
          <w:pgMar w:top="2376" w:right="2405" w:bottom="3542" w:left="2405" w:header="706" w:footer="3380" w:gutter="0"/>
          <w:cols w:space="720"/>
          <w:noEndnote/>
          <w:docGrid w:linePitch="326"/>
        </w:sectPr>
      </w:pPr>
    </w:p>
    <w:p>
      <w:pPr>
        <w:pStyle w:val="nHeading2"/>
      </w:pPr>
      <w:bookmarkStart w:id="76" w:name="_Toc399137937"/>
      <w:bookmarkStart w:id="77" w:name="_Toc401908224"/>
      <w:bookmarkStart w:id="78" w:name="_Toc416788406"/>
      <w:bookmarkStart w:id="79" w:name="_Toc416788438"/>
      <w:bookmarkStart w:id="80" w:name="_Toc423343949"/>
      <w:bookmarkStart w:id="81" w:name="_Toc423344433"/>
      <w:bookmarkStart w:id="82" w:name="_Toc423442529"/>
      <w:bookmarkStart w:id="83" w:name="_Toc455137042"/>
      <w:r>
        <w:t>Notes</w:t>
      </w:r>
      <w:bookmarkEnd w:id="76"/>
      <w:bookmarkEnd w:id="77"/>
      <w:bookmarkEnd w:id="78"/>
      <w:bookmarkEnd w:id="79"/>
      <w:bookmarkEnd w:id="80"/>
      <w:bookmarkEnd w:id="81"/>
      <w:bookmarkEnd w:id="82"/>
      <w:bookmarkEnd w:id="83"/>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84" w:name="_Toc401908225"/>
      <w:bookmarkStart w:id="85" w:name="_Toc455137043"/>
      <w:r>
        <w:t>Compilation table</w:t>
      </w:r>
      <w:bookmarkEnd w:id="84"/>
      <w:bookmarkEnd w:id="85"/>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4"/>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rPr>
                <w:i/>
              </w:rPr>
            </w:pPr>
            <w:r>
              <w:rPr>
                <w:i/>
                <w:noProof/>
                <w:snapToGrid w:val="0"/>
              </w:rPr>
              <w:t>Energy Operators (Regional Power Corporation) (Charges) By</w:t>
            </w:r>
            <w:r>
              <w:rPr>
                <w:i/>
                <w:noProof/>
                <w:snapToGrid w:val="0"/>
              </w:rPr>
              <w:noBreakHyphen/>
              <w:t>laws 2006</w:t>
            </w:r>
          </w:p>
        </w:tc>
        <w:tc>
          <w:tcPr>
            <w:tcW w:w="1276" w:type="dxa"/>
          </w:tcPr>
          <w:p>
            <w:pPr>
              <w:pStyle w:val="nTable"/>
              <w:spacing w:after="40"/>
            </w:pPr>
            <w:r>
              <w:t>31 Mar 2006 p. 1279</w:t>
            </w:r>
            <w:r>
              <w:noBreakHyphen/>
              <w:t>97</w:t>
            </w:r>
          </w:p>
        </w:tc>
        <w:tc>
          <w:tcPr>
            <w:tcW w:w="2694" w:type="dxa"/>
          </w:tcPr>
          <w:p>
            <w:pPr>
              <w:pStyle w:val="nTable"/>
              <w:spacing w:after="40"/>
            </w:pPr>
            <w:r>
              <w:t>1 Apr 2006 (see bl. 2)</w:t>
            </w:r>
          </w:p>
        </w:tc>
      </w:tr>
      <w:tr>
        <w:tc>
          <w:tcPr>
            <w:tcW w:w="3119"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2007</w:t>
            </w:r>
          </w:p>
        </w:tc>
        <w:tc>
          <w:tcPr>
            <w:tcW w:w="1276" w:type="dxa"/>
          </w:tcPr>
          <w:p>
            <w:pPr>
              <w:pStyle w:val="nTable"/>
              <w:spacing w:after="40"/>
            </w:pPr>
            <w:r>
              <w:t>29 Jun 2007 p. 3192</w:t>
            </w:r>
            <w:r>
              <w:noBreakHyphen/>
              <w:t>3</w:t>
            </w:r>
          </w:p>
        </w:tc>
        <w:tc>
          <w:tcPr>
            <w:tcW w:w="2694" w:type="dxa"/>
          </w:tcPr>
          <w:p>
            <w:pPr>
              <w:pStyle w:val="nTable"/>
              <w:spacing w:after="40"/>
            </w:pPr>
            <w:r>
              <w:t>bl. 1 and 2: 29 Jun 2007 (see bl. 2(a));</w:t>
            </w:r>
            <w:r>
              <w:br/>
              <w:t>By</w:t>
            </w:r>
            <w:r>
              <w:noBreakHyphen/>
              <w:t>laws other than bl. 1 and 2: 1 Jul 2007 (see bl. 2(b))</w:t>
            </w:r>
          </w:p>
        </w:tc>
      </w:tr>
      <w:tr>
        <w:tc>
          <w:tcPr>
            <w:tcW w:w="3119" w:type="dxa"/>
          </w:tcPr>
          <w:p>
            <w:pPr>
              <w:pStyle w:val="nTable"/>
              <w:spacing w:after="40"/>
              <w:rPr>
                <w:iCs/>
              </w:rPr>
            </w:pPr>
            <w:r>
              <w:rPr>
                <w:i/>
                <w:noProof/>
                <w:snapToGrid w:val="0"/>
              </w:rPr>
              <w:t>Energy Operators (Regional Power Corporation) (Charges) Amendment By</w:t>
            </w:r>
            <w:r>
              <w:rPr>
                <w:i/>
                <w:noProof/>
                <w:snapToGrid w:val="0"/>
              </w:rPr>
              <w:noBreakHyphen/>
              <w:t>laws 2009</w:t>
            </w:r>
            <w:r>
              <w:rPr>
                <w:iCs/>
                <w:noProof/>
                <w:snapToGrid w:val="0"/>
              </w:rPr>
              <w:t xml:space="preserve"> </w:t>
            </w:r>
          </w:p>
        </w:tc>
        <w:tc>
          <w:tcPr>
            <w:tcW w:w="1276" w:type="dxa"/>
          </w:tcPr>
          <w:p>
            <w:pPr>
              <w:pStyle w:val="nTable"/>
              <w:spacing w:after="40"/>
            </w:pPr>
            <w:r>
              <w:t>30 </w:t>
            </w:r>
            <w:r>
              <w:rPr>
                <w:noProof/>
                <w:snapToGrid w:val="0"/>
              </w:rPr>
              <w:t>Mar</w:t>
            </w:r>
            <w:r>
              <w:t> 2009 p. 997</w:t>
            </w:r>
            <w:r>
              <w:noBreakHyphen/>
              <w:t>1017</w:t>
            </w:r>
          </w:p>
        </w:tc>
        <w:tc>
          <w:tcPr>
            <w:tcW w:w="2694" w:type="dxa"/>
          </w:tcPr>
          <w:p>
            <w:pPr>
              <w:pStyle w:val="nTable"/>
              <w:spacing w:after="40"/>
            </w:pPr>
            <w:r>
              <w:rPr>
                <w:iCs/>
                <w:noProof/>
                <w:snapToGrid w:val="0"/>
              </w:rPr>
              <w:t>bl. </w:t>
            </w:r>
            <w:r>
              <w:t>1 and 2: 30 Mar 2009 (see bl. 2(a));</w:t>
            </w:r>
            <w:r>
              <w:br/>
              <w:t>bl. 3 and Pt. 2: 1 Apr 2009 (see bl. 2(b));</w:t>
            </w:r>
            <w:r>
              <w:br/>
              <w:t>Pt. 3: 1 Jul 2009 (see bl. 2(c))</w:t>
            </w:r>
          </w:p>
        </w:tc>
      </w:tr>
      <w:tr>
        <w:trPr>
          <w:cantSplit/>
        </w:trPr>
        <w:tc>
          <w:tcPr>
            <w:tcW w:w="7089" w:type="dxa"/>
            <w:gridSpan w:val="3"/>
          </w:tcPr>
          <w:p>
            <w:pPr>
              <w:pStyle w:val="nTable"/>
              <w:spacing w:after="40"/>
              <w:rPr>
                <w:iCs/>
                <w:noProof/>
                <w:snapToGrid w:val="0"/>
              </w:rPr>
            </w:pPr>
            <w:r>
              <w:rPr>
                <w:b/>
                <w:bCs/>
                <w:iCs/>
                <w:noProof/>
                <w:snapToGrid w:val="0"/>
              </w:rPr>
              <w:t xml:space="preserve">Reprint 1: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16 Oct 2009</w:t>
            </w:r>
            <w:r>
              <w:rPr>
                <w:iCs/>
                <w:noProof/>
                <w:snapToGrid w:val="0"/>
              </w:rPr>
              <w:t xml:space="preserve"> (includes amendments listed above)</w:t>
            </w:r>
          </w:p>
        </w:tc>
      </w:tr>
      <w:tr>
        <w:tc>
          <w:tcPr>
            <w:tcW w:w="3119" w:type="dxa"/>
          </w:tcPr>
          <w:p>
            <w:pPr>
              <w:pStyle w:val="nTable"/>
              <w:spacing w:after="40"/>
              <w:rPr>
                <w:iCs/>
              </w:rPr>
            </w:pPr>
            <w:r>
              <w:rPr>
                <w:i/>
                <w:noProof/>
                <w:snapToGrid w:val="0"/>
              </w:rPr>
              <w:t>Energy Operators (Regional Power Corporation) (Charges) Amendment By</w:t>
            </w:r>
            <w:r>
              <w:rPr>
                <w:i/>
                <w:noProof/>
                <w:snapToGrid w:val="0"/>
              </w:rPr>
              <w:noBreakHyphen/>
              <w:t>laws 2010</w:t>
            </w:r>
            <w:r>
              <w:rPr>
                <w:iCs/>
                <w:noProof/>
                <w:snapToGrid w:val="0"/>
              </w:rPr>
              <w:t xml:space="preserve"> </w:t>
            </w:r>
          </w:p>
        </w:tc>
        <w:tc>
          <w:tcPr>
            <w:tcW w:w="1276" w:type="dxa"/>
          </w:tcPr>
          <w:p>
            <w:pPr>
              <w:pStyle w:val="nTable"/>
              <w:spacing w:after="40"/>
            </w:pPr>
            <w:r>
              <w:t>26 Mar 2010 p. 1171-89</w:t>
            </w:r>
          </w:p>
        </w:tc>
        <w:tc>
          <w:tcPr>
            <w:tcW w:w="2694" w:type="dxa"/>
          </w:tcPr>
          <w:p>
            <w:pPr>
              <w:pStyle w:val="nTable"/>
              <w:spacing w:after="40"/>
            </w:pPr>
            <w:r>
              <w:t>Pt. 1: 26 Mar 2010 (see bl. 2(a));</w:t>
            </w:r>
            <w:r>
              <w:br/>
              <w:t>Pt. 2: 1 Apr 2010 (see bl. 2(b));</w:t>
            </w:r>
            <w:r>
              <w:br/>
              <w:t>Pt. 3: 1 Jul 2010 (see bl. 2(c))</w:t>
            </w:r>
          </w:p>
        </w:tc>
      </w:tr>
      <w:tr>
        <w:tc>
          <w:tcPr>
            <w:tcW w:w="3119"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2011</w:t>
            </w:r>
          </w:p>
        </w:tc>
        <w:tc>
          <w:tcPr>
            <w:tcW w:w="1276" w:type="dxa"/>
          </w:tcPr>
          <w:p>
            <w:pPr>
              <w:pStyle w:val="nTable"/>
              <w:spacing w:after="40"/>
            </w:pPr>
            <w:r>
              <w:t>24 Jun 2011 p. 2495</w:t>
            </w:r>
            <w:r>
              <w:noBreakHyphen/>
              <w:t>8</w:t>
            </w:r>
          </w:p>
        </w:tc>
        <w:tc>
          <w:tcPr>
            <w:tcW w:w="2694" w:type="dxa"/>
          </w:tcPr>
          <w:p>
            <w:pPr>
              <w:pStyle w:val="nTable"/>
              <w:spacing w:after="40"/>
            </w:pPr>
            <w:r>
              <w:t>bl. 1 and 2: 24 Jun 2011 (see bl. 2(a));</w:t>
            </w:r>
            <w:r>
              <w:br/>
              <w:t>By</w:t>
            </w:r>
            <w:r>
              <w:noBreakHyphen/>
              <w:t>laws other than bl. 1 and 2: 1 Jul 2011 (see bl. 2(b))</w:t>
            </w:r>
          </w:p>
        </w:tc>
      </w:tr>
      <w:tr>
        <w:tc>
          <w:tcPr>
            <w:tcW w:w="3119" w:type="dxa"/>
          </w:tcPr>
          <w:p>
            <w:pPr>
              <w:pStyle w:val="nTable"/>
              <w:spacing w:after="40"/>
              <w:rPr>
                <w:i/>
                <w:noProof/>
                <w:snapToGrid w:val="0"/>
              </w:rPr>
            </w:pPr>
            <w:r>
              <w:rPr>
                <w:i/>
                <w:noProof/>
                <w:snapToGrid w:val="0"/>
              </w:rPr>
              <w:t>Energy Operators (Regional Power Corporation) (Charges) Amendment By laws 2012</w:t>
            </w:r>
          </w:p>
        </w:tc>
        <w:tc>
          <w:tcPr>
            <w:tcW w:w="1276" w:type="dxa"/>
          </w:tcPr>
          <w:p>
            <w:pPr>
              <w:pStyle w:val="nTable"/>
              <w:spacing w:after="40"/>
            </w:pPr>
            <w:r>
              <w:t>29 Jun 2012 p. 2899-911</w:t>
            </w:r>
          </w:p>
        </w:tc>
        <w:tc>
          <w:tcPr>
            <w:tcW w:w="2694" w:type="dxa"/>
          </w:tcPr>
          <w:p>
            <w:pPr>
              <w:pStyle w:val="nTable"/>
              <w:spacing w:after="40"/>
            </w:pPr>
            <w:r>
              <w:t>bl. 1 and 2: 29 Jun 2012 (see bl. 2(a));</w:t>
            </w:r>
            <w:r>
              <w:br/>
              <w:t>By</w:t>
            </w:r>
            <w:r>
              <w:noBreakHyphen/>
              <w:t>laws other than bl. 1 and 2: 1 Jul 2012 (see bl. 2(b))</w:t>
            </w:r>
          </w:p>
        </w:tc>
      </w:tr>
      <w:tr>
        <w:tc>
          <w:tcPr>
            <w:tcW w:w="3119" w:type="dxa"/>
          </w:tcPr>
          <w:p>
            <w:pPr>
              <w:pStyle w:val="nTable"/>
              <w:spacing w:after="40"/>
              <w:rPr>
                <w:i/>
                <w:noProof/>
                <w:snapToGrid w:val="0"/>
              </w:rPr>
            </w:pPr>
            <w:r>
              <w:rPr>
                <w:i/>
                <w:noProof/>
                <w:snapToGrid w:val="0"/>
              </w:rPr>
              <w:t>Energy Operators (Regional Power Corporation) (Charges) Amendment By laws (No. 2) 2012</w:t>
            </w:r>
          </w:p>
        </w:tc>
        <w:tc>
          <w:tcPr>
            <w:tcW w:w="1276" w:type="dxa"/>
          </w:tcPr>
          <w:p>
            <w:pPr>
              <w:pStyle w:val="nTable"/>
              <w:spacing w:after="40"/>
            </w:pPr>
            <w:r>
              <w:t>21 Sep 2012 p. 4423</w:t>
            </w:r>
          </w:p>
        </w:tc>
        <w:tc>
          <w:tcPr>
            <w:tcW w:w="2694" w:type="dxa"/>
          </w:tcPr>
          <w:p>
            <w:pPr>
              <w:pStyle w:val="nTable"/>
              <w:spacing w:after="40"/>
            </w:pPr>
            <w:r>
              <w:t>bl. 1 and 2: 21 Sep 2012 (see bl. 2(a));</w:t>
            </w:r>
            <w:r>
              <w:br/>
              <w:t>By</w:t>
            </w:r>
            <w:r>
              <w:noBreakHyphen/>
              <w:t>laws other than bl. 1 and 2: 1 Oct 2012 (see bl. 2(b))</w:t>
            </w:r>
          </w:p>
        </w:tc>
      </w:tr>
      <w:tr>
        <w:tc>
          <w:tcPr>
            <w:tcW w:w="3119" w:type="dxa"/>
          </w:tcPr>
          <w:p>
            <w:pPr>
              <w:pStyle w:val="nTable"/>
              <w:spacing w:after="40"/>
              <w:rPr>
                <w:i/>
                <w:noProof/>
                <w:snapToGrid w:val="0"/>
              </w:rPr>
            </w:pPr>
            <w:r>
              <w:rPr>
                <w:i/>
                <w:noProof/>
                <w:snapToGrid w:val="0"/>
              </w:rPr>
              <w:t>Energy Operators (Regional Power Corporation) (Charges) Amendment By-laws 2013</w:t>
            </w:r>
          </w:p>
        </w:tc>
        <w:tc>
          <w:tcPr>
            <w:tcW w:w="1276" w:type="dxa"/>
          </w:tcPr>
          <w:p>
            <w:pPr>
              <w:pStyle w:val="nTable"/>
              <w:spacing w:after="40"/>
            </w:pPr>
            <w:r>
              <w:t>14 Jun 2013 p. 2223-7</w:t>
            </w:r>
          </w:p>
        </w:tc>
        <w:tc>
          <w:tcPr>
            <w:tcW w:w="2694" w:type="dxa"/>
          </w:tcPr>
          <w:p>
            <w:pPr>
              <w:pStyle w:val="nTable"/>
              <w:spacing w:after="40"/>
            </w:pPr>
            <w:r>
              <w:t>bl. 1 and 2: 14 Jun 2013 (see bl. 2(a));</w:t>
            </w:r>
            <w:r>
              <w:br/>
              <w:t>By</w:t>
            </w:r>
            <w:r>
              <w:noBreakHyphen/>
              <w:t>laws other than bl. 1 and 2: 1 Jul 2013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2013</w:t>
            </w:r>
          </w:p>
        </w:tc>
        <w:tc>
          <w:tcPr>
            <w:tcW w:w="1276" w:type="dxa"/>
            <w:shd w:val="clear" w:color="auto" w:fill="auto"/>
          </w:tcPr>
          <w:p>
            <w:pPr>
              <w:pStyle w:val="nTable"/>
              <w:keepNext/>
              <w:keepLines/>
              <w:spacing w:after="40"/>
            </w:pPr>
            <w:r>
              <w:t>30 Aug 2013 p. 4093-6</w:t>
            </w:r>
          </w:p>
        </w:tc>
        <w:tc>
          <w:tcPr>
            <w:tcW w:w="2694" w:type="dxa"/>
            <w:shd w:val="clear" w:color="auto" w:fill="auto"/>
          </w:tcPr>
          <w:p>
            <w:pPr>
              <w:pStyle w:val="nTable"/>
              <w:keepNext/>
              <w:keepLines/>
              <w:spacing w:after="40"/>
            </w:pPr>
            <w:r>
              <w:t>bl. 1 and 2: 30 Aug 2013 (see bl. 2(a));</w:t>
            </w:r>
            <w:r>
              <w:br/>
              <w:t>By</w:t>
            </w:r>
            <w:r>
              <w:noBreakHyphen/>
              <w:t>laws other than bl. 1 and 2: 1 Sep 2013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2014</w:t>
            </w:r>
          </w:p>
        </w:tc>
        <w:tc>
          <w:tcPr>
            <w:tcW w:w="1276" w:type="dxa"/>
            <w:shd w:val="clear" w:color="auto" w:fill="auto"/>
          </w:tcPr>
          <w:p>
            <w:pPr>
              <w:pStyle w:val="nTable"/>
              <w:keepNext/>
              <w:keepLines/>
              <w:spacing w:after="40"/>
            </w:pPr>
            <w:r>
              <w:t>27 Jun 2014 p. 2319-26</w:t>
            </w:r>
          </w:p>
        </w:tc>
        <w:tc>
          <w:tcPr>
            <w:tcW w:w="2694" w:type="dxa"/>
            <w:shd w:val="clear" w:color="auto" w:fill="auto"/>
          </w:tcPr>
          <w:p>
            <w:pPr>
              <w:pStyle w:val="nTable"/>
              <w:keepNext/>
              <w:keepLines/>
              <w:spacing w:after="40"/>
            </w:pPr>
            <w:r>
              <w:t>bl. 1 and 2: 27 Jun 2014 (see bl. 2(a));</w:t>
            </w:r>
            <w:r>
              <w:br/>
              <w:t>By</w:t>
            </w:r>
            <w:r>
              <w:noBreakHyphen/>
              <w:t>laws other than bl. 1 and 2: 1 Jul 2014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2014</w:t>
            </w:r>
          </w:p>
        </w:tc>
        <w:tc>
          <w:tcPr>
            <w:tcW w:w="1276" w:type="dxa"/>
            <w:shd w:val="clear" w:color="auto" w:fill="auto"/>
          </w:tcPr>
          <w:p>
            <w:pPr>
              <w:pStyle w:val="nTable"/>
              <w:keepNext/>
              <w:keepLines/>
              <w:spacing w:after="40"/>
            </w:pPr>
            <w:r>
              <w:t>22 Aug 2014 p. 3017</w:t>
            </w:r>
            <w:r>
              <w:noBreakHyphen/>
              <w:t>23</w:t>
            </w:r>
          </w:p>
        </w:tc>
        <w:tc>
          <w:tcPr>
            <w:tcW w:w="2694" w:type="dxa"/>
            <w:shd w:val="clear" w:color="auto" w:fill="auto"/>
          </w:tcPr>
          <w:p>
            <w:pPr>
              <w:pStyle w:val="nTable"/>
              <w:keepNext/>
              <w:keepLines/>
              <w:spacing w:after="40"/>
            </w:pPr>
            <w:r>
              <w:t>bl. 1 and 2: 22 Aug 2014 (see bl. 2(a));</w:t>
            </w:r>
            <w:r>
              <w:br/>
              <w:t>By</w:t>
            </w:r>
            <w:r>
              <w:noBreakHyphen/>
              <w:t>laws other than bl. 1 and 2: 1 Sep 2014 (see bl. 2(b))</w:t>
            </w:r>
          </w:p>
        </w:tc>
      </w:tr>
      <w:tr>
        <w:tc>
          <w:tcPr>
            <w:tcW w:w="7089" w:type="dxa"/>
            <w:gridSpan w:val="3"/>
            <w:shd w:val="clear" w:color="auto" w:fill="auto"/>
          </w:tcPr>
          <w:p>
            <w:pPr>
              <w:pStyle w:val="nTable"/>
              <w:keepNext/>
              <w:keepLines/>
              <w:spacing w:after="40"/>
            </w:pPr>
            <w:r>
              <w:rPr>
                <w:b/>
                <w:bCs/>
                <w:iCs/>
                <w:noProof/>
                <w:snapToGrid w:val="0"/>
              </w:rPr>
              <w:t xml:space="preserve">Reprint 2: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3 Oct 2014</w:t>
            </w:r>
            <w:r>
              <w:rPr>
                <w:iCs/>
                <w:noProof/>
                <w:snapToGrid w:val="0"/>
              </w:rPr>
              <w:t xml:space="preserve"> (includes amendments listed above)</w:t>
            </w:r>
          </w:p>
        </w:tc>
      </w:tr>
      <w:tr>
        <w:tc>
          <w:tcPr>
            <w:tcW w:w="3119" w:type="dxa"/>
            <w:shd w:val="clear" w:color="auto" w:fill="auto"/>
          </w:tcPr>
          <w:p>
            <w:pPr>
              <w:pStyle w:val="nTable"/>
              <w:keepNext/>
              <w:keepLines/>
              <w:spacing w:after="40"/>
              <w:rPr>
                <w:b/>
                <w:bCs/>
                <w:iCs/>
                <w:noProof/>
                <w:snapToGrid w:val="0"/>
              </w:rPr>
            </w:pPr>
            <w:r>
              <w:rPr>
                <w:i/>
                <w:noProof/>
                <w:snapToGrid w:val="0"/>
              </w:rPr>
              <w:t>Energy Operators (Regional Power Corporation) (Charges) Amendment By</w:t>
            </w:r>
            <w:r>
              <w:rPr>
                <w:i/>
                <w:noProof/>
                <w:snapToGrid w:val="0"/>
              </w:rPr>
              <w:noBreakHyphen/>
              <w:t>laws 2015</w:t>
            </w:r>
          </w:p>
        </w:tc>
        <w:tc>
          <w:tcPr>
            <w:tcW w:w="1276" w:type="dxa"/>
            <w:shd w:val="clear" w:color="auto" w:fill="auto"/>
          </w:tcPr>
          <w:p>
            <w:pPr>
              <w:pStyle w:val="nTable"/>
              <w:keepNext/>
              <w:keepLines/>
              <w:spacing w:after="40"/>
              <w:rPr>
                <w:b/>
                <w:bCs/>
                <w:iCs/>
                <w:noProof/>
                <w:snapToGrid w:val="0"/>
              </w:rPr>
            </w:pPr>
            <w:r>
              <w:t>26 Jun 2015 p. 2247</w:t>
            </w:r>
            <w:r>
              <w:noBreakHyphen/>
              <w:t>52</w:t>
            </w:r>
          </w:p>
        </w:tc>
        <w:tc>
          <w:tcPr>
            <w:tcW w:w="2694" w:type="dxa"/>
            <w:shd w:val="clear" w:color="auto" w:fill="auto"/>
          </w:tcPr>
          <w:p>
            <w:pPr>
              <w:pStyle w:val="nTable"/>
              <w:keepNext/>
              <w:keepLines/>
              <w:spacing w:after="40"/>
              <w:rPr>
                <w:b/>
                <w:bCs/>
                <w:iCs/>
                <w:noProof/>
                <w:snapToGrid w:val="0"/>
              </w:rPr>
            </w:pPr>
            <w:r>
              <w:t>bl. 1 and 2: 26 Jun 2015 (see bl. 2(a));</w:t>
            </w:r>
            <w:r>
              <w:br/>
              <w:t>By</w:t>
            </w:r>
            <w:r>
              <w:noBreakHyphen/>
              <w:t>laws other than bl. 1 and 2: 1 Jul 2015 (see bl. 2(b))</w:t>
            </w:r>
          </w:p>
        </w:tc>
      </w:tr>
      <w:tr>
        <w:tc>
          <w:tcPr>
            <w:tcW w:w="3119" w:type="dxa"/>
            <w:tcBorders>
              <w:bottom w:val="single" w:sz="8" w:space="0" w:color="auto"/>
            </w:tcBorders>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2016</w:t>
            </w:r>
          </w:p>
        </w:tc>
        <w:tc>
          <w:tcPr>
            <w:tcW w:w="1276" w:type="dxa"/>
            <w:tcBorders>
              <w:bottom w:val="single" w:sz="8" w:space="0" w:color="auto"/>
            </w:tcBorders>
            <w:shd w:val="clear" w:color="auto" w:fill="auto"/>
          </w:tcPr>
          <w:p>
            <w:pPr>
              <w:pStyle w:val="nTable"/>
              <w:keepNext/>
              <w:keepLines/>
              <w:spacing w:after="40"/>
            </w:pPr>
            <w:r>
              <w:t>28 Jun 2016 p. 2626</w:t>
            </w:r>
            <w:r>
              <w:noBreakHyphen/>
              <w:t>8</w:t>
            </w:r>
          </w:p>
        </w:tc>
        <w:tc>
          <w:tcPr>
            <w:tcW w:w="2694" w:type="dxa"/>
            <w:tcBorders>
              <w:bottom w:val="single" w:sz="8" w:space="0" w:color="auto"/>
            </w:tcBorders>
            <w:shd w:val="clear" w:color="auto" w:fill="auto"/>
          </w:tcPr>
          <w:p>
            <w:pPr>
              <w:pStyle w:val="nTable"/>
              <w:keepNext/>
              <w:keepLines/>
              <w:spacing w:after="40"/>
            </w:pPr>
            <w:r>
              <w:t>bl. 1 and 2: 28 Jun 2016 (see bl. 2(a));</w:t>
            </w:r>
            <w:r>
              <w:br/>
              <w:t>By</w:t>
            </w:r>
            <w:r>
              <w:noBreakHyphen/>
              <w:t>laws other than bl. 1 and 2: 1 Jul 2016 (see bl. 2(b))</w:t>
            </w:r>
          </w:p>
        </w:tc>
      </w:tr>
    </w:tbl>
    <w:p/>
    <w:p>
      <w:pPr>
        <w:sectPr>
          <w:headerReference w:type="even" r:id="rId34"/>
          <w:headerReference w:type="default" r:id="rId35"/>
          <w:headerReference w:type="first" r:id="rId3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87" w:name="_Toc455137044"/>
      <w:r>
        <w:rPr>
          <w:sz w:val="28"/>
        </w:rPr>
        <w:t>Defined terms</w:t>
      </w:r>
      <w:bookmarkEnd w:id="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3</w:t>
      </w:r>
    </w:p>
    <w:p>
      <w:pPr>
        <w:pStyle w:val="DefinedTerms"/>
      </w:pPr>
      <w:r>
        <w:t>dwelling</w:t>
      </w:r>
      <w:r>
        <w:tab/>
        <w:t>3</w:t>
      </w:r>
    </w:p>
    <w:p>
      <w:pPr>
        <w:pStyle w:val="DefinedTerms"/>
      </w:pPr>
      <w:r>
        <w:t>interest period</w:t>
      </w:r>
      <w:r>
        <w:tab/>
        <w:t>12(1)</w:t>
      </w:r>
    </w:p>
    <w:p>
      <w:pPr>
        <w:pStyle w:val="DefinedTerms"/>
      </w:pPr>
      <w:r>
        <w:t>North West interconnected system</w:t>
      </w:r>
      <w:r>
        <w:tab/>
        <w:t>4(1A), 4(2A)</w:t>
      </w:r>
    </w:p>
    <w:p>
      <w:pPr>
        <w:pStyle w:val="DefinedTerms"/>
      </w:pPr>
      <w:r>
        <w:t>RBA cash rate</w:t>
      </w:r>
      <w:r>
        <w:tab/>
        <w:t>3</w:t>
      </w:r>
    </w:p>
    <w:p>
      <w:pPr>
        <w:pStyle w:val="DefinedTerms"/>
      </w:pPr>
      <w:r>
        <w:t>regional non</w:t>
      </w:r>
      <w:r>
        <w:noBreakHyphen/>
        <w:t>integrated system</w:t>
      </w:r>
      <w:r>
        <w:tab/>
        <w:t>4(1A)</w:t>
      </w:r>
    </w:p>
    <w:p>
      <w:pPr>
        <w:pStyle w:val="DefinedTerms"/>
      </w:pPr>
      <w:r>
        <w:t>relevant period</w:t>
      </w:r>
      <w:r>
        <w:tab/>
        <w:t>8(1)</w:t>
      </w:r>
    </w:p>
    <w:p>
      <w:pPr>
        <w:pStyle w:val="DefinedTerms"/>
      </w:pPr>
      <w:r>
        <w:t>residential tariff</w:t>
      </w:r>
      <w:r>
        <w:tab/>
        <w:t>3</w:t>
      </w:r>
    </w:p>
    <w:p>
      <w:pPr>
        <w:pStyle w:val="DefinedTerms"/>
      </w:pPr>
      <w:r>
        <w:t>South West interconnected system</w:t>
      </w:r>
      <w:r>
        <w:tab/>
        <w:t>4(1A)</w:t>
      </w:r>
    </w:p>
    <w:p>
      <w:pPr>
        <w:pStyle w:val="DefinedTerms"/>
      </w:pPr>
      <w:r>
        <w:t>Tariff</w:t>
      </w:r>
      <w:r>
        <w:tab/>
        <w:t>3</w:t>
      </w:r>
    </w:p>
    <w:p>
      <w:pPr>
        <w:pStyle w:val="DefinedTerms"/>
      </w:pPr>
      <w:r>
        <w:t>unit</w:t>
      </w:r>
      <w:r>
        <w:tab/>
        <w:t>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0" w:name="Schedule"/>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Supply charges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8" w:name="DefinedTerms"/>
    <w:bookmarkEnd w:id="8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 w:name="Coversheet"/>
    <w:bookmarkEnd w:id="8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90DB8A"/>
    <w:lvl w:ilvl="0">
      <w:start w:val="1"/>
      <w:numFmt w:val="decimal"/>
      <w:lvlText w:val="%1."/>
      <w:lvlJc w:val="left"/>
      <w:pPr>
        <w:tabs>
          <w:tab w:val="num" w:pos="1492"/>
        </w:tabs>
        <w:ind w:left="1492" w:hanging="360"/>
      </w:pPr>
    </w:lvl>
  </w:abstractNum>
  <w:abstractNum w:abstractNumId="1">
    <w:nsid w:val="FFFFFF7D"/>
    <w:multiLevelType w:val="singleLevel"/>
    <w:tmpl w:val="5596F45C"/>
    <w:lvl w:ilvl="0">
      <w:start w:val="1"/>
      <w:numFmt w:val="decimal"/>
      <w:lvlText w:val="%1."/>
      <w:lvlJc w:val="left"/>
      <w:pPr>
        <w:tabs>
          <w:tab w:val="num" w:pos="1209"/>
        </w:tabs>
        <w:ind w:left="1209" w:hanging="360"/>
      </w:pPr>
    </w:lvl>
  </w:abstractNum>
  <w:abstractNum w:abstractNumId="2">
    <w:nsid w:val="FFFFFF7E"/>
    <w:multiLevelType w:val="singleLevel"/>
    <w:tmpl w:val="3BE2AE3A"/>
    <w:lvl w:ilvl="0">
      <w:start w:val="1"/>
      <w:numFmt w:val="decimal"/>
      <w:lvlText w:val="%1."/>
      <w:lvlJc w:val="left"/>
      <w:pPr>
        <w:tabs>
          <w:tab w:val="num" w:pos="926"/>
        </w:tabs>
        <w:ind w:left="926" w:hanging="360"/>
      </w:pPr>
    </w:lvl>
  </w:abstractNum>
  <w:abstractNum w:abstractNumId="3">
    <w:nsid w:val="FFFFFF7F"/>
    <w:multiLevelType w:val="singleLevel"/>
    <w:tmpl w:val="0E6ED0DC"/>
    <w:lvl w:ilvl="0">
      <w:start w:val="1"/>
      <w:numFmt w:val="decimal"/>
      <w:lvlText w:val="%1."/>
      <w:lvlJc w:val="left"/>
      <w:pPr>
        <w:tabs>
          <w:tab w:val="num" w:pos="643"/>
        </w:tabs>
        <w:ind w:left="643" w:hanging="360"/>
      </w:pPr>
    </w:lvl>
  </w:abstractNum>
  <w:abstractNum w:abstractNumId="4">
    <w:nsid w:val="FFFFFF80"/>
    <w:multiLevelType w:val="singleLevel"/>
    <w:tmpl w:val="1F22A1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56DE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7E4D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2085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64FE2"/>
    <w:lvl w:ilvl="0">
      <w:start w:val="1"/>
      <w:numFmt w:val="decimal"/>
      <w:lvlText w:val="%1."/>
      <w:lvlJc w:val="left"/>
      <w:pPr>
        <w:tabs>
          <w:tab w:val="num" w:pos="360"/>
        </w:tabs>
        <w:ind w:left="360" w:hanging="360"/>
      </w:pPr>
    </w:lvl>
  </w:abstractNum>
  <w:abstractNum w:abstractNumId="9">
    <w:nsid w:val="FFFFFF89"/>
    <w:multiLevelType w:val="singleLevel"/>
    <w:tmpl w:val="12D034B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3815"/>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 w:name="WAFER_20140124152351" w:val="RemoveTocBookmarks,RemoveUnusedBookmarks,RemoveLanguageTags,UsedStyles,ResetPageSize,UpdateArrangement"/>
    <w:docVar w:name="WAFER_20140124152351_GUID" w:val="1d542b1f-4767-48a8-9d30-e1915dccd2fb"/>
    <w:docVar w:name="WAFER_20140519103650" w:val="RemoveTocBookmarks,RemoveUnusedBookmarks,RemoveLanguageTags,UsedStyles,RemoveTrackChanges"/>
    <w:docVar w:name="WAFER_20140519103650_GUID" w:val="d73844cc-20bd-42a3-8bb5-74b7a8440811"/>
    <w:docVar w:name="WAFER_20140519103703" w:val="RemoveTocBookmarks,RemoveLanguageTags,RemoveTrackChanges,RunningHeaders"/>
    <w:docVar w:name="WAFER_20140519103703_GUID" w:val="07ecff26-6531-40c2-9a09-8af23538b091"/>
    <w:docVar w:name="WAFER_20140922082909" w:val="RemoveTocBookmarks,RemoveLanguageTags,RemoveTrackChanges,RunningHeaders"/>
    <w:docVar w:name="WAFER_20140922082909_GUID" w:val="da7fba0f-d427-448f-961d-4f4d96158ea2"/>
    <w:docVar w:name="WAFER_20140922082921" w:val="RemoveTocBookmarks,RemoveLanguageTags,RemoveTrackChanges,RunningHeaders"/>
    <w:docVar w:name="WAFER_20140922082921_GUID" w:val="b3a5b271-ea8d-41bc-9e41-b27063a8c7a7"/>
    <w:docVar w:name="WAFER_20150414151054" w:val="ResetPageSize,UpdateArrangement,UpdateNTable"/>
    <w:docVar w:name="WAFER_20150414151054_GUID" w:val="46851967-8f5a-42ab-96a4-172d3cc2ad5a"/>
    <w:docVar w:name="WAFER_20151105123815" w:val="UpdateStyles,UsedStyles"/>
    <w:docVar w:name="WAFER_20151105123815_GUID" w:val="ade06537-8239-4bda-9e24-3495d3fa05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C1AC2-FF52-495E-A299-BD8C5C2DF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3771</Words>
  <Characters>18518</Characters>
  <Application>Microsoft Office Word</Application>
  <DocSecurity>0</DocSecurity>
  <Lines>841</Lines>
  <Paragraphs>636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2006 - 02-c0-02</dc:title>
  <dc:subject/>
  <dc:creator/>
  <cp:keywords/>
  <dc:description/>
  <cp:lastModifiedBy>svcMRProcess</cp:lastModifiedBy>
  <cp:revision>4</cp:revision>
  <cp:lastPrinted>2014-10-21T01:03:00Z</cp:lastPrinted>
  <dcterms:created xsi:type="dcterms:W3CDTF">2020-02-24T16:48:00Z</dcterms:created>
  <dcterms:modified xsi:type="dcterms:W3CDTF">2020-02-24T16:48:00Z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OwlsUID">
    <vt:i4>38408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2014-10-02T16:00:00Z</vt:filetime>
  </property>
  <property fmtid="{D5CDD505-2E9C-101B-9397-08002B2CF9AE}" pid="7" name="AsAtDate">
    <vt:lpwstr>01 Jul 2016</vt:lpwstr>
  </property>
  <property fmtid="{D5CDD505-2E9C-101B-9397-08002B2CF9AE}" pid="8" name="Suffix">
    <vt:lpwstr>02-c0-02</vt:lpwstr>
  </property>
  <property fmtid="{D5CDD505-2E9C-101B-9397-08002B2CF9AE}" pid="9" name="CommencementDate">
    <vt:lpwstr>20160701</vt:lpwstr>
  </property>
</Properties>
</file>