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Rates and Charges (Rebates and Deferments) Act 1992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Rates and Charges (Rebates and Deferments) Regulations 1992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Rates and Charges (Rebates and Deferments) Regulations 1992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_Toc33757104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Maximum limit for rebate</w:t>
      </w:r>
      <w:r>
        <w:tab/>
      </w:r>
      <w:r>
        <w:fldChar w:fldCharType="begin"/>
      </w:r>
      <w:r>
        <w:instrText xml:space="preserve"> PAGEREF _Toc33757105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Various eligible pensioner rebates capped (s. 40(9)(b))</w:t>
      </w:r>
      <w:r>
        <w:tab/>
      </w:r>
      <w:r>
        <w:fldChar w:fldCharType="begin"/>
      </w:r>
      <w:r>
        <w:instrText xml:space="preserve"> PAGEREF _Toc33757106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_Toc33757108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t>Rates and Charges (Rebates and Deferments) Act 1992</w:t>
      </w:r>
    </w:p>
    <w:p>
      <w:pPr>
        <w:pStyle w:val="NameofActReg"/>
        <w:spacing w:after="720"/>
      </w:pPr>
      <w:r>
        <w:t>Rates and Charges (Rebates and Deferments) Regulations 1992</w:t>
      </w:r>
    </w:p>
    <w:p>
      <w:pPr>
        <w:pStyle w:val="Heading5"/>
        <w:spacing w:before="260"/>
        <w:rPr>
          <w:snapToGrid w:val="0"/>
        </w:rPr>
      </w:pPr>
      <w:bookmarkStart w:id="3" w:name="_Toc33757104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</w:p>
    <w:p>
      <w:pPr>
        <w:pStyle w:val="Subsection"/>
        <w:spacing w:before="180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Rates and Charges (Rebates and Deferments) Regulations 1992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Ednotesection"/>
        <w:rPr>
          <w:szCs w:val="24"/>
        </w:rPr>
      </w:pPr>
      <w:r>
        <w:rPr>
          <w:szCs w:val="24"/>
        </w:rPr>
        <w:t>[</w:t>
      </w:r>
      <w:r>
        <w:rPr>
          <w:b/>
          <w:bCs/>
          <w:szCs w:val="24"/>
        </w:rPr>
        <w:t>2.</w:t>
      </w:r>
      <w:r>
        <w:rPr>
          <w:szCs w:val="24"/>
        </w:rPr>
        <w:tab/>
        <w:t>Deleted in Gazette 19 Dec 2014 p. 4850.]</w:t>
      </w:r>
    </w:p>
    <w:p>
      <w:pPr>
        <w:pStyle w:val="Heading5"/>
        <w:spacing w:before="240"/>
      </w:pPr>
      <w:bookmarkStart w:id="4" w:name="_Toc33757105"/>
      <w:r>
        <w:rPr>
          <w:rStyle w:val="CharSectno"/>
        </w:rPr>
        <w:t>3</w:t>
      </w:r>
      <w:r>
        <w:t>.</w:t>
      </w:r>
      <w:r>
        <w:tab/>
        <w:t>Maximum limit for rebate</w:t>
      </w:r>
      <w:bookmarkEnd w:id="4"/>
    </w:p>
    <w:p>
      <w:pPr>
        <w:pStyle w:val="Subsection"/>
        <w:spacing w:before="180"/>
      </w:pPr>
      <w:r>
        <w:tab/>
      </w:r>
      <w:r>
        <w:tab/>
        <w:t>The limit on the amount of rebate that an eligible senior is to be allowed for a type of prescribed charge referred to in section 40(9)(a) and (c) of the Act is the amount set in the following Table for a charge of that type for the rating year during which the service to which the charge relates was provided.</w:t>
      </w:r>
    </w:p>
    <w:tbl>
      <w:tblPr>
        <w:tblStyle w:val="TableGrid"/>
        <w:tblW w:w="4854" w:type="pct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1036"/>
        <w:gridCol w:w="1130"/>
        <w:gridCol w:w="1130"/>
        <w:gridCol w:w="1109"/>
        <w:gridCol w:w="1600"/>
      </w:tblGrid>
      <w:tr>
        <w:trPr>
          <w:tblHeader/>
        </w:trPr>
        <w:tc>
          <w:tcPr>
            <w:tcW w:w="766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>
            <w:pPr>
              <w:pStyle w:val="zTableNAm"/>
              <w:rPr>
                <w:sz w:val="22"/>
                <w:szCs w:val="22"/>
              </w:rPr>
            </w:pPr>
          </w:p>
        </w:tc>
        <w:tc>
          <w:tcPr>
            <w:tcW w:w="4234" w:type="pct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>
            <w:pPr>
              <w:pStyle w:val="TableNAm"/>
              <w:jc w:val="center"/>
            </w:pPr>
            <w:r>
              <w:rPr>
                <w:b/>
                <w:sz w:val="22"/>
                <w:szCs w:val="22"/>
              </w:rPr>
              <w:t>Service to which charge relates</w:t>
            </w:r>
          </w:p>
        </w:tc>
      </w:tr>
      <w:tr>
        <w:trPr>
          <w:tblHeader/>
        </w:trPr>
        <w:tc>
          <w:tcPr>
            <w:tcW w:w="76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jc w:val="center"/>
            </w:pPr>
            <w:r>
              <w:rPr>
                <w:b/>
                <w:sz w:val="22"/>
                <w:szCs w:val="22"/>
              </w:rPr>
              <w:t>Rating year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jc w:val="center"/>
            </w:pPr>
            <w:r>
              <w:rPr>
                <w:b/>
                <w:sz w:val="22"/>
                <w:szCs w:val="22"/>
              </w:rPr>
              <w:t>Water supply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jc w:val="center"/>
            </w:pPr>
            <w:r>
              <w:rPr>
                <w:b/>
                <w:sz w:val="22"/>
                <w:szCs w:val="22"/>
              </w:rPr>
              <w:t xml:space="preserve">Sewerage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jc w:val="center"/>
            </w:pPr>
            <w:r>
              <w:rPr>
                <w:b/>
                <w:sz w:val="22"/>
                <w:szCs w:val="22"/>
              </w:rPr>
              <w:t xml:space="preserve">Drainage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jc w:val="center"/>
            </w:pPr>
            <w:r>
              <w:rPr>
                <w:b/>
                <w:sz w:val="22"/>
                <w:szCs w:val="22"/>
              </w:rPr>
              <w:t>Local Government rates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>
            <w:pPr>
              <w:pStyle w:val="TableNAm"/>
              <w:jc w:val="center"/>
            </w:pPr>
            <w:r>
              <w:rPr>
                <w:b/>
                <w:sz w:val="22"/>
                <w:szCs w:val="22"/>
              </w:rPr>
              <w:t xml:space="preserve">Underground electricity </w:t>
            </w:r>
            <w:r>
              <w:rPr>
                <w:b/>
                <w:sz w:val="22"/>
                <w:szCs w:val="22"/>
              </w:rPr>
              <w:br/>
            </w:r>
          </w:p>
        </w:tc>
      </w:tr>
      <w:tr>
        <w:tc>
          <w:tcPr>
            <w:tcW w:w="76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1/7/02 — 30/6/03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$66.25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$107.15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$12.65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$193.55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66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1/7/03 — 30/6/04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$68.45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$110.70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$13.05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$199.95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66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1/7/04 — 30/6/05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$68.45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$110.70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$13.05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$204.75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66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1/7/05 — 30/6/06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$70.00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$132.85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$13.35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$209.25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66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1/7/06 — 30/6/07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$72.55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$139.50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$14.00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$216.80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66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1/7/07 — 30/6/08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$76.35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$148.75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$15.25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$227.20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66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1/7/08 — 30/6/09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$78.95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$156.00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$16.50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$234.90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66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1/7/09 — 30/6/10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$82.30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$162.75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$17.55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$244.80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66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1/7/10 — 30/6/11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$84.05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$169.55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$23.80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$249.95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66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1/7/11 — 30/6/12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$86.60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$175.75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$23.35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$257.45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66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1/7/12 — 30/6/13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$89.75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$184.70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$24.05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$264.65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$264.65</w:t>
            </w:r>
          </w:p>
        </w:tc>
      </w:tr>
      <w:tr>
        <w:tc>
          <w:tcPr>
            <w:tcW w:w="766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1/7/13 — 30/6/14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$98.19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$195.13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$25.51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$269.94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$269.94</w:t>
            </w:r>
          </w:p>
        </w:tc>
      </w:tr>
      <w:tr>
        <w:tc>
          <w:tcPr>
            <w:tcW w:w="766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1/7/14 — 30/6/15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$104.08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$216.68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$27.32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$276.42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$276.42</w:t>
            </w:r>
          </w:p>
        </w:tc>
      </w:tr>
      <w:tr>
        <w:tc>
          <w:tcPr>
            <w:tcW w:w="766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1/7/15 — 30/6/16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$108.76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$227.73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$28.14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$284.71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  <w:u w:val="words"/>
              </w:rPr>
            </w:pPr>
            <w:r>
              <w:rPr>
                <w:sz w:val="22"/>
                <w:szCs w:val="22"/>
              </w:rPr>
              <w:t>$284.71</w:t>
            </w:r>
          </w:p>
        </w:tc>
      </w:tr>
      <w:tr>
        <w:tblPrEx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66" w:type="pct"/>
            <w:tcBorders>
              <w:top w:val="nil"/>
            </w:tcBorders>
          </w:tcPr>
          <w:p>
            <w:pPr>
              <w:pStyle w:val="TableNAm"/>
            </w:pPr>
            <w:r>
              <w:rPr>
                <w:sz w:val="22"/>
                <w:szCs w:val="22"/>
              </w:rPr>
              <w:t>1/7/16 — 30/6/17</w:t>
            </w:r>
          </w:p>
        </w:tc>
        <w:tc>
          <w:tcPr>
            <w:tcW w:w="730" w:type="pct"/>
            <w:tcBorders>
              <w:top w:val="nil"/>
            </w:tcBorders>
          </w:tcPr>
          <w:p>
            <w:pPr>
              <w:pStyle w:val="TableNAm"/>
            </w:pPr>
            <w:r>
              <w:rPr>
                <w:sz w:val="22"/>
                <w:szCs w:val="22"/>
              </w:rPr>
              <w:t>$113.65</w:t>
            </w:r>
          </w:p>
        </w:tc>
        <w:tc>
          <w:tcPr>
            <w:tcW w:w="797" w:type="pct"/>
            <w:tcBorders>
              <w:top w:val="nil"/>
            </w:tcBorders>
          </w:tcPr>
          <w:p>
            <w:pPr>
              <w:pStyle w:val="TableNAm"/>
            </w:pPr>
            <w:r>
              <w:rPr>
                <w:sz w:val="22"/>
                <w:szCs w:val="22"/>
              </w:rPr>
              <w:t>$232.44</w:t>
            </w:r>
          </w:p>
        </w:tc>
        <w:tc>
          <w:tcPr>
            <w:tcW w:w="797" w:type="pct"/>
            <w:tcBorders>
              <w:top w:val="nil"/>
            </w:tcBorders>
          </w:tcPr>
          <w:p>
            <w:pPr>
              <w:pStyle w:val="TableNAm"/>
            </w:pPr>
            <w:r>
              <w:rPr>
                <w:sz w:val="22"/>
                <w:szCs w:val="22"/>
              </w:rPr>
              <w:t>$29.37</w:t>
            </w:r>
          </w:p>
        </w:tc>
        <w:tc>
          <w:tcPr>
            <w:tcW w:w="782" w:type="pct"/>
            <w:tcBorders>
              <w:top w:val="nil"/>
            </w:tcBorders>
          </w:tcPr>
          <w:p>
            <w:pPr>
              <w:pStyle w:val="TableNAm"/>
            </w:pPr>
            <w:r>
              <w:rPr>
                <w:sz w:val="22"/>
                <w:szCs w:val="22"/>
              </w:rPr>
              <w:t>$288.70</w:t>
            </w:r>
          </w:p>
        </w:tc>
        <w:tc>
          <w:tcPr>
            <w:tcW w:w="1129" w:type="pct"/>
            <w:tcBorders>
              <w:top w:val="nil"/>
            </w:tcBorders>
          </w:tcPr>
          <w:p>
            <w:pPr>
              <w:pStyle w:val="TableNAm"/>
            </w:pPr>
            <w:r>
              <w:rPr>
                <w:sz w:val="22"/>
                <w:szCs w:val="22"/>
              </w:rPr>
              <w:t>$288.70</w:t>
            </w:r>
          </w:p>
        </w:tc>
      </w:tr>
    </w:tbl>
    <w:p>
      <w:pPr>
        <w:pStyle w:val="Footnotesection"/>
      </w:pPr>
      <w:r>
        <w:tab/>
        <w:t>[Regulation 3 inserted in Gazette 29 Jun 2012 p. 2967; amended in Gazette 18 Jun 2013 p. 2310; 30 Jun 2014 p. 2427; 26 Jun 2015 p. 2279; 14 Jun 2016 p. 1841-2.]</w:t>
      </w:r>
    </w:p>
    <w:p>
      <w:pPr>
        <w:pStyle w:val="Heading5"/>
      </w:pPr>
      <w:bookmarkStart w:id="5" w:name="_Toc33757106"/>
      <w:r>
        <w:rPr>
          <w:rStyle w:val="CharSectno"/>
        </w:rPr>
        <w:t>4</w:t>
      </w:r>
      <w:r>
        <w:t>.</w:t>
      </w:r>
      <w:r>
        <w:tab/>
        <w:t>Various eligible pensioner rebates capped (s. 40(9)(b))</w:t>
      </w:r>
      <w:bookmarkEnd w:id="5"/>
    </w:p>
    <w:p>
      <w:pPr>
        <w:pStyle w:val="Subsection"/>
      </w:pPr>
      <w:r>
        <w:tab/>
        <w:t>(1)</w:t>
      </w:r>
      <w:r>
        <w:tab/>
        <w:t>The limit on the amount of rebate that an eligible pensioner is to be allowed for a type of prescribed charge referred to in section 40(9)(b) of the Act is the amount set in the following Table for a charge of that type for the rating year during which the service to which the charge relates was provided.</w:t>
      </w:r>
    </w:p>
    <w:p>
      <w:pPr>
        <w:pStyle w:val="THeading"/>
      </w:pPr>
      <w:r>
        <w:t>Table</w:t>
      </w:r>
    </w:p>
    <w:tbl>
      <w:tblPr>
        <w:tblStyle w:val="TableGrid"/>
        <w:tblW w:w="4367" w:type="pct"/>
        <w:tblInd w:w="817" w:type="dxa"/>
        <w:tblLayout w:type="fixed"/>
        <w:tblLook w:val="01E0" w:firstRow="1" w:lastRow="1" w:firstColumn="1" w:lastColumn="1" w:noHBand="0" w:noVBand="0"/>
      </w:tblPr>
      <w:tblGrid>
        <w:gridCol w:w="1136"/>
        <w:gridCol w:w="1134"/>
        <w:gridCol w:w="1276"/>
        <w:gridCol w:w="1276"/>
        <w:gridCol w:w="1558"/>
      </w:tblGrid>
      <w:tr>
        <w:trPr>
          <w:tblHeader/>
        </w:trPr>
        <w:tc>
          <w:tcPr>
            <w:tcW w:w="890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zTableNAm"/>
            </w:pPr>
          </w:p>
        </w:tc>
        <w:tc>
          <w:tcPr>
            <w:tcW w:w="4110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TableNAm"/>
              <w:jc w:val="center"/>
            </w:pPr>
            <w:r>
              <w:rPr>
                <w:b/>
              </w:rPr>
              <w:t>Service to which charge relates</w:t>
            </w:r>
          </w:p>
        </w:tc>
      </w:tr>
      <w:tr>
        <w:trPr>
          <w:tblHeader/>
        </w:trPr>
        <w:tc>
          <w:tcPr>
            <w:tcW w:w="890" w:type="pct"/>
            <w:tcBorders>
              <w:left w:val="nil"/>
              <w:right w:val="nil"/>
            </w:tcBorders>
          </w:tcPr>
          <w:p>
            <w:pPr>
              <w:pStyle w:val="TableNAm"/>
              <w:jc w:val="center"/>
            </w:pPr>
            <w:r>
              <w:rPr>
                <w:b/>
              </w:rPr>
              <w:t>Rating year</w:t>
            </w:r>
          </w:p>
        </w:tc>
        <w:tc>
          <w:tcPr>
            <w:tcW w:w="889" w:type="pct"/>
            <w:tcBorders>
              <w:left w:val="nil"/>
              <w:right w:val="nil"/>
            </w:tcBorders>
          </w:tcPr>
          <w:p>
            <w:pPr>
              <w:pStyle w:val="TableNAm"/>
              <w:jc w:val="center"/>
            </w:pPr>
            <w:r>
              <w:rPr>
                <w:b/>
              </w:rPr>
              <w:t>Water supply</w:t>
            </w:r>
          </w:p>
        </w:tc>
        <w:tc>
          <w:tcPr>
            <w:tcW w:w="1000" w:type="pct"/>
            <w:tcBorders>
              <w:left w:val="nil"/>
              <w:right w:val="nil"/>
            </w:tcBorders>
          </w:tcPr>
          <w:p>
            <w:pPr>
              <w:pStyle w:val="TableNAm"/>
              <w:jc w:val="center"/>
            </w:pPr>
            <w:r>
              <w:rPr>
                <w:b/>
              </w:rPr>
              <w:t>Sewerage</w:t>
            </w:r>
          </w:p>
        </w:tc>
        <w:tc>
          <w:tcPr>
            <w:tcW w:w="1000" w:type="pct"/>
            <w:tcBorders>
              <w:left w:val="nil"/>
              <w:right w:val="nil"/>
            </w:tcBorders>
          </w:tcPr>
          <w:p>
            <w:pPr>
              <w:pStyle w:val="TableNAm"/>
              <w:jc w:val="center"/>
            </w:pPr>
            <w:r>
              <w:rPr>
                <w:b/>
              </w:rPr>
              <w:t>Drainage</w:t>
            </w:r>
          </w:p>
        </w:tc>
        <w:tc>
          <w:tcPr>
            <w:tcW w:w="1221" w:type="pct"/>
            <w:tcBorders>
              <w:left w:val="nil"/>
              <w:right w:val="nil"/>
            </w:tcBorders>
          </w:tcPr>
          <w:p>
            <w:pPr>
              <w:pStyle w:val="TableNAm"/>
              <w:jc w:val="center"/>
            </w:pPr>
            <w:r>
              <w:rPr>
                <w:b/>
              </w:rPr>
              <w:t>Local Government rates</w:t>
            </w:r>
          </w:p>
        </w:tc>
      </w:tr>
      <w:tr>
        <w:tc>
          <w:tcPr>
            <w:tcW w:w="890" w:type="pct"/>
            <w:tcBorders>
              <w:left w:val="nil"/>
              <w:right w:val="nil"/>
            </w:tcBorders>
          </w:tcPr>
          <w:p>
            <w:pPr>
              <w:pStyle w:val="TableNAm"/>
            </w:pPr>
            <w:r>
              <w:t>1/7/16 </w:t>
            </w:r>
            <w:r>
              <w:noBreakHyphen/>
              <w:t xml:space="preserve"> </w:t>
            </w:r>
            <w:r>
              <w:br/>
              <w:t>30/6/17</w:t>
            </w:r>
          </w:p>
        </w:tc>
        <w:tc>
          <w:tcPr>
            <w:tcW w:w="889" w:type="pct"/>
            <w:tcBorders>
              <w:left w:val="nil"/>
              <w:right w:val="nil"/>
            </w:tcBorders>
            <w:vAlign w:val="center"/>
          </w:tcPr>
          <w:p>
            <w:pPr>
              <w:pStyle w:val="TableNAm"/>
            </w:pPr>
            <w:r>
              <w:t>$108.86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>
            <w:pPr>
              <w:pStyle w:val="TableNAm"/>
            </w:pPr>
            <w:r>
              <w:t>$436.15</w:t>
            </w: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>
            <w:pPr>
              <w:pStyle w:val="TableNAm"/>
            </w:pPr>
            <w:r>
              <w:t>$54.99</w:t>
            </w:r>
          </w:p>
        </w:tc>
        <w:tc>
          <w:tcPr>
            <w:tcW w:w="1221" w:type="pct"/>
            <w:tcBorders>
              <w:left w:val="nil"/>
              <w:right w:val="nil"/>
            </w:tcBorders>
            <w:vAlign w:val="center"/>
          </w:tcPr>
          <w:p>
            <w:pPr>
              <w:pStyle w:val="TableNAm"/>
            </w:pPr>
            <w:r>
              <w:t>$750.00</w:t>
            </w:r>
          </w:p>
        </w:tc>
      </w:tr>
    </w:tbl>
    <w:p>
      <w:pPr>
        <w:pStyle w:val="Subsection"/>
      </w:pPr>
      <w:r>
        <w:tab/>
        <w:t>(2)</w:t>
      </w:r>
      <w:r>
        <w:tab/>
        <w:t xml:space="preserve">For the rating year of 2016 </w:t>
      </w:r>
      <w:r>
        <w:noBreakHyphen/>
        <w:t xml:space="preserve"> 2017, a limit is not placed on the amount of rebate that a pensioner is to be allowed on the following prescribed charges — </w:t>
      </w:r>
    </w:p>
    <w:p>
      <w:pPr>
        <w:pStyle w:val="Indenta"/>
      </w:pPr>
      <w:r>
        <w:tab/>
        <w:t>(a)</w:t>
      </w:r>
      <w:r>
        <w:tab/>
        <w:t xml:space="preserve">a charge, by way of a rate, made under the </w:t>
      </w:r>
      <w:r>
        <w:rPr>
          <w:i/>
        </w:rPr>
        <w:t>Soil and Land Conservation Act 1945</w:t>
      </w:r>
      <w:r>
        <w:t>; or</w:t>
      </w:r>
    </w:p>
    <w:p>
      <w:pPr>
        <w:pStyle w:val="Indenta"/>
      </w:pPr>
      <w:r>
        <w:tab/>
        <w:t>(b)</w:t>
      </w:r>
      <w:r>
        <w:tab/>
        <w:t>a charge by way of the emergency services levy; or</w:t>
      </w:r>
    </w:p>
    <w:p>
      <w:pPr>
        <w:pStyle w:val="Indenta"/>
      </w:pPr>
      <w:r>
        <w:tab/>
        <w:t>(c)</w:t>
      </w:r>
      <w:r>
        <w:tab/>
        <w:t xml:space="preserve">a charge, by way of a service charge, made under the </w:t>
      </w:r>
      <w:r>
        <w:rPr>
          <w:i/>
        </w:rPr>
        <w:t>Local Government Act 1995</w:t>
      </w:r>
      <w:r>
        <w:t xml:space="preserve"> section 6.38 in relation to the provision of underground electricity.</w:t>
      </w:r>
    </w:p>
    <w:p>
      <w:pPr>
        <w:pStyle w:val="Footnotesection"/>
      </w:pPr>
      <w:r>
        <w:tab/>
        <w:t>[Regulation 4 inserted in Gazette 14 Jun 2016 p. 1840</w:t>
      </w:r>
      <w:r>
        <w:noBreakHyphen/>
        <w:t>1.]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6" w:name="_Toc33757107"/>
      <w:r>
        <w:t>Notes</w:t>
      </w:r>
      <w:bookmarkEnd w:id="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Rates and Charges (Rebates and Deferments) Regulations 1992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7" w:name="_Toc33757108"/>
      <w:r>
        <w:rPr>
          <w:snapToGrid w:val="0"/>
        </w:rPr>
        <w:t>Compilation table</w:t>
      </w:r>
      <w:bookmarkEnd w:id="7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Regulations 1992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26 Jun 1992 p. 2809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26 Jun 1992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 1993 p. 3211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1993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 1994 p. 3261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1994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1995 p. 2616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1995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1996 p. 3006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1996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Jun 1997 p. 3015</w:t>
            </w:r>
            <w:r>
              <w:noBreakHyphen/>
              <w:t>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1997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Mar 1998 p. 1492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17 Mar 1998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1998 p. 3555</w:t>
            </w:r>
            <w:r>
              <w:noBreakHyphen/>
              <w:t>6</w:t>
            </w:r>
            <w:r>
              <w:br/>
              <w:t>(correction 17 Jul 1998 p. 3762)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1998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Jun 1999 p. 2677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Jun 1999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20 Jun 2000 p. 3030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2000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Cs/>
              </w:rPr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Rates and Charges (Rebates and Deferments) Regulations 1992</w:t>
            </w:r>
            <w:r>
              <w:rPr>
                <w:b/>
              </w:rPr>
              <w:t xml:space="preserve"> as at 2 Feb 2001</w:t>
            </w:r>
            <w:r>
              <w:rPr>
                <w:bCs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 xml:space="preserve">Rates and Charges (Rebates and Deferments) Amendment Regulations 2001 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22 Jun 2001 p. 3025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 (No. 2) 2001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24 Jul 2001 p. 3732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28 Jun 2002 p. 3111</w:t>
            </w:r>
            <w:r>
              <w:noBreakHyphen/>
              <w:t>12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27 Jun 2003 p. 2414</w:t>
            </w:r>
            <w: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29 Jun 2004 p. 2548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28 Jun 2005 p. 2934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2005 (see 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Cs/>
              </w:rPr>
            </w:pPr>
            <w:r>
              <w:rPr>
                <w:b/>
              </w:rPr>
              <w:t xml:space="preserve">Reprint 2:  The </w:t>
            </w:r>
            <w:r>
              <w:rPr>
                <w:b/>
                <w:i/>
              </w:rPr>
              <w:t>Rates and Charges (Rebates and Deferments) Regulations 1992</w:t>
            </w:r>
            <w:r>
              <w:rPr>
                <w:b/>
              </w:rPr>
              <w:t xml:space="preserve"> as at 5 May 2006</w:t>
            </w:r>
            <w:r>
              <w:rPr>
                <w:bCs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27 Jun 2006 p. 2307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26 Jun 2007 p. 3061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26 Jun 2007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20 Jun 2008 p. 2732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r. 1 and 2: 20 Jun 2008 (see r. 2(a));</w:t>
            </w:r>
            <w: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26 Jun 2009 p. 2574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rPr>
                <w:snapToGrid w:val="0"/>
              </w:rPr>
              <w:t>r. 1 and 2: 26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3:  The </w:t>
            </w:r>
            <w:r>
              <w:rPr>
                <w:b/>
                <w:i/>
              </w:rPr>
              <w:t>Rates and Charges (Rebates and Deferments) Regulations 1992</w:t>
            </w:r>
            <w:r>
              <w:rPr>
                <w:b/>
              </w:rPr>
              <w:t xml:space="preserve"> as at 18 Sep 2009</w:t>
            </w:r>
            <w:r>
              <w:rPr>
                <w:bCs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25 Jun 2010 p. 2880-1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rPr>
                <w:snapToGrid w:val="0"/>
                <w:spacing w:val="-2"/>
              </w:rPr>
              <w:t>r</w:t>
            </w:r>
            <w:r>
              <w:rPr>
                <w:snapToGrid w:val="0"/>
              </w:rPr>
              <w:t>. 1 and 2: 25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 (No. 2) 2011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17 Jun 2011 p. 2170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17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29 Jun 2012 p. 2966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29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2013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18 Jun 2013 p. 2309</w:t>
            </w:r>
            <w: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 1 and 2: 18 Jun 2013 (see r. 2(a));</w:t>
            </w:r>
            <w:r>
              <w:rPr>
                <w:snapToGrid w:val="0"/>
              </w:rPr>
              <w:br/>
              <w:t>Regulations other than r. 1 and 2: 19 Jun 2013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 (No. 2) 2013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14 Nov 2013 p. 5061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14 Nov 2013 (see r. 2(a));</w:t>
            </w:r>
            <w:r>
              <w:rPr>
                <w:bCs/>
                <w:snapToGrid w:val="0"/>
              </w:rPr>
              <w:br/>
              <w:t xml:space="preserve">Regulations other than r. 1 and 2: 18 Nov 2013 (see r. 2(b) and </w:t>
            </w:r>
            <w:r>
              <w:rPr>
                <w:bCs/>
                <w:i/>
                <w:snapToGrid w:val="0"/>
              </w:rPr>
              <w:t xml:space="preserve">Gazette </w:t>
            </w:r>
            <w:r>
              <w:rPr>
                <w:bCs/>
                <w:snapToGrid w:val="0"/>
              </w:rPr>
              <w:t>14 Nov 2013 p. 5027)</w:t>
            </w:r>
          </w:p>
        </w:tc>
      </w:tr>
      <w:tr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bCs/>
                <w:snapToGrid w:val="0"/>
                <w:spacing w:val="-2"/>
              </w:rPr>
            </w:pPr>
            <w:r>
              <w:rPr>
                <w:b/>
              </w:rPr>
              <w:t xml:space="preserve">Reprint 4:  The </w:t>
            </w:r>
            <w:r>
              <w:rPr>
                <w:b/>
                <w:i/>
              </w:rPr>
              <w:t>Rates and Charges (Rebates and Deferments) Regulations 1992</w:t>
            </w:r>
            <w:r>
              <w:rPr>
                <w:b/>
              </w:rPr>
              <w:t xml:space="preserve"> as at 2 May 2014</w:t>
            </w:r>
            <w:r>
              <w:rPr>
                <w:bCs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30 Jun 2014 p. 2427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30 Jun 2014 (see r. 2(a));</w:t>
            </w:r>
            <w:r>
              <w:rPr>
                <w:bCs/>
                <w:snapToGrid w:val="0"/>
              </w:rPr>
              <w:br/>
              <w:t>Regulations other than r. 1 and 2: 1 Jul 2014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(No. 2) 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19 Dec 2014 p. 4850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r. 1 and 2: 19 Dec 2014 (see r. 2(a));</w:t>
            </w:r>
            <w:r>
              <w:rPr>
                <w:bCs/>
                <w:snapToGrid w:val="0"/>
              </w:rPr>
              <w:br/>
              <w:t>Regulations other than r. 1 and 2: 20 Dec 2014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2015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26 Jun 2015 p. 2278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r. 1 and 2: 26 Jun 2015 (see r. 2(a));</w:t>
            </w:r>
            <w:r>
              <w:rPr>
                <w:bCs/>
                <w:snapToGrid w:val="0"/>
              </w:rPr>
              <w:br/>
              <w:t>Regulations other than r. 1 and 2: 27 Jun 2015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2016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14 Jun 2016 p. 1840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r. 1 and 2: 14 Jun 2016 (see r. 2(a));</w:t>
            </w:r>
            <w:r>
              <w:rPr>
                <w:bCs/>
                <w:snapToGrid w:val="0"/>
              </w:rPr>
              <w:br/>
              <w:t>Regulations other than r. 1 and 2: 15 Jun 2016 (see r. 2(b))</w:t>
            </w:r>
          </w:p>
        </w:tc>
      </w:tr>
      <w:tr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 (No. 2) 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</w:pPr>
            <w:r>
              <w:t>14 Jun 2016 p. 1841</w:t>
            </w:r>
            <w:r>
              <w:noBreakHyphen/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bCs/>
                <w:snapToGrid w:val="0"/>
              </w:rPr>
            </w:pPr>
            <w:r>
              <w:rPr>
                <w:snapToGrid w:val="0"/>
              </w:rPr>
              <w:t xml:space="preserve">r. 1 and 2: </w:t>
            </w:r>
            <w:r>
              <w:t>14 Jun 2016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1 Jul 2016 (see r. 2(b))</w:t>
            </w:r>
          </w:p>
        </w:tc>
      </w:tr>
    </w:tbl>
    <w:p/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81" w:right="2410" w:bottom="3544" w:left="2410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04-f0-01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04-f0-01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04-f0-01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04-f0-01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04-f0-01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04-f0-01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8" w:name="Compilation"/>
    <w:bookmarkEnd w:id="8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9" w:name="Coversheet"/>
    <w:bookmarkEnd w:id="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9CB0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201F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200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D240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30E3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20DE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24B1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D8C7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61F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DA5A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3C2808C0"/>
    <w:multiLevelType w:val="singleLevel"/>
    <w:tmpl w:val="7E423B0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70131122920"/>
    <w:docVar w:name="WAFER_20140114160955" w:val="RemoveTocBookmarks,RemoveUnusedBookmarks,RemoveLanguageTags,UsedStyles,ResetPageSize,UpdateArrangement"/>
    <w:docVar w:name="WAFER_20140114160955_GUID" w:val="7ddeaf17-e76d-4399-9c3b-2b739acaebc1"/>
    <w:docVar w:name="WAFER_20140114162305" w:val="RemoveTocBookmarks,RunningHeaders"/>
    <w:docVar w:name="WAFER_20140114162305_GUID" w:val="bc79b160-656d-4f10-99df-22bec89998f2"/>
    <w:docVar w:name="WAFER_20140325121456" w:val="RemoveTocBookmarks,RemoveUnusedBookmarks,RemoveLanguageTags,UsedStyles,ResetPageSize,RemoveCustomizations,UpdateArrangement"/>
    <w:docVar w:name="WAFER_20140325121456_GUID" w:val="ee418b1e-0546-4fca-874d-7e3321c85895"/>
    <w:docVar w:name="WAFER_20141218163145" w:val="RemoveTocBookmarks,RunningHeaders"/>
    <w:docVar w:name="WAFER_20141218163145_GUID" w:val="7c32e7a3-afae-4ba8-8300-41363530ed85"/>
    <w:docVar w:name="WAFER_20150625144058" w:val="ResetPageSize,UpdateArrangement,UpdateNTable"/>
    <w:docVar w:name="WAFER_20150625144058_GUID" w:val="6d4feefa-ff07-4328-abb2-c9e7bfa9b604"/>
    <w:docVar w:name="WAFER_20151112114045" w:val="UpdateStyles,UsedStyles"/>
    <w:docVar w:name="WAFER_20151112114045_GUID" w:val="8d37be18-29bc-49ad-a2cb-2ab44354dee1"/>
    <w:docVar w:name="WAFER_20170131122920" w:val="RemoveTocBookmarks,RemoveUnusedBookmarks,RemoveLanguageTags,UsedStyles,ResetPageSize"/>
    <w:docVar w:name="WAFER_20170131122920_GUID" w:val="e91bb5f9-c152-4328-b990-02c3ca98b95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1549</Words>
  <Characters>7331</Characters>
  <Application>Microsoft Office Word</Application>
  <DocSecurity>0</DocSecurity>
  <Lines>488</Lines>
  <Paragraphs>306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Rates and Charges (Rebates and Deferments) Regulations 1992 - 04-f0-01</dc:title>
  <dc:subject/>
  <dc:creator/>
  <cp:keywords/>
  <dc:description/>
  <cp:lastModifiedBy>svcMRProcess</cp:lastModifiedBy>
  <cp:revision>4</cp:revision>
  <cp:lastPrinted>2014-05-09T06:45:00Z</cp:lastPrinted>
  <dcterms:created xsi:type="dcterms:W3CDTF">2020-02-27T20:38:00Z</dcterms:created>
  <dcterms:modified xsi:type="dcterms:W3CDTF">2020-02-27T20:38:00Z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26 June 1992 p.2809</vt:lpwstr>
  </property>
  <property fmtid="{D5CDD505-2E9C-101B-9397-08002B2CF9AE}" pid="3" name="DocumentType">
    <vt:lpwstr>Reg</vt:lpwstr>
  </property>
  <property fmtid="{D5CDD505-2E9C-101B-9397-08002B2CF9AE}" pid="4" name="OwlsUID">
    <vt:i4>4731</vt:i4>
  </property>
  <property fmtid="{D5CDD505-2E9C-101B-9397-08002B2CF9AE}" pid="5" name="ReprintNo">
    <vt:lpwstr>4</vt:lpwstr>
  </property>
  <property fmtid="{D5CDD505-2E9C-101B-9397-08002B2CF9AE}" pid="6" name="ReprintedAsAt">
    <vt:filetime>2014-05-01T16:00:00Z</vt:filetime>
  </property>
  <property fmtid="{D5CDD505-2E9C-101B-9397-08002B2CF9AE}" pid="7" name="AsAtDate">
    <vt:lpwstr>01 Jul 2016</vt:lpwstr>
  </property>
  <property fmtid="{D5CDD505-2E9C-101B-9397-08002B2CF9AE}" pid="8" name="Suffix">
    <vt:lpwstr>04-f0-01</vt:lpwstr>
  </property>
  <property fmtid="{D5CDD505-2E9C-101B-9397-08002B2CF9AE}" pid="9" name="CommencementDate">
    <vt:lpwstr>20160701</vt:lpwstr>
  </property>
</Properties>
</file>