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_Toc455051742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_Toc455051743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_Toc455051744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_Toc455051746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_Toc455051747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_Toc455051748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_Toc455051749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the Act</w:t>
      </w:r>
      <w:r>
        <w:tab/>
      </w:r>
      <w:r>
        <w:fldChar w:fldCharType="begin"/>
      </w:r>
      <w:r>
        <w:instrText xml:space="preserve"> PAGEREF _Toc455051750 \h </w:instrText>
      </w:r>
      <w:r>
        <w:fldChar w:fldCharType="separate"/>
      </w:r>
      <w:r>
        <w:t>4</w:t>
      </w:r>
      <w:r>
        <w:fldChar w:fldCharType="end"/>
      </w:r>
    </w:p>
    <w:p>
      <w:pPr>
        <w:pStyle w:val="TOC8"/>
        <w:rPr>
          <w:rFonts w:asciiTheme="minorHAnsi" w:eastAsiaTheme="minorEastAsia" w:hAnsiTheme="minorHAnsi" w:cstheme="minorBidi"/>
          <w:szCs w:val="22"/>
        </w:rPr>
      </w:pPr>
      <w:r>
        <w:t>5AB.</w:t>
      </w:r>
      <w:r>
        <w:tab/>
        <w:t>Exemptions from section 27A of the Act — residential agreements not required to be in prescribed form</w:t>
      </w:r>
      <w:r>
        <w:tab/>
      </w:r>
      <w:r>
        <w:fldChar w:fldCharType="begin"/>
      </w:r>
      <w:r>
        <w:instrText xml:space="preserve"> PAGEREF _Toc455051751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the Act if residential tenancy agreement extended or renewed</w:t>
      </w:r>
      <w:r>
        <w:tab/>
      </w:r>
      <w:r>
        <w:fldChar w:fldCharType="begin"/>
      </w:r>
      <w:r>
        <w:instrText xml:space="preserve"> PAGEREF _Toc455051752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the Act for the Housing Authority</w:t>
      </w:r>
      <w:r>
        <w:tab/>
      </w:r>
      <w:r>
        <w:fldChar w:fldCharType="begin"/>
      </w:r>
      <w:r>
        <w:instrText xml:space="preserve"> PAGEREF _Toc455051753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the Act</w:t>
      </w:r>
      <w:r>
        <w:tab/>
      </w:r>
      <w:r>
        <w:fldChar w:fldCharType="begin"/>
      </w:r>
      <w:r>
        <w:instrText xml:space="preserve"> PAGEREF _Toc455051754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the Act</w:t>
      </w:r>
      <w:r>
        <w:tab/>
      </w:r>
      <w:r>
        <w:fldChar w:fldCharType="begin"/>
      </w:r>
      <w:r>
        <w:instrText xml:space="preserve"> PAGEREF _Toc455051755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the Act</w:t>
      </w:r>
      <w:r>
        <w:tab/>
      </w:r>
      <w:r>
        <w:fldChar w:fldCharType="begin"/>
      </w:r>
      <w:r>
        <w:instrText xml:space="preserve"> PAGEREF _Toc455051756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the Act</w:t>
      </w:r>
      <w:r>
        <w:tab/>
      </w:r>
      <w:r>
        <w:fldChar w:fldCharType="begin"/>
      </w:r>
      <w:r>
        <w:instrText xml:space="preserve"> PAGEREF _Toc455051757 \h </w:instrText>
      </w:r>
      <w:r>
        <w:fldChar w:fldCharType="separate"/>
      </w:r>
      <w:r>
        <w:t>9</w:t>
      </w:r>
      <w:r>
        <w:fldChar w:fldCharType="end"/>
      </w:r>
    </w:p>
    <w:p>
      <w:pPr>
        <w:pStyle w:val="TOC8"/>
        <w:rPr>
          <w:rFonts w:asciiTheme="minorHAnsi" w:eastAsiaTheme="minorEastAsia" w:hAnsiTheme="minorHAnsi" w:cstheme="minorBidi"/>
          <w:szCs w:val="22"/>
        </w:rPr>
      </w:pPr>
      <w:r>
        <w:t>5C.</w:t>
      </w:r>
      <w:r>
        <w:tab/>
        <w:t>Exemption from section 33 of the Act for employment</w:t>
      </w:r>
      <w:r>
        <w:noBreakHyphen/>
        <w:t>linked residential tenancy agreements</w:t>
      </w:r>
      <w:r>
        <w:tab/>
      </w:r>
      <w:r>
        <w:fldChar w:fldCharType="begin"/>
      </w:r>
      <w:r>
        <w:instrText xml:space="preserve"> PAGEREF _Toc455051758 \h </w:instrText>
      </w:r>
      <w:r>
        <w:fldChar w:fldCharType="separate"/>
      </w:r>
      <w:r>
        <w:t>10</w:t>
      </w:r>
      <w:r>
        <w:fldChar w:fldCharType="end"/>
      </w:r>
    </w:p>
    <w:p>
      <w:pPr>
        <w:pStyle w:val="TOC8"/>
        <w:rPr>
          <w:rFonts w:asciiTheme="minorHAnsi" w:eastAsiaTheme="minorEastAsia" w:hAnsiTheme="minorHAnsi" w:cstheme="minorBidi"/>
          <w:szCs w:val="22"/>
        </w:rPr>
      </w:pPr>
      <w:r>
        <w:lastRenderedPageBreak/>
        <w:t>5D.</w:t>
      </w:r>
      <w:r>
        <w:tab/>
        <w:t xml:space="preserve">Exemption for certain agreements under </w:t>
      </w:r>
      <w:r>
        <w:rPr>
          <w:i/>
        </w:rPr>
        <w:t>Land Administration Act 1997</w:t>
      </w:r>
      <w:r>
        <w:tab/>
      </w:r>
      <w:r>
        <w:fldChar w:fldCharType="begin"/>
      </w:r>
      <w:r>
        <w:instrText xml:space="preserve"> PAGEREF _Toc455051759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the Act when Housing Authority is lessor of premises outside metropolitan region</w:t>
      </w:r>
      <w:r>
        <w:tab/>
      </w:r>
      <w:r>
        <w:fldChar w:fldCharType="begin"/>
      </w:r>
      <w:r>
        <w:instrText xml:space="preserve"> PAGEREF _Toc455051760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section 45 of the Act</w:t>
      </w:r>
      <w:r>
        <w:tab/>
      </w:r>
      <w:r>
        <w:fldChar w:fldCharType="begin"/>
      </w:r>
      <w:r>
        <w:instrText xml:space="preserve"> PAGEREF _Toc455051761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the Act for the Housing Authority</w:t>
      </w:r>
      <w:r>
        <w:tab/>
      </w:r>
      <w:r>
        <w:fldChar w:fldCharType="begin"/>
      </w:r>
      <w:r>
        <w:instrText xml:space="preserve"> PAGEREF _Toc455051762 \h </w:instrText>
      </w:r>
      <w:r>
        <w:fldChar w:fldCharType="separate"/>
      </w:r>
      <w:r>
        <w:t>13</w:t>
      </w:r>
      <w:r>
        <w:fldChar w:fldCharType="end"/>
      </w:r>
    </w:p>
    <w:p>
      <w:pPr>
        <w:pStyle w:val="TOC8"/>
        <w:rPr>
          <w:rFonts w:asciiTheme="minorHAnsi" w:eastAsiaTheme="minorEastAsia" w:hAnsiTheme="minorHAnsi" w:cstheme="minorBidi"/>
          <w:szCs w:val="22"/>
        </w:rPr>
      </w:pPr>
      <w:r>
        <w:t>7C.</w:t>
      </w:r>
      <w:r>
        <w:tab/>
        <w:t>Modified application of section 60(b) of the Act</w:t>
      </w:r>
      <w:r>
        <w:tab/>
      </w:r>
      <w:r>
        <w:fldChar w:fldCharType="begin"/>
      </w:r>
      <w:r>
        <w:instrText xml:space="preserve"> PAGEREF _Toc455051763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the Act for Foyer Oxford</w:t>
      </w:r>
      <w:r>
        <w:tab/>
      </w:r>
      <w:r>
        <w:fldChar w:fldCharType="begin"/>
      </w:r>
      <w:r>
        <w:instrText xml:space="preserve"> PAGEREF _Toc455051764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the Act</w:t>
      </w:r>
      <w:r>
        <w:tab/>
      </w:r>
      <w:r>
        <w:fldChar w:fldCharType="begin"/>
      </w:r>
      <w:r>
        <w:instrText xml:space="preserve"> PAGEREF _Toc455051765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the Act</w:t>
      </w:r>
      <w:r>
        <w:tab/>
      </w:r>
      <w:r>
        <w:fldChar w:fldCharType="begin"/>
      </w:r>
      <w:r>
        <w:instrText xml:space="preserve"> PAGEREF _Toc455051766 \h </w:instrText>
      </w:r>
      <w:r>
        <w:fldChar w:fldCharType="separate"/>
      </w:r>
      <w:r>
        <w:t>15</w:t>
      </w:r>
      <w:r>
        <w:fldChar w:fldCharType="end"/>
      </w:r>
    </w:p>
    <w:p>
      <w:pPr>
        <w:pStyle w:val="TOC8"/>
        <w:rPr>
          <w:rFonts w:asciiTheme="minorHAnsi" w:eastAsiaTheme="minorEastAsia" w:hAnsiTheme="minorHAnsi" w:cstheme="minorBidi"/>
          <w:szCs w:val="22"/>
        </w:rPr>
      </w:pPr>
      <w:r>
        <w:t>7G.</w:t>
      </w:r>
      <w:r>
        <w:tab/>
        <w:t>Modified application of section 93 of the Act for the Housing Authority</w:t>
      </w:r>
      <w:r>
        <w:tab/>
      </w:r>
      <w:r>
        <w:fldChar w:fldCharType="begin"/>
      </w:r>
      <w:r>
        <w:instrText xml:space="preserve"> PAGEREF _Toc455051767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the Act</w:t>
      </w:r>
      <w:r>
        <w:tab/>
      </w:r>
      <w:r>
        <w:fldChar w:fldCharType="begin"/>
      </w:r>
      <w:r>
        <w:instrText xml:space="preserve"> PAGEREF _Toc455051769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_Toc455051770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the Act</w:t>
      </w:r>
      <w:r>
        <w:tab/>
      </w:r>
      <w:r>
        <w:fldChar w:fldCharType="begin"/>
      </w:r>
      <w:r>
        <w:instrText xml:space="preserve"> PAGEREF _Toc455051771 \h </w:instrText>
      </w:r>
      <w:r>
        <w:fldChar w:fldCharType="separate"/>
      </w:r>
      <w:r>
        <w:t>17</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the Act</w:t>
      </w:r>
      <w:r>
        <w:tab/>
      </w:r>
      <w:r>
        <w:fldChar w:fldCharType="begin"/>
      </w:r>
      <w:r>
        <w:instrText xml:space="preserve"> PAGEREF _Toc455051772 \h </w:instrText>
      </w:r>
      <w:r>
        <w:fldChar w:fldCharType="separate"/>
      </w:r>
      <w:r>
        <w:t>17</w:t>
      </w:r>
      <w:r>
        <w:fldChar w:fldCharType="end"/>
      </w:r>
    </w:p>
    <w:p>
      <w:pPr>
        <w:pStyle w:val="TOC8"/>
        <w:rPr>
          <w:rFonts w:asciiTheme="minorHAnsi" w:eastAsiaTheme="minorEastAsia" w:hAnsiTheme="minorHAnsi" w:cstheme="minorBidi"/>
          <w:szCs w:val="22"/>
        </w:rPr>
      </w:pPr>
      <w:r>
        <w:t>10AB.</w:t>
      </w:r>
      <w:r>
        <w:tab/>
        <w:t>Information to be given to tenant for section 27B of the Act</w:t>
      </w:r>
      <w:r>
        <w:tab/>
      </w:r>
      <w:r>
        <w:fldChar w:fldCharType="begin"/>
      </w:r>
      <w:r>
        <w:instrText xml:space="preserve"> PAGEREF _Toc455051773 \h </w:instrText>
      </w:r>
      <w:r>
        <w:fldChar w:fldCharType="separate"/>
      </w:r>
      <w:r>
        <w:t>18</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the Act</w:t>
      </w:r>
      <w:r>
        <w:tab/>
      </w:r>
      <w:r>
        <w:fldChar w:fldCharType="begin"/>
      </w:r>
      <w:r>
        <w:instrText xml:space="preserve"> PAGEREF _Toc455051774 \h </w:instrText>
      </w:r>
      <w:r>
        <w:fldChar w:fldCharType="separate"/>
      </w:r>
      <w:r>
        <w:t>18</w:t>
      </w:r>
      <w:r>
        <w:fldChar w:fldCharType="end"/>
      </w:r>
    </w:p>
    <w:p>
      <w:pPr>
        <w:pStyle w:val="TOC8"/>
        <w:rPr>
          <w:rFonts w:asciiTheme="minorHAnsi" w:eastAsiaTheme="minorEastAsia" w:hAnsiTheme="minorHAnsi" w:cstheme="minorBidi"/>
          <w:szCs w:val="22"/>
        </w:rPr>
      </w:pPr>
      <w:r>
        <w:t>10AD.</w:t>
      </w:r>
      <w:r>
        <w:tab/>
        <w:t>Amount prescribed for section 27(2)(a) of the Act</w:t>
      </w:r>
      <w:r>
        <w:tab/>
      </w:r>
      <w:r>
        <w:fldChar w:fldCharType="begin"/>
      </w:r>
      <w:r>
        <w:instrText xml:space="preserve"> PAGEREF _Toc455051775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the Act</w:t>
      </w:r>
      <w:r>
        <w:tab/>
      </w:r>
      <w:r>
        <w:fldChar w:fldCharType="begin"/>
      </w:r>
      <w:r>
        <w:instrText xml:space="preserve"> PAGEREF _Toc455051776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the Act</w:t>
      </w:r>
      <w:r>
        <w:tab/>
      </w:r>
      <w:r>
        <w:fldChar w:fldCharType="begin"/>
      </w:r>
      <w:r>
        <w:instrText xml:space="preserve"> PAGEREF _Toc455051777 \h </w:instrText>
      </w:r>
      <w:r>
        <w:fldChar w:fldCharType="separate"/>
      </w:r>
      <w:r>
        <w:t>19</w:t>
      </w:r>
      <w:r>
        <w:fldChar w:fldCharType="end"/>
      </w:r>
    </w:p>
    <w:p>
      <w:pPr>
        <w:pStyle w:val="TOC8"/>
        <w:rPr>
          <w:rFonts w:asciiTheme="minorHAnsi" w:eastAsiaTheme="minorEastAsia" w:hAnsiTheme="minorHAnsi" w:cstheme="minorBidi"/>
          <w:szCs w:val="22"/>
        </w:rPr>
      </w:pPr>
      <w:r>
        <w:t>12A.</w:t>
      </w:r>
      <w:r>
        <w:tab/>
        <w:t>Essential services prescribed for section 43(1) of the Act</w:t>
      </w:r>
      <w:r>
        <w:tab/>
      </w:r>
      <w:r>
        <w:fldChar w:fldCharType="begin"/>
      </w:r>
      <w:r>
        <w:instrText xml:space="preserve"> PAGEREF _Toc455051778 \h </w:instrText>
      </w:r>
      <w:r>
        <w:fldChar w:fldCharType="separate"/>
      </w:r>
      <w:r>
        <w:t>19</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the Act</w:t>
      </w:r>
      <w:r>
        <w:tab/>
      </w:r>
      <w:r>
        <w:fldChar w:fldCharType="begin"/>
      </w:r>
      <w:r>
        <w:instrText xml:space="preserve"> PAGEREF _Toc455051779 \h </w:instrText>
      </w:r>
      <w:r>
        <w:fldChar w:fldCharType="separate"/>
      </w:r>
      <w:r>
        <w:t>19</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the Act</w:t>
      </w:r>
      <w:r>
        <w:tab/>
      </w:r>
      <w:r>
        <w:fldChar w:fldCharType="begin"/>
      </w:r>
      <w:r>
        <w:instrText xml:space="preserve"> PAGEREF _Toc455051780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the Act</w:t>
      </w:r>
      <w:r>
        <w:tab/>
      </w:r>
      <w:r>
        <w:fldChar w:fldCharType="begin"/>
      </w:r>
      <w:r>
        <w:instrText xml:space="preserve"> PAGEREF _Toc455051781 \h </w:instrText>
      </w:r>
      <w:r>
        <w:fldChar w:fldCharType="separate"/>
      </w:r>
      <w:r>
        <w:t>22</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_Toc455051782 \h </w:instrText>
      </w:r>
      <w:r>
        <w:fldChar w:fldCharType="separate"/>
      </w:r>
      <w:r>
        <w:t>22</w:t>
      </w:r>
      <w:r>
        <w:fldChar w:fldCharType="end"/>
      </w:r>
    </w:p>
    <w:p>
      <w:pPr>
        <w:pStyle w:val="TOC8"/>
        <w:rPr>
          <w:rFonts w:asciiTheme="minorHAnsi" w:eastAsiaTheme="minorEastAsia" w:hAnsiTheme="minorHAnsi" w:cstheme="minorBidi"/>
          <w:szCs w:val="22"/>
        </w:rPr>
      </w:pPr>
      <w:r>
        <w:t>14.</w:t>
      </w:r>
      <w:r>
        <w:tab/>
        <w:t>Matters prescribed for section 94 of the Act</w:t>
      </w:r>
      <w:r>
        <w:tab/>
      </w:r>
      <w:r>
        <w:fldChar w:fldCharType="begin"/>
      </w:r>
      <w:r>
        <w:instrText xml:space="preserve"> PAGEREF _Toc455051783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_Toc455051784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_Toc455051785 \h </w:instrText>
      </w:r>
      <w:r>
        <w:fldChar w:fldCharType="separate"/>
      </w:r>
      <w:r>
        <w:t>25</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_Toc455051786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_Toc455051791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_Toc455051792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640"/>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455051688"/>
      <w:bookmarkStart w:id="4" w:name="_Toc455051741"/>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spacing w:before="100"/>
      </w:pPr>
      <w:r>
        <w:tab/>
        <w:t>[Heading inserted in Gazette 3 May 2013 p. 1737.]</w:t>
      </w:r>
    </w:p>
    <w:p>
      <w:pPr>
        <w:pStyle w:val="Heading5"/>
        <w:rPr>
          <w:snapToGrid w:val="0"/>
        </w:rPr>
      </w:pPr>
      <w:bookmarkStart w:id="5" w:name="_Toc455051742"/>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6" w:name="_Toc455051743"/>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7" w:name="_Toc455051744"/>
      <w:r>
        <w:rPr>
          <w:rStyle w:val="CharSectno"/>
        </w:rPr>
        <w:t>3A</w:t>
      </w:r>
      <w:r>
        <w:t>.</w:t>
      </w:r>
      <w:r>
        <w:tab/>
        <w:t>Terms used</w:t>
      </w:r>
      <w:bookmarkEnd w:id="7"/>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8" w:name="_Toc455051692"/>
      <w:bookmarkStart w:id="9" w:name="_Toc455051745"/>
      <w:r>
        <w:rPr>
          <w:rStyle w:val="CharPartNo"/>
        </w:rPr>
        <w:t>Part 2</w:t>
      </w:r>
      <w:r>
        <w:rPr>
          <w:rStyle w:val="CharDivNo"/>
        </w:rPr>
        <w:t> </w:t>
      </w:r>
      <w:r>
        <w:t>—</w:t>
      </w:r>
      <w:r>
        <w:rPr>
          <w:rStyle w:val="CharDivText"/>
        </w:rPr>
        <w:t> </w:t>
      </w:r>
      <w:r>
        <w:rPr>
          <w:rStyle w:val="CharPartText"/>
        </w:rPr>
        <w:t>Application of Act, modification of application</w:t>
      </w:r>
      <w:bookmarkEnd w:id="8"/>
      <w:bookmarkEnd w:id="9"/>
    </w:p>
    <w:p>
      <w:pPr>
        <w:pStyle w:val="Footnoteheading"/>
      </w:pPr>
      <w:r>
        <w:tab/>
        <w:t>[Heading inserted in Gazette 21 Mar 2014 p. 731.]</w:t>
      </w:r>
    </w:p>
    <w:p>
      <w:pPr>
        <w:pStyle w:val="Heading5"/>
        <w:spacing w:before="200"/>
        <w:rPr>
          <w:snapToGrid w:val="0"/>
        </w:rPr>
      </w:pPr>
      <w:bookmarkStart w:id="10" w:name="_Toc455051746"/>
      <w:r>
        <w:rPr>
          <w:rStyle w:val="CharSectno"/>
        </w:rPr>
        <w:t>3</w:t>
      </w:r>
      <w:r>
        <w:rPr>
          <w:snapToGrid w:val="0"/>
        </w:rPr>
        <w:t>.</w:t>
      </w:r>
      <w:r>
        <w:rPr>
          <w:snapToGrid w:val="0"/>
        </w:rPr>
        <w:tab/>
        <w:t>Exemption for retirement villages</w:t>
      </w:r>
      <w:bookmarkEnd w:id="10"/>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11" w:name="_Toc455051747"/>
      <w:r>
        <w:rPr>
          <w:rStyle w:val="CharSectno"/>
        </w:rPr>
        <w:t>4</w:t>
      </w:r>
      <w:r>
        <w:rPr>
          <w:snapToGrid w:val="0"/>
        </w:rPr>
        <w:t>.</w:t>
      </w:r>
      <w:r>
        <w:rPr>
          <w:snapToGrid w:val="0"/>
        </w:rPr>
        <w:tab/>
        <w:t>Exemption for certain agreements with squatters</w:t>
      </w:r>
      <w:bookmarkEnd w:id="11"/>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12" w:name="_Toc455051748"/>
      <w:r>
        <w:rPr>
          <w:rStyle w:val="CharSectno"/>
        </w:rPr>
        <w:t>5</w:t>
      </w:r>
      <w:r>
        <w:rPr>
          <w:snapToGrid w:val="0"/>
        </w:rPr>
        <w:t>.</w:t>
      </w:r>
      <w:r>
        <w:rPr>
          <w:snapToGrid w:val="0"/>
        </w:rPr>
        <w:tab/>
        <w:t xml:space="preserve">Exemption for certain agreements under </w:t>
      </w:r>
      <w:r>
        <w:rPr>
          <w:i/>
          <w:snapToGrid w:val="0"/>
        </w:rPr>
        <w:t>Land Act 1933</w:t>
      </w:r>
      <w:bookmarkEnd w:id="12"/>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13" w:name="_Toc455051749"/>
      <w:r>
        <w:rPr>
          <w:rStyle w:val="CharSectno"/>
        </w:rPr>
        <w:t>5AAA</w:t>
      </w:r>
      <w:r>
        <w:t>.</w:t>
      </w:r>
      <w:r>
        <w:tab/>
        <w:t>Application of Act to certain accommodation at St Thomas More College</w:t>
      </w:r>
      <w:bookmarkEnd w:id="13"/>
    </w:p>
    <w:p>
      <w:pPr>
        <w:pStyle w:val="Subsection"/>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14" w:name="_Toc455051750"/>
      <w:r>
        <w:rPr>
          <w:rStyle w:val="CharSectno"/>
        </w:rPr>
        <w:t>5AA</w:t>
      </w:r>
      <w:r>
        <w:t>.</w:t>
      </w:r>
      <w:r>
        <w:tab/>
        <w:t>Modified application of section 22(2) of the Act</w:t>
      </w:r>
      <w:bookmarkEnd w:id="14"/>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15" w:name="_Toc455051751"/>
      <w:r>
        <w:rPr>
          <w:rStyle w:val="CharSectno"/>
        </w:rPr>
        <w:t>5AB</w:t>
      </w:r>
      <w:r>
        <w:t>.</w:t>
      </w:r>
      <w:r>
        <w:tab/>
        <w:t>Exemptions from section 27A of the Act — residential agreements not required to be in prescribed form</w:t>
      </w:r>
      <w:bookmarkEnd w:id="15"/>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16" w:name="_Toc455051752"/>
      <w:r>
        <w:rPr>
          <w:rStyle w:val="CharSectno"/>
        </w:rPr>
        <w:t>5AC</w:t>
      </w:r>
      <w:r>
        <w:t>.</w:t>
      </w:r>
      <w:r>
        <w:tab/>
        <w:t>Exemption from section 27B of the Act if residential tenancy agreement extended or renewed</w:t>
      </w:r>
      <w:bookmarkEnd w:id="16"/>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17" w:name="_Toc455051753"/>
      <w:r>
        <w:rPr>
          <w:rStyle w:val="CharSectno"/>
        </w:rPr>
        <w:t>5AD</w:t>
      </w:r>
      <w:r>
        <w:t>.</w:t>
      </w:r>
      <w:r>
        <w:tab/>
        <w:t>Modified application of section 27C(4) of the Act for the Housing Authority</w:t>
      </w:r>
      <w:bookmarkEnd w:id="17"/>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18" w:name="_Toc455051754"/>
      <w:r>
        <w:rPr>
          <w:rStyle w:val="CharSectno"/>
        </w:rPr>
        <w:t>5A</w:t>
      </w:r>
      <w:r>
        <w:rPr>
          <w:snapToGrid w:val="0"/>
        </w:rPr>
        <w:t>.</w:t>
      </w:r>
      <w:r>
        <w:rPr>
          <w:snapToGrid w:val="0"/>
        </w:rPr>
        <w:tab/>
        <w:t>Exemption of Housing Authority from sections 29(4)(b) and 33 of the Act</w:t>
      </w:r>
      <w:bookmarkEnd w:id="18"/>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19" w:name="_Toc455051755"/>
      <w:r>
        <w:rPr>
          <w:rStyle w:val="CharSectno"/>
        </w:rPr>
        <w:t>5BA</w:t>
      </w:r>
      <w:r>
        <w:t>.</w:t>
      </w:r>
      <w:r>
        <w:tab/>
        <w:t>Exemptions from section 29(8) of the Act</w:t>
      </w:r>
      <w:bookmarkEnd w:id="19"/>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20" w:name="_Toc455051756"/>
      <w:r>
        <w:rPr>
          <w:rStyle w:val="CharSectno"/>
        </w:rPr>
        <w:t>5B</w:t>
      </w:r>
      <w:r>
        <w:rPr>
          <w:snapToGrid w:val="0"/>
        </w:rPr>
        <w:t>.</w:t>
      </w:r>
      <w:r>
        <w:rPr>
          <w:snapToGrid w:val="0"/>
        </w:rPr>
        <w:tab/>
        <w:t>Exemptions from section 30(1) of the Act</w:t>
      </w:r>
      <w:bookmarkEnd w:id="20"/>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21" w:name="_Toc455051757"/>
      <w:r>
        <w:rPr>
          <w:rStyle w:val="CharSectno"/>
        </w:rPr>
        <w:t>5CA</w:t>
      </w:r>
      <w:r>
        <w:t>.</w:t>
      </w:r>
      <w:r>
        <w:tab/>
        <w:t>Modified application of section 30(2)(a) of the Act</w:t>
      </w:r>
      <w:bookmarkEnd w:id="21"/>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22" w:name="_Toc455051758"/>
      <w:r>
        <w:rPr>
          <w:rStyle w:val="CharSectno"/>
        </w:rPr>
        <w:t>5C</w:t>
      </w:r>
      <w:r>
        <w:t>.</w:t>
      </w:r>
      <w:r>
        <w:tab/>
        <w:t>Exemption from section 33 of the Act for employment</w:t>
      </w:r>
      <w:r>
        <w:noBreakHyphen/>
        <w:t>linked residential tenancy agreements</w:t>
      </w:r>
      <w:bookmarkEnd w:id="22"/>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23" w:name="_Toc455051759"/>
      <w:r>
        <w:rPr>
          <w:rStyle w:val="CharSectno"/>
        </w:rPr>
        <w:t>5D</w:t>
      </w:r>
      <w:r>
        <w:t>.</w:t>
      </w:r>
      <w:r>
        <w:tab/>
        <w:t xml:space="preserve">Exemption for certain agreements under </w:t>
      </w:r>
      <w:r>
        <w:rPr>
          <w:i/>
        </w:rPr>
        <w:t>Land Administration Act 1997</w:t>
      </w:r>
      <w:bookmarkEnd w:id="23"/>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24" w:name="_Toc455051760"/>
      <w:r>
        <w:rPr>
          <w:rStyle w:val="CharSectno"/>
        </w:rPr>
        <w:t>6</w:t>
      </w:r>
      <w:r>
        <w:t>.</w:t>
      </w:r>
      <w:r>
        <w:tab/>
        <w:t>Modified application of section 43(3) of the Act when Housing Authority is lessor of premises outside metropolitan region</w:t>
      </w:r>
      <w:bookmarkEnd w:id="24"/>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25" w:name="_Toc455051761"/>
      <w:r>
        <w:rPr>
          <w:rStyle w:val="CharSectno"/>
        </w:rPr>
        <w:t>7A</w:t>
      </w:r>
      <w:r>
        <w:t>.</w:t>
      </w:r>
      <w:r>
        <w:tab/>
        <w:t>Modified application of section 45 of the Act</w:t>
      </w:r>
      <w:bookmarkEnd w:id="25"/>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26" w:name="_Toc455051762"/>
      <w:r>
        <w:rPr>
          <w:rStyle w:val="CharSectno"/>
        </w:rPr>
        <w:t>7B</w:t>
      </w:r>
      <w:r>
        <w:t>.</w:t>
      </w:r>
      <w:r>
        <w:tab/>
        <w:t>Modified application of section 47(1)(b) of the Act for the Housing Authority</w:t>
      </w:r>
      <w:bookmarkEnd w:id="26"/>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27" w:name="_Toc455051763"/>
      <w:r>
        <w:rPr>
          <w:rStyle w:val="CharSectno"/>
        </w:rPr>
        <w:t>7C</w:t>
      </w:r>
      <w:r>
        <w:t>.</w:t>
      </w:r>
      <w:r>
        <w:tab/>
        <w:t>Modified application of section 60(b) of the Act</w:t>
      </w:r>
      <w:bookmarkEnd w:id="27"/>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28" w:name="_Toc455051764"/>
      <w:r>
        <w:rPr>
          <w:rStyle w:val="CharSectno"/>
        </w:rPr>
        <w:t>7D</w:t>
      </w:r>
      <w:r>
        <w:t>.</w:t>
      </w:r>
      <w:r>
        <w:tab/>
        <w:t>Modified application of section 70A of the Act for Foyer Oxford</w:t>
      </w:r>
      <w:bookmarkEnd w:id="28"/>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29" w:name="_Toc455051765"/>
      <w:r>
        <w:rPr>
          <w:rStyle w:val="CharSectno"/>
        </w:rPr>
        <w:t>7E</w:t>
      </w:r>
      <w:r>
        <w:t>.</w:t>
      </w:r>
      <w:r>
        <w:tab/>
        <w:t>Modified application of section 72 of the Act</w:t>
      </w:r>
      <w:bookmarkEnd w:id="29"/>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30" w:name="_Toc455051766"/>
      <w:r>
        <w:rPr>
          <w:rStyle w:val="CharSectno"/>
        </w:rPr>
        <w:t>7F</w:t>
      </w:r>
      <w:r>
        <w:t>.</w:t>
      </w:r>
      <w:r>
        <w:tab/>
        <w:t>Exemption from section 82 of the Act</w:t>
      </w:r>
      <w:bookmarkEnd w:id="30"/>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31" w:name="_Toc455051767"/>
      <w:r>
        <w:rPr>
          <w:rStyle w:val="CharSectno"/>
        </w:rPr>
        <w:t>7G</w:t>
      </w:r>
      <w:r>
        <w:t>.</w:t>
      </w:r>
      <w:r>
        <w:tab/>
        <w:t>Modified application of section 93 of the Act for the Housing Authority</w:t>
      </w:r>
      <w:bookmarkEnd w:id="31"/>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32" w:name="_Toc455051715"/>
      <w:bookmarkStart w:id="33" w:name="_Toc455051768"/>
      <w:r>
        <w:rPr>
          <w:rStyle w:val="CharPartNo"/>
        </w:rPr>
        <w:t>Part 3</w:t>
      </w:r>
      <w:r>
        <w:rPr>
          <w:rStyle w:val="CharDivNo"/>
        </w:rPr>
        <w:t> </w:t>
      </w:r>
      <w:r>
        <w:t>—</w:t>
      </w:r>
      <w:r>
        <w:rPr>
          <w:rStyle w:val="CharDivText"/>
        </w:rPr>
        <w:t> </w:t>
      </w:r>
      <w:r>
        <w:rPr>
          <w:rStyle w:val="CharPartText"/>
        </w:rPr>
        <w:t>Other matters</w:t>
      </w:r>
      <w:bookmarkEnd w:id="32"/>
      <w:bookmarkEnd w:id="33"/>
    </w:p>
    <w:p>
      <w:pPr>
        <w:pStyle w:val="Footnoteheading"/>
      </w:pPr>
      <w:r>
        <w:tab/>
        <w:t>[Heading inserted in Gazette 3 May 2013 p. 1749.]</w:t>
      </w:r>
    </w:p>
    <w:p>
      <w:pPr>
        <w:pStyle w:val="Heading5"/>
        <w:rPr>
          <w:snapToGrid w:val="0"/>
        </w:rPr>
      </w:pPr>
      <w:bookmarkStart w:id="34" w:name="_Toc455051769"/>
      <w:r>
        <w:rPr>
          <w:rStyle w:val="CharSectno"/>
        </w:rPr>
        <w:t>7</w:t>
      </w:r>
      <w:r>
        <w:rPr>
          <w:snapToGrid w:val="0"/>
        </w:rPr>
        <w:t>.</w:t>
      </w:r>
      <w:r>
        <w:rPr>
          <w:snapToGrid w:val="0"/>
        </w:rPr>
        <w:tab/>
        <w:t>Applications prescribed for the purposes of section 13A(2)(a) of the Act</w:t>
      </w:r>
      <w:bookmarkEnd w:id="34"/>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35" w:name="_Toc455051770"/>
      <w:r>
        <w:rPr>
          <w:rStyle w:val="CharSectno"/>
        </w:rPr>
        <w:t>9</w:t>
      </w:r>
      <w:r>
        <w:rPr>
          <w:snapToGrid w:val="0"/>
        </w:rPr>
        <w:t>.</w:t>
      </w:r>
      <w:r>
        <w:rPr>
          <w:snapToGrid w:val="0"/>
        </w:rPr>
        <w:tab/>
        <w:t>Determination of nearest Magistrates Court</w:t>
      </w:r>
      <w:bookmarkEnd w:id="35"/>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36" w:name="_Toc455051771"/>
      <w:r>
        <w:rPr>
          <w:rStyle w:val="CharSectno"/>
        </w:rPr>
        <w:t>10</w:t>
      </w:r>
      <w:r>
        <w:rPr>
          <w:snapToGrid w:val="0"/>
        </w:rPr>
        <w:t>.</w:t>
      </w:r>
      <w:r>
        <w:rPr>
          <w:snapToGrid w:val="0"/>
        </w:rPr>
        <w:tab/>
        <w:t>Scale of costs for section 24 of the Act</w:t>
      </w:r>
      <w:bookmarkEnd w:id="36"/>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37" w:name="_Toc455051772"/>
      <w:r>
        <w:rPr>
          <w:rStyle w:val="CharSectno"/>
        </w:rPr>
        <w:t>10AA</w:t>
      </w:r>
      <w:r>
        <w:t>.</w:t>
      </w:r>
      <w:r>
        <w:tab/>
        <w:t>Form of written residential tenancy agreement for section 27A of the Act</w:t>
      </w:r>
      <w:bookmarkEnd w:id="37"/>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38" w:name="_Toc455051773"/>
      <w:r>
        <w:rPr>
          <w:rStyle w:val="CharSectno"/>
        </w:rPr>
        <w:t>10AB</w:t>
      </w:r>
      <w:r>
        <w:t>.</w:t>
      </w:r>
      <w:r>
        <w:tab/>
        <w:t>Information to be given to tenant for section 27B of the Act</w:t>
      </w:r>
      <w:bookmarkEnd w:id="38"/>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39" w:name="_Toc455051774"/>
      <w:r>
        <w:rPr>
          <w:rStyle w:val="CharSectno"/>
        </w:rPr>
        <w:t>10AC</w:t>
      </w:r>
      <w:r>
        <w:t>.</w:t>
      </w:r>
      <w:r>
        <w:tab/>
        <w:t>Information to be included in property condition report for section 27C(6) of the Act</w:t>
      </w:r>
      <w:bookmarkEnd w:id="39"/>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40" w:name="_Toc455051775"/>
      <w:r>
        <w:rPr>
          <w:rStyle w:val="CharSectno"/>
        </w:rPr>
        <w:t>10AD</w:t>
      </w:r>
      <w:r>
        <w:t>.</w:t>
      </w:r>
      <w:r>
        <w:tab/>
        <w:t>Amount prescribed for section 27(2)(a) of the Act</w:t>
      </w:r>
      <w:bookmarkEnd w:id="40"/>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41" w:name="_Toc455051776"/>
      <w:r>
        <w:rPr>
          <w:rStyle w:val="CharSectno"/>
        </w:rPr>
        <w:t>10A</w:t>
      </w:r>
      <w:r>
        <w:rPr>
          <w:snapToGrid w:val="0"/>
        </w:rPr>
        <w:t>.</w:t>
      </w:r>
      <w:r>
        <w:rPr>
          <w:snapToGrid w:val="0"/>
        </w:rPr>
        <w:tab/>
        <w:t>Amount prescribed for section 29(1)(b)(ii) of the Act</w:t>
      </w:r>
      <w:bookmarkEnd w:id="41"/>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42" w:name="_Toc455051777"/>
      <w:r>
        <w:rPr>
          <w:rStyle w:val="CharSectno"/>
        </w:rPr>
        <w:t>11</w:t>
      </w:r>
      <w:r>
        <w:rPr>
          <w:snapToGrid w:val="0"/>
        </w:rPr>
        <w:t>.</w:t>
      </w:r>
      <w:r>
        <w:rPr>
          <w:snapToGrid w:val="0"/>
        </w:rPr>
        <w:tab/>
        <w:t>Amount prescribed for section 29(2) of the Act</w:t>
      </w:r>
      <w:bookmarkEnd w:id="42"/>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43" w:name="_Toc455051778"/>
      <w:r>
        <w:rPr>
          <w:rStyle w:val="CharSectno"/>
        </w:rPr>
        <w:t>12A</w:t>
      </w:r>
      <w:r>
        <w:t>.</w:t>
      </w:r>
      <w:r>
        <w:tab/>
        <w:t>Essential services prescribed for section 43(1) of the Act</w:t>
      </w:r>
      <w:bookmarkEnd w:id="43"/>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44" w:name="_Toc455051779"/>
      <w:r>
        <w:rPr>
          <w:rStyle w:val="CharSectno"/>
        </w:rPr>
        <w:t>12B</w:t>
      </w:r>
      <w:r>
        <w:t>.</w:t>
      </w:r>
      <w:r>
        <w:tab/>
        <w:t>Means to secure residential premises prescribed for section 45(a) of the Act</w:t>
      </w:r>
      <w:bookmarkEnd w:id="44"/>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45" w:name="_Toc455051780"/>
      <w:r>
        <w:rPr>
          <w:rStyle w:val="CharSectno"/>
        </w:rPr>
        <w:t>12C</w:t>
      </w:r>
      <w:r>
        <w:t>.</w:t>
      </w:r>
      <w:r>
        <w:tab/>
        <w:t>Social housing tenancy agreement for the purposes of section 71A of the Act</w:t>
      </w:r>
      <w:bookmarkEnd w:id="45"/>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46" w:name="_Toc455051781"/>
      <w:r>
        <w:rPr>
          <w:rStyle w:val="CharSectno"/>
        </w:rPr>
        <w:t>12</w:t>
      </w:r>
      <w:r>
        <w:rPr>
          <w:snapToGrid w:val="0"/>
        </w:rPr>
        <w:t>.</w:t>
      </w:r>
      <w:r>
        <w:rPr>
          <w:snapToGrid w:val="0"/>
        </w:rPr>
        <w:tab/>
        <w:t>Information prescribed for section 79(10) of the Act</w:t>
      </w:r>
      <w:bookmarkEnd w:id="46"/>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47" w:name="_Toc455051782"/>
      <w:r>
        <w:rPr>
          <w:rStyle w:val="CharSectno"/>
        </w:rPr>
        <w:t>13</w:t>
      </w:r>
      <w:r>
        <w:t>.</w:t>
      </w:r>
      <w:r>
        <w:tab/>
        <w:t>Infringement notices</w:t>
      </w:r>
      <w:bookmarkEnd w:id="47"/>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48" w:name="_Toc455051783"/>
      <w:r>
        <w:rPr>
          <w:rStyle w:val="CharSectno"/>
        </w:rPr>
        <w:t>14</w:t>
      </w:r>
      <w:r>
        <w:t>.</w:t>
      </w:r>
      <w:r>
        <w:tab/>
        <w:t>Matters prescribed for section 94 of the Act</w:t>
      </w:r>
      <w:bookmarkEnd w:id="48"/>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49" w:name="_Toc455051784"/>
      <w:r>
        <w:rPr>
          <w:rStyle w:val="CharSectno"/>
        </w:rPr>
        <w:t>15</w:t>
      </w:r>
      <w:r>
        <w:rPr>
          <w:snapToGrid w:val="0"/>
        </w:rPr>
        <w:t>.</w:t>
      </w:r>
      <w:r>
        <w:rPr>
          <w:snapToGrid w:val="0"/>
        </w:rPr>
        <w:tab/>
        <w:t>Disposal of unclaimed security bonds</w:t>
      </w:r>
      <w:bookmarkEnd w:id="49"/>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50" w:name="_Toc455051785"/>
      <w:r>
        <w:rPr>
          <w:rStyle w:val="CharSectno"/>
        </w:rPr>
        <w:t>17</w:t>
      </w:r>
      <w:r>
        <w:rPr>
          <w:snapToGrid w:val="0"/>
        </w:rPr>
        <w:t>.</w:t>
      </w:r>
      <w:r>
        <w:rPr>
          <w:snapToGrid w:val="0"/>
        </w:rPr>
        <w:tab/>
        <w:t>Fees prescribed</w:t>
      </w:r>
      <w:bookmarkEnd w:id="50"/>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51" w:name="_Toc455051786"/>
      <w:r>
        <w:rPr>
          <w:rStyle w:val="CharSectno"/>
        </w:rPr>
        <w:t>18</w:t>
      </w:r>
      <w:r>
        <w:t>.</w:t>
      </w:r>
      <w:r>
        <w:tab/>
        <w:t>Forms</w:t>
      </w:r>
      <w:bookmarkEnd w:id="51"/>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52" w:name="_Toc455051734"/>
      <w:bookmarkStart w:id="53" w:name="_Toc455051787"/>
      <w:r>
        <w:rPr>
          <w:rStyle w:val="CharSchNo"/>
        </w:rPr>
        <w:t>Schedule 3</w:t>
      </w:r>
      <w:bookmarkEnd w:id="52"/>
      <w:bookmarkEnd w:id="53"/>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53.55</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 3 Jun 2016 p. 1771.]</w:t>
      </w:r>
    </w:p>
    <w:p>
      <w:pPr>
        <w:pStyle w:val="yScheduleHeading"/>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55" w:name="_Toc455051735"/>
      <w:bookmarkStart w:id="56" w:name="_Toc455051788"/>
      <w:r>
        <w:rPr>
          <w:rStyle w:val="CharSchNo"/>
        </w:rPr>
        <w:t>Schedule 4</w:t>
      </w:r>
      <w:r>
        <w:rPr>
          <w:rStyle w:val="CharSDivNo"/>
        </w:rPr>
        <w:t> </w:t>
      </w:r>
      <w:r>
        <w:t>—</w:t>
      </w:r>
      <w:r>
        <w:rPr>
          <w:rStyle w:val="CharSDivText"/>
        </w:rPr>
        <w:t> </w:t>
      </w:r>
      <w:r>
        <w:rPr>
          <w:rStyle w:val="CharSchText"/>
        </w:rPr>
        <w:t>Forms</w:t>
      </w:r>
      <w:bookmarkEnd w:id="55"/>
      <w:bookmarkEnd w:id="56"/>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Lessor’s property manager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pPr>
      <w:r>
        <w:t>[</w:t>
      </w:r>
      <w:r>
        <w:rPr>
          <w:i/>
        </w:rPr>
        <w:t>insert email address or facsimile number if different from contact details above</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hyperlink r:id="rId30" w:history="1">
        <w:r>
          <w:rPr>
            <w:rStyle w:val="Hyperlink"/>
            <w:sz w:val="22"/>
            <w:szCs w:val="22"/>
          </w:rPr>
          <w:t>www.commerce.wa.gov.au/ConsumerProtection</w:t>
        </w:r>
      </w:hyperlink>
      <w:r>
        <w:rPr>
          <w:szCs w:val="22"/>
        </w:rPr>
        <w: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1" w:history="1">
        <w:r>
          <w:rPr>
            <w:rStyle w:val="Hyperlink"/>
            <w:sz w:val="22"/>
            <w:szCs w:val="22"/>
          </w:rPr>
          <w:t>www.commerce.wa.gov.au/ConsumerProtection</w:t>
        </w:r>
      </w:hyperlink>
      <w:r>
        <w:rPr>
          <w:szCs w:val="22"/>
        </w:rPr>
        <w:t>.</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hyperlink r:id="rId32" w:history="1">
        <w:r>
          <w:rPr>
            <w:rStyle w:val="Hyperlink"/>
            <w:sz w:val="22"/>
            <w:szCs w:val="22"/>
          </w:rPr>
          <w:t>www.commerce.wa.gov.au/ConsumerProtection</w:t>
        </w:r>
      </w:hyperlink>
      <w:r>
        <w:rPr>
          <w:szCs w:val="22"/>
        </w:rPr>
        <w: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3" w:history="1">
        <w:r>
          <w:rPr>
            <w:rStyle w:val="Hyperlink"/>
            <w:sz w:val="22"/>
            <w:szCs w:val="22"/>
          </w:rPr>
          <w:t>www.commerce.wa.gov.au/ConsumerProtection</w:t>
        </w:r>
      </w:hyperlink>
      <w:r>
        <w:rPr>
          <w:szCs w:val="22"/>
        </w:rPr>
        <w:t>.</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4"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hyperlink r:id="rId35"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6"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hyperlink r:id="rId37"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hyperlink r:id="rId38" w:history="1">
        <w:r>
          <w:rPr>
            <w:rStyle w:val="Hyperlink"/>
            <w:sz w:val="22"/>
            <w:szCs w:val="22"/>
          </w:rPr>
          <w:t>www.commerce.wa.gov.au/ConsumerProtection</w:t>
        </w:r>
      </w:hyperlink>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hyperlink r:id="rId39" w:history="1">
        <w:r>
          <w:rPr>
            <w:rStyle w:val="Hyperlink"/>
            <w:sz w:val="22"/>
            <w:szCs w:val="22"/>
          </w:rPr>
          <w:t>www.commerce.wa.gov.au/ConsumerProtection</w:t>
        </w:r>
      </w:hyperlink>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57" w:name="_Toc455051736"/>
      <w:bookmarkStart w:id="58" w:name="_Toc455051789"/>
      <w:r>
        <w:rPr>
          <w:rStyle w:val="CharSchNo"/>
        </w:rPr>
        <w:t>Schedule 5</w:t>
      </w:r>
      <w:r>
        <w:rPr>
          <w:rStyle w:val="CharSDivNo"/>
        </w:rPr>
        <w:t> </w:t>
      </w:r>
      <w:r>
        <w:t>—</w:t>
      </w:r>
      <w:r>
        <w:rPr>
          <w:rStyle w:val="CharSDivText"/>
        </w:rPr>
        <w:t> </w:t>
      </w:r>
      <w:r>
        <w:rPr>
          <w:rStyle w:val="CharSchText"/>
        </w:rPr>
        <w:t>Prescribed offences and modified penalties</w:t>
      </w:r>
      <w:bookmarkEnd w:id="57"/>
      <w:bookmarkEnd w:id="58"/>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59" w:name="_Toc455051737"/>
      <w:bookmarkStart w:id="60" w:name="_Toc455051790"/>
      <w:r>
        <w:t>Notes</w:t>
      </w:r>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 w:name="_Toc455051791"/>
      <w:r>
        <w:rPr>
          <w:snapToGrid w:val="0"/>
        </w:rPr>
        <w:t>Compilation table</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2014</w:t>
            </w:r>
          </w:p>
        </w:tc>
        <w:tc>
          <w:tcPr>
            <w:tcW w:w="1276" w:type="dxa"/>
            <w:shd w:val="clear" w:color="auto" w:fill="auto"/>
          </w:tcPr>
          <w:p>
            <w:pPr>
              <w:pStyle w:val="nTable"/>
              <w:spacing w:before="30" w:after="30"/>
            </w:pPr>
            <w:r>
              <w:t>21 Mar 2014 p. 730</w:t>
            </w:r>
            <w:r>
              <w:noBreakHyphen/>
              <w:t>1</w:t>
            </w:r>
          </w:p>
        </w:tc>
        <w:tc>
          <w:tcPr>
            <w:tcW w:w="2693" w:type="dxa"/>
            <w:shd w:val="clear" w:color="auto" w:fill="auto"/>
          </w:tcPr>
          <w:p>
            <w:pPr>
              <w:pStyle w:val="nTable"/>
              <w:spacing w:before="30" w:after="30"/>
            </w:pPr>
            <w:r>
              <w:t>r. 1 and 2: 21 Mar 2014 (see r. 2(a));</w:t>
            </w:r>
            <w:r>
              <w:br/>
              <w:t>Regulations other than r. 1 and 2: 1 Feb 2016 (see r. 2(b))</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before="30" w:after="30"/>
            </w:pPr>
            <w:r>
              <w:rPr>
                <w:i/>
              </w:rPr>
              <w:t>Residential Tenancies Amendment Regulations 2015</w:t>
            </w:r>
            <w:r>
              <w:t xml:space="preserve"> </w:t>
            </w:r>
          </w:p>
        </w:tc>
        <w:tc>
          <w:tcPr>
            <w:tcW w:w="1276" w:type="dxa"/>
            <w:shd w:val="clear" w:color="auto" w:fill="auto"/>
          </w:tcPr>
          <w:p>
            <w:pPr>
              <w:pStyle w:val="nTable"/>
              <w:spacing w:before="30" w:after="30"/>
            </w:pPr>
            <w:r>
              <w:t>21 Aug 2015 p. 3311</w:t>
            </w:r>
            <w:r>
              <w:noBreakHyphen/>
              <w:t>16</w:t>
            </w:r>
          </w:p>
        </w:tc>
        <w:tc>
          <w:tcPr>
            <w:tcW w:w="2693" w:type="dxa"/>
            <w:shd w:val="clear" w:color="auto" w:fill="auto"/>
          </w:tcPr>
          <w:p>
            <w:pPr>
              <w:pStyle w:val="nTable"/>
              <w:spacing w:before="30" w:after="3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before="30" w:after="30"/>
              <w:rPr>
                <w:i/>
              </w:rPr>
            </w:pPr>
            <w:r>
              <w:rPr>
                <w:i/>
              </w:rPr>
              <w:t>Residential Tenancies Amendment Regulations (No. 2) 2015</w:t>
            </w:r>
          </w:p>
        </w:tc>
        <w:tc>
          <w:tcPr>
            <w:tcW w:w="1276" w:type="dxa"/>
            <w:shd w:val="clear" w:color="auto" w:fill="auto"/>
          </w:tcPr>
          <w:p>
            <w:pPr>
              <w:pStyle w:val="nTable"/>
              <w:spacing w:before="30" w:after="30"/>
            </w:pPr>
            <w:r>
              <w:t>29 Dec 2015 p. 5171</w:t>
            </w:r>
          </w:p>
        </w:tc>
        <w:tc>
          <w:tcPr>
            <w:tcW w:w="2693" w:type="dxa"/>
            <w:shd w:val="clear" w:color="auto" w:fill="auto"/>
          </w:tcPr>
          <w:p>
            <w:pPr>
              <w:pStyle w:val="nTable"/>
              <w:spacing w:before="30" w:after="30"/>
              <w:rPr>
                <w:snapToGrid w:val="0"/>
              </w:rPr>
            </w:pPr>
            <w:r>
              <w:rPr>
                <w:snapToGrid w:val="0"/>
              </w:rPr>
              <w:t>r. 1 and 2: 29 Dec 2015 (see r. 2(a));</w:t>
            </w:r>
            <w:r>
              <w:rPr>
                <w:snapToGrid w:val="0"/>
              </w:rPr>
              <w:br/>
              <w:t>Regulations other than r. 1 and 2: 1 Jan 2016 (see r. 2(b))</w:t>
            </w:r>
          </w:p>
        </w:tc>
      </w:tr>
      <w:tr>
        <w:tc>
          <w:tcPr>
            <w:tcW w:w="3118" w:type="dxa"/>
            <w:tcBorders>
              <w:bottom w:val="single" w:sz="4" w:space="0" w:color="auto"/>
            </w:tcBorders>
            <w:shd w:val="clear" w:color="auto" w:fill="auto"/>
          </w:tcPr>
          <w:p>
            <w:pPr>
              <w:pStyle w:val="nTable"/>
              <w:spacing w:before="30" w:after="30"/>
              <w:rPr>
                <w:i/>
              </w:rPr>
            </w:pPr>
            <w:r>
              <w:rPr>
                <w:i/>
              </w:rPr>
              <w:t xml:space="preserve">Commerce Regulations Amendment (Fees and Charges) Regulations 2016 </w:t>
            </w:r>
            <w:r>
              <w:t>Pt. 17</w:t>
            </w:r>
          </w:p>
        </w:tc>
        <w:tc>
          <w:tcPr>
            <w:tcW w:w="1276" w:type="dxa"/>
            <w:tcBorders>
              <w:bottom w:val="single" w:sz="4" w:space="0" w:color="auto"/>
            </w:tcBorders>
            <w:shd w:val="clear" w:color="auto" w:fill="auto"/>
          </w:tcPr>
          <w:p>
            <w:pPr>
              <w:pStyle w:val="nTable"/>
              <w:spacing w:before="30" w:after="30"/>
            </w:pPr>
            <w:r>
              <w:t>3 Jun 2016 p. 1745-73</w:t>
            </w:r>
          </w:p>
        </w:tc>
        <w:tc>
          <w:tcPr>
            <w:tcW w:w="2693" w:type="dxa"/>
            <w:tcBorders>
              <w:bottom w:val="single" w:sz="4" w:space="0" w:color="auto"/>
            </w:tcBorders>
            <w:shd w:val="clear" w:color="auto" w:fill="auto"/>
          </w:tcPr>
          <w:p>
            <w:pPr>
              <w:pStyle w:val="nTable"/>
              <w:spacing w:before="30" w:after="30"/>
              <w:rPr>
                <w:snapToGrid w:val="0"/>
              </w:rPr>
            </w:pPr>
            <w:r>
              <w:rPr>
                <w:snapToGrid w:val="0"/>
              </w:rPr>
              <w:t>1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 w:name="_Toc455051792"/>
      <w:r>
        <w:t>Provisions that have not come into operation</w:t>
      </w:r>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8" w:space="0" w:color="auto"/>
            </w:tcBorders>
          </w:tcPr>
          <w:p>
            <w:pPr>
              <w:pStyle w:val="nTable"/>
              <w:spacing w:after="40"/>
            </w:pPr>
            <w:r>
              <w:rPr>
                <w:i/>
              </w:rPr>
              <w:t>Residential Tenancies Amendment Regulations 2016</w:t>
            </w:r>
            <w:r>
              <w:t> r. 3-4</w:t>
            </w:r>
            <w:r>
              <w:rPr>
                <w:vertAlign w:val="superscript"/>
              </w:rPr>
              <w:t xml:space="preserve"> 7</w:t>
            </w:r>
          </w:p>
        </w:tc>
        <w:tc>
          <w:tcPr>
            <w:tcW w:w="1276" w:type="dxa"/>
            <w:tcBorders>
              <w:bottom w:val="single" w:sz="8" w:space="0" w:color="auto"/>
            </w:tcBorders>
          </w:tcPr>
          <w:p>
            <w:pPr>
              <w:pStyle w:val="nTable"/>
              <w:spacing w:after="40"/>
            </w:pPr>
            <w:r>
              <w:t>3 Jun 2016 p. 1714</w:t>
            </w:r>
            <w:r>
              <w:noBreakHyphen/>
              <w:t>16</w:t>
            </w:r>
          </w:p>
        </w:tc>
        <w:tc>
          <w:tcPr>
            <w:tcW w:w="2693" w:type="dxa"/>
            <w:tcBorders>
              <w:bottom w:val="single" w:sz="8" w:space="0" w:color="auto"/>
            </w:tcBorders>
          </w:tcPr>
          <w:p>
            <w:pPr>
              <w:pStyle w:val="nTable"/>
              <w:spacing w:after="40"/>
            </w:pPr>
            <w:r>
              <w:t>1 Sep 2016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200"/>
        <w:rPr>
          <w:snapToGrid w:val="0"/>
        </w:rPr>
      </w:pPr>
      <w:r>
        <w:rPr>
          <w:vertAlign w:val="superscript"/>
        </w:rPr>
        <w:t>7</w:t>
      </w:r>
      <w:r>
        <w:tab/>
        <w:t xml:space="preserve">On </w:t>
      </w:r>
      <w:r>
        <w:rPr>
          <w:snapToGrid w:val="0"/>
        </w:rPr>
        <w:t>the</w:t>
      </w:r>
      <w:r>
        <w:t xml:space="preserve"> date as at which this compilation was prepared, </w:t>
      </w:r>
      <w:r>
        <w:rPr>
          <w:snapToGrid w:val="0"/>
        </w:rPr>
        <w:t xml:space="preserve">the </w:t>
      </w:r>
      <w:r>
        <w:rPr>
          <w:i/>
        </w:rPr>
        <w:t xml:space="preserve">Residential Tenancies Amendment Regulations 2016 </w:t>
      </w:r>
      <w:r>
        <w:t>r. 3-4</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Regulation 7H inserted</w:t>
      </w:r>
    </w:p>
    <w:p>
      <w:pPr>
        <w:pStyle w:val="nzSubsection"/>
      </w:pPr>
      <w:r>
        <w:tab/>
      </w:r>
      <w:r>
        <w:tab/>
        <w:t>At the end of Part 2 insert:</w:t>
      </w:r>
    </w:p>
    <w:p>
      <w:pPr>
        <w:pStyle w:val="BlankOpen"/>
      </w:pPr>
    </w:p>
    <w:p>
      <w:pPr>
        <w:pStyle w:val="nzHeading5"/>
      </w:pPr>
      <w:r>
        <w:t>7H.</w:t>
      </w:r>
      <w:r>
        <w:tab/>
        <w:t>Modified application of Schedule 1 clauses 5A and 5 of the Act</w:t>
      </w:r>
    </w:p>
    <w:p>
      <w:pPr>
        <w:pStyle w:val="nz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nzMiscellaneousBody"/>
        <w:tabs>
          <w:tab w:val="left" w:pos="993"/>
          <w:tab w:val="left" w:pos="1418"/>
        </w:tabs>
      </w:pPr>
      <w:r>
        <w:tab/>
        <w:t>(2)</w:t>
      </w:r>
      <w:r>
        <w:tab/>
        <w:t xml:space="preserve">The payment must be made — </w:t>
      </w:r>
    </w:p>
    <w:p>
      <w:pPr>
        <w:pStyle w:val="nzMiscellaneousBody"/>
        <w:tabs>
          <w:tab w:val="left" w:pos="1418"/>
          <w:tab w:val="left" w:pos="1985"/>
        </w:tabs>
        <w:ind w:left="1985" w:hanging="1418"/>
      </w:pPr>
      <w:r>
        <w:tab/>
        <w:t>(a)</w:t>
      </w:r>
      <w:r>
        <w:tab/>
        <w:t>if subclause (3) applies, either directly or by lodging the amount with an authorised agent of the bond administrator; or</w:t>
      </w:r>
    </w:p>
    <w:p>
      <w:pPr>
        <w:pStyle w:val="nzMiscellaneousBody"/>
        <w:tabs>
          <w:tab w:val="left" w:pos="1418"/>
          <w:tab w:val="left" w:pos="1985"/>
        </w:tabs>
        <w:ind w:left="1985" w:hanging="1418"/>
      </w:pPr>
      <w:r>
        <w:tab/>
        <w:t>(b)</w:t>
      </w:r>
      <w:r>
        <w:tab/>
        <w:t>otherwise, using the Bonds Online eTransactions system administered by the bond administrator and available on the website maintained by the Department at www.commerce.wa.gov.au/consumer</w:t>
      </w:r>
      <w:r>
        <w:noBreakHyphen/>
        <w:t>protection/bondsonline.</w:t>
      </w:r>
    </w:p>
    <w:p>
      <w:pPr>
        <w:pStyle w:val="nzMiscellaneousBody"/>
        <w:tabs>
          <w:tab w:val="left" w:pos="993"/>
          <w:tab w:val="left" w:pos="1418"/>
        </w:tabs>
      </w:pPr>
      <w:r>
        <w:tab/>
        <w:t>(3)</w:t>
      </w:r>
      <w:r>
        <w:tab/>
        <w:t xml:space="preserve">This subclause applies if — </w:t>
      </w:r>
    </w:p>
    <w:p>
      <w:pPr>
        <w:pStyle w:val="nzMiscellaneousBody"/>
        <w:tabs>
          <w:tab w:val="left" w:pos="1418"/>
          <w:tab w:val="left" w:pos="1985"/>
        </w:tabs>
        <w:ind w:left="1985" w:hanging="1418"/>
      </w:pPr>
      <w:r>
        <w:tab/>
        <w:t>(a)</w:t>
      </w:r>
      <w:r>
        <w:tab/>
        <w:t xml:space="preserve">the tenant does not have one or more of the following — </w:t>
      </w:r>
    </w:p>
    <w:p>
      <w:pPr>
        <w:pStyle w:val="nzMiscellaneousBody"/>
        <w:tabs>
          <w:tab w:val="left" w:pos="2127"/>
          <w:tab w:val="left" w:pos="2694"/>
        </w:tabs>
        <w:ind w:left="2694" w:hanging="2127"/>
      </w:pPr>
      <w:r>
        <w:tab/>
        <w:t>(i)</w:t>
      </w:r>
      <w:r>
        <w:tab/>
        <w:t>a mobile telephone number used exclusively by the tenant;</w:t>
      </w:r>
    </w:p>
    <w:p>
      <w:pPr>
        <w:pStyle w:val="nzMiscellaneousBody"/>
        <w:tabs>
          <w:tab w:val="left" w:pos="2127"/>
          <w:tab w:val="left" w:pos="2694"/>
        </w:tabs>
        <w:ind w:left="2694" w:hanging="2127"/>
      </w:pPr>
      <w:r>
        <w:tab/>
        <w:t>(ii)</w:t>
      </w:r>
      <w:r>
        <w:tab/>
        <w:t>an email address used exclusively by the tenant;</w:t>
      </w:r>
    </w:p>
    <w:p>
      <w:pPr>
        <w:pStyle w:val="nzMiscellaneousBody"/>
        <w:tabs>
          <w:tab w:val="left" w:pos="2127"/>
          <w:tab w:val="left" w:pos="2694"/>
        </w:tabs>
        <w:ind w:left="2694" w:hanging="2127"/>
      </w:pPr>
      <w:r>
        <w:tab/>
        <w:t>(iii)</w:t>
      </w:r>
      <w:r>
        <w:tab/>
        <w:t>internet access to check their email account;</w:t>
      </w:r>
    </w:p>
    <w:p>
      <w:pPr>
        <w:pStyle w:val="nzMiscellaneousBody"/>
        <w:tabs>
          <w:tab w:val="left" w:pos="2127"/>
          <w:tab w:val="left" w:pos="2694"/>
        </w:tabs>
        <w:ind w:left="2694" w:hanging="2127"/>
      </w:pPr>
      <w:r>
        <w:tab/>
        <w:t>(iv)</w:t>
      </w:r>
      <w:r>
        <w:tab/>
        <w:t>competence in the use of a mobile telephone or email;</w:t>
      </w:r>
    </w:p>
    <w:p>
      <w:pPr>
        <w:pStyle w:val="nzMiscellaneousBody"/>
        <w:tabs>
          <w:tab w:val="left" w:pos="2127"/>
          <w:tab w:val="left" w:pos="2694"/>
        </w:tabs>
        <w:ind w:left="2694" w:hanging="2127"/>
      </w:pPr>
      <w:r>
        <w:tab/>
        <w:t>(v)</w:t>
      </w:r>
      <w:r>
        <w:tab/>
        <w:t>a sound understanding of the English language;</w:t>
      </w:r>
    </w:p>
    <w:p>
      <w:pPr>
        <w:pStyle w:val="nzMiscellaneousBody"/>
        <w:tabs>
          <w:tab w:val="left" w:pos="1418"/>
          <w:tab w:val="left" w:pos="1985"/>
        </w:tabs>
        <w:ind w:left="1985" w:hanging="1418"/>
      </w:pPr>
      <w:r>
        <w:tab/>
      </w:r>
      <w:r>
        <w:tab/>
        <w:t>or</w:t>
      </w:r>
    </w:p>
    <w:p>
      <w:pPr>
        <w:pStyle w:val="nzMiscellaneousBody"/>
        <w:tabs>
          <w:tab w:val="left" w:pos="1418"/>
          <w:tab w:val="left" w:pos="1985"/>
        </w:tabs>
        <w:ind w:left="1985" w:hanging="1418"/>
      </w:pPr>
      <w:r>
        <w:tab/>
        <w:t>(b)</w:t>
      </w:r>
      <w:r>
        <w:tab/>
        <w:t>the payment is made by way of the transfer of a security bond from one property to another property; or</w:t>
      </w:r>
    </w:p>
    <w:p>
      <w:pPr>
        <w:pStyle w:val="nzMiscellaneousBody"/>
        <w:tabs>
          <w:tab w:val="left" w:pos="1418"/>
          <w:tab w:val="left" w:pos="1985"/>
        </w:tabs>
        <w:ind w:left="1985" w:hanging="1418"/>
      </w:pPr>
      <w:r>
        <w:tab/>
        <w:t>(c)</w:t>
      </w:r>
      <w:r>
        <w:tab/>
        <w:t>the bond administrator or an authorised agent has approved the making of the payment in accordance with subclause 2(a).</w:t>
      </w:r>
    </w:p>
    <w:p>
      <w:pPr>
        <w:pStyle w:val="BlankOpen"/>
        <w:keepNext w:val="0"/>
      </w:pPr>
    </w:p>
    <w:p>
      <w:pPr>
        <w:pStyle w:val="nz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nzIndenta"/>
      </w:pPr>
      <w:r>
        <w:tab/>
        <w:t>(a)</w:t>
      </w:r>
      <w:r>
        <w:tab/>
        <w:t>in subclause (1)(a) before “</w:t>
      </w:r>
      <w:r>
        <w:rPr>
          <w:sz w:val="22"/>
          <w:szCs w:val="22"/>
        </w:rPr>
        <w:t>an application</w:t>
      </w:r>
      <w:r>
        <w:t>” by inserting:</w:t>
      </w:r>
    </w:p>
    <w:p>
      <w:pPr>
        <w:pStyle w:val="BlankOpen"/>
      </w:pPr>
    </w:p>
    <w:p>
      <w:pPr>
        <w:pStyle w:val="nzIndenta"/>
      </w:pPr>
      <w:r>
        <w:tab/>
      </w:r>
      <w:r>
        <w:tab/>
      </w:r>
      <w:r>
        <w:rPr>
          <w:sz w:val="22"/>
          <w:szCs w:val="22"/>
        </w:rPr>
        <w:t>if subclause (1A) applies,</w:t>
      </w:r>
    </w:p>
    <w:p>
      <w:pPr>
        <w:pStyle w:val="BlankClose"/>
      </w:pPr>
    </w:p>
    <w:p>
      <w:pPr>
        <w:pStyle w:val="nzIndenta"/>
      </w:pPr>
      <w:r>
        <w:tab/>
        <w:t>(b)</w:t>
      </w:r>
      <w:r>
        <w:tab/>
        <w:t>by deleting subclause (1)(b) and inserting:</w:t>
      </w:r>
    </w:p>
    <w:p>
      <w:pPr>
        <w:pStyle w:val="BlankOpen"/>
      </w:pPr>
    </w:p>
    <w:p>
      <w:pPr>
        <w:pStyle w:val="nzMiscellaneousBody"/>
        <w:tabs>
          <w:tab w:val="left" w:pos="1418"/>
          <w:tab w:val="left" w:pos="1985"/>
        </w:tabs>
        <w:ind w:left="1985" w:hanging="1418"/>
      </w:pPr>
      <w:r>
        <w:tab/>
        <w:t>(b)</w:t>
      </w:r>
      <w:r>
        <w:tab/>
        <w:t>if an order has been made under clause 8, a copy of that order; or</w:t>
      </w:r>
    </w:p>
    <w:p>
      <w:pPr>
        <w:pStyle w:val="nzMiscellaneousBody"/>
        <w:tabs>
          <w:tab w:val="left" w:pos="1418"/>
          <w:tab w:val="left" w:pos="1985"/>
        </w:tabs>
        <w:ind w:left="1985" w:hanging="1418"/>
      </w:pPr>
      <w:r>
        <w:tab/>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www.commerce.wa.gov.au/consumer</w:t>
      </w:r>
      <w:r>
        <w:noBreakHyphen/>
        <w:t>protection/bondsonline,</w:t>
      </w:r>
    </w:p>
    <w:p>
      <w:pPr>
        <w:pStyle w:val="BlankClose"/>
      </w:pPr>
    </w:p>
    <w:p>
      <w:pPr>
        <w:pStyle w:val="nzIndenta"/>
      </w:pPr>
      <w:r>
        <w:tab/>
        <w:t>(c)</w:t>
      </w:r>
      <w:r>
        <w:tab/>
        <w:t>after subclause (1) by inserting:</w:t>
      </w:r>
    </w:p>
    <w:p>
      <w:pPr>
        <w:pStyle w:val="BlankOpen"/>
      </w:pPr>
    </w:p>
    <w:p>
      <w:pPr>
        <w:pStyle w:val="nzSubsection"/>
      </w:pPr>
      <w:r>
        <w:tab/>
        <w:t>(1A)</w:t>
      </w:r>
      <w:r>
        <w:tab/>
        <w:t xml:space="preserve">This subclause applies if — </w:t>
      </w:r>
    </w:p>
    <w:p>
      <w:pPr>
        <w:pStyle w:val="nzMiscellaneousBody"/>
        <w:tabs>
          <w:tab w:val="left" w:pos="1418"/>
          <w:tab w:val="left" w:pos="1985"/>
        </w:tabs>
        <w:ind w:left="1985" w:hanging="1418"/>
      </w:pPr>
      <w:r>
        <w:tab/>
        <w:t>(a)</w:t>
      </w:r>
      <w:r>
        <w:tab/>
        <w:t xml:space="preserve">the tenant does not have one or more of the following — </w:t>
      </w:r>
    </w:p>
    <w:p>
      <w:pPr>
        <w:pStyle w:val="nzMiscellaneousBody"/>
        <w:tabs>
          <w:tab w:val="left" w:pos="2127"/>
          <w:tab w:val="left" w:pos="2694"/>
        </w:tabs>
        <w:ind w:left="2694" w:hanging="2127"/>
      </w:pPr>
      <w:r>
        <w:tab/>
        <w:t>(i)</w:t>
      </w:r>
      <w:r>
        <w:tab/>
        <w:t>a mobile telephone number used exclusively by the tenant;</w:t>
      </w:r>
    </w:p>
    <w:p>
      <w:pPr>
        <w:pStyle w:val="nzMiscellaneousBody"/>
        <w:tabs>
          <w:tab w:val="left" w:pos="2127"/>
          <w:tab w:val="left" w:pos="2694"/>
        </w:tabs>
        <w:ind w:left="2694" w:hanging="2127"/>
      </w:pPr>
      <w:r>
        <w:tab/>
        <w:t>(ii)</w:t>
      </w:r>
      <w:r>
        <w:tab/>
        <w:t>an email address used exclusively by the tenant;</w:t>
      </w:r>
    </w:p>
    <w:p>
      <w:pPr>
        <w:pStyle w:val="nzMiscellaneousBody"/>
        <w:tabs>
          <w:tab w:val="left" w:pos="2127"/>
          <w:tab w:val="left" w:pos="2694"/>
        </w:tabs>
        <w:ind w:left="2694" w:hanging="2127"/>
      </w:pPr>
      <w:r>
        <w:tab/>
        <w:t>(iii)</w:t>
      </w:r>
      <w:r>
        <w:tab/>
        <w:t>internet access to check their email account;</w:t>
      </w:r>
    </w:p>
    <w:p>
      <w:pPr>
        <w:pStyle w:val="nzMiscellaneousBody"/>
        <w:tabs>
          <w:tab w:val="left" w:pos="2127"/>
          <w:tab w:val="left" w:pos="2694"/>
        </w:tabs>
        <w:ind w:left="2694" w:hanging="2127"/>
      </w:pPr>
      <w:r>
        <w:tab/>
        <w:t>(iv)</w:t>
      </w:r>
      <w:r>
        <w:tab/>
        <w:t xml:space="preserve">competence in the use of a mobile telephone or email; </w:t>
      </w:r>
    </w:p>
    <w:p>
      <w:pPr>
        <w:pStyle w:val="nzMiscellaneousBody"/>
        <w:tabs>
          <w:tab w:val="left" w:pos="2127"/>
          <w:tab w:val="left" w:pos="2694"/>
        </w:tabs>
        <w:ind w:left="2694" w:hanging="2127"/>
      </w:pPr>
      <w:r>
        <w:tab/>
        <w:t>(v)</w:t>
      </w:r>
      <w:r>
        <w:tab/>
        <w:t>a sound understanding of the English language;</w:t>
      </w:r>
    </w:p>
    <w:p>
      <w:pPr>
        <w:pStyle w:val="nzMiscellaneousBody"/>
        <w:tabs>
          <w:tab w:val="left" w:pos="1418"/>
          <w:tab w:val="left" w:pos="1985"/>
        </w:tabs>
        <w:ind w:left="1985" w:hanging="1418"/>
      </w:pPr>
      <w:r>
        <w:tab/>
      </w:r>
      <w:r>
        <w:tab/>
        <w:t>or</w:t>
      </w:r>
    </w:p>
    <w:p>
      <w:pPr>
        <w:pStyle w:val="nzMiscellaneousBody"/>
        <w:tabs>
          <w:tab w:val="left" w:pos="1418"/>
          <w:tab w:val="left" w:pos="1985"/>
        </w:tabs>
        <w:ind w:left="1985" w:hanging="1418"/>
      </w:pPr>
      <w:r>
        <w:tab/>
        <w:t>(b)</w:t>
      </w:r>
      <w:r>
        <w:tab/>
        <w:t>the application relates to the disposal of a security bond to an overseas bank account; or</w:t>
      </w:r>
    </w:p>
    <w:p>
      <w:pPr>
        <w:pStyle w:val="nzMiscellaneousBody"/>
        <w:tabs>
          <w:tab w:val="left" w:pos="1418"/>
          <w:tab w:val="left" w:pos="1985"/>
        </w:tabs>
        <w:ind w:left="1985" w:hanging="1418"/>
      </w:pPr>
      <w:r>
        <w:tab/>
        <w:t>(c)</w:t>
      </w:r>
      <w:r>
        <w:tab/>
        <w:t>the application relates to the transfer of a security bond from one property to another, or from one property manager to another property manager; or</w:t>
      </w:r>
    </w:p>
    <w:p>
      <w:pPr>
        <w:pStyle w:val="nzMiscellaneousBody"/>
        <w:tabs>
          <w:tab w:val="left" w:pos="1418"/>
          <w:tab w:val="left" w:pos="1985"/>
        </w:tabs>
        <w:ind w:left="1985" w:hanging="1418"/>
      </w:pPr>
      <w:r>
        <w:tab/>
        <w:t>(d)</w:t>
      </w:r>
      <w:r>
        <w:tab/>
        <w:t>the bond administrator or an authorised agent has approved the lodging of an application in accordance with subclause (1)(a)(ii).</w:t>
      </w:r>
    </w:p>
    <w:p>
      <w:pPr>
        <w:pStyle w:val="BlankClose"/>
      </w:pPr>
    </w:p>
    <w:p>
      <w:pPr>
        <w:pStyle w:val="BlankClose"/>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nHeading2"/>
        <w:rPr>
          <w:sz w:val="28"/>
        </w:rPr>
      </w:pPr>
      <w:bookmarkStart w:id="64" w:name="_Toc455051740"/>
      <w:bookmarkStart w:id="65" w:name="_Toc455051793"/>
      <w:r>
        <w:rPr>
          <w:sz w:val="28"/>
        </w:rPr>
        <w:t>Defined terms</w:t>
      </w:r>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04-n0-01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04-n0-01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1"/>
  </w:num>
  <w:num w:numId="14">
    <w:abstractNumId w:val="24"/>
  </w:num>
  <w:num w:numId="15">
    <w:abstractNumId w:val="26"/>
  </w:num>
  <w:num w:numId="16">
    <w:abstractNumId w:val="15"/>
  </w:num>
  <w:num w:numId="17">
    <w:abstractNumId w:val="11"/>
  </w:num>
  <w:num w:numId="18">
    <w:abstractNumId w:val="27"/>
  </w:num>
  <w:num w:numId="19">
    <w:abstractNumId w:val="17"/>
  </w:num>
  <w:num w:numId="20">
    <w:abstractNumId w:val="12"/>
  </w:num>
  <w:num w:numId="21">
    <w:abstractNumId w:val="29"/>
  </w:num>
  <w:num w:numId="22">
    <w:abstractNumId w:val="28"/>
  </w:num>
  <w:num w:numId="23">
    <w:abstractNumId w:val="22"/>
  </w:num>
  <w:num w:numId="24">
    <w:abstractNumId w:val="14"/>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20214"/>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image" Target="media/image2.png"/><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yperlink" Target="http://www.commerce.wa.gov.au/ConsumerProtection" TargetMode="Externa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http://www.commerce.wa.gov.au/ConsumerProtection" TargetMode="Externa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file:///C:\PCO%20Work\Regs\Residential%20Tenancies%20Amendment%20Regulations%202013\www.commerce.wa.gov.au\ConsumerProtection" TargetMode="Externa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ommerce.wa.gov.au/ConsumerProtection" TargetMode="External"/><Relationship Id="rId44" Type="http://schemas.openxmlformats.org/officeDocument/2006/relationships/header" Target="header16.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file:///C:\PCO%20Work\Regs\Residential%20Tenancies%20Amendment%20Regulations%202013\www.commerce.wa.gov.au\ConsumerProtection" TargetMode="External"/><Relationship Id="rId35" Type="http://schemas.openxmlformats.org/officeDocument/2006/relationships/hyperlink" Target="http://www.commerce.wa.gov.au/ConsumerProtection" TargetMode="Externa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68BF-F112-4296-84D5-3B253381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28972</Words>
  <Characters>146893</Characters>
  <Application>Microsoft Office Word</Application>
  <DocSecurity>0</DocSecurity>
  <Lines>4451</Lines>
  <Paragraphs>2442</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1989 - 04-n0-01</dc:title>
  <dc:subject/>
  <dc:creator/>
  <cp:keywords/>
  <dc:description/>
  <cp:lastModifiedBy>svcMRProcess</cp:lastModifiedBy>
  <cp:revision>4</cp:revision>
  <cp:lastPrinted>2013-07-23T23:36:00Z</cp:lastPrinted>
  <dcterms:created xsi:type="dcterms:W3CDTF">2016-07-14T03:19:00Z</dcterms:created>
  <dcterms:modified xsi:type="dcterms:W3CDTF">2016-07-14T03:19:00Z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AsAtDate">
    <vt:lpwstr>01 Jul 2016</vt:lpwstr>
  </property>
  <property fmtid="{D5CDD505-2E9C-101B-9397-08002B2CF9AE}" pid="8" name="Suffix">
    <vt:lpwstr>04-n0-01</vt:lpwstr>
  </property>
  <property fmtid="{D5CDD505-2E9C-101B-9397-08002B2CF9AE}" pid="9" name="CommencementDate">
    <vt:lpwstr>20160701</vt:lpwstr>
  </property>
</Properties>
</file>