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Jetties Act 1926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Jetties Regulations 1940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Jetties Regulations 1940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_Toc455151412 \h </w:instrText>
      </w:r>
      <w:r>
        <w:fldChar w:fldCharType="separate"/>
      </w:r>
      <w:r>
        <w:t>1</w:t>
      </w:r>
      <w:r>
        <w:fldChar w:fldCharType="end"/>
      </w:r>
    </w:p>
    <w:p>
      <w:pPr>
        <w:pStyle w:val="TOC8"/>
        <w:rPr>
          <w:rFonts w:asciiTheme="minorHAnsi" w:eastAsiaTheme="minorEastAsia" w:hAnsiTheme="minorHAnsi" w:cstheme="minorBidi"/>
          <w:szCs w:val="22"/>
        </w:rPr>
      </w:pPr>
      <w:r>
        <w:t>2.</w:t>
      </w:r>
      <w:r>
        <w:tab/>
        <w:t>Liability for dues and charges</w:t>
      </w:r>
      <w:r>
        <w:tab/>
      </w:r>
      <w:r>
        <w:fldChar w:fldCharType="begin"/>
      </w:r>
      <w:r>
        <w:instrText xml:space="preserve"> PAGEREF _Toc455151413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_Toc455151414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 — Regulations applying to jetties controlled by the Department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3A</w:t>
      </w:r>
      <w:r>
        <w:rPr>
          <w:snapToGrid w:val="0"/>
        </w:rPr>
        <w:t>.</w:t>
      </w:r>
      <w:r>
        <w:rPr>
          <w:snapToGrid w:val="0"/>
        </w:rPr>
        <w:tab/>
        <w:t>Application</w:t>
      </w:r>
      <w:r>
        <w:tab/>
      </w:r>
      <w:r>
        <w:fldChar w:fldCharType="begin"/>
      </w:r>
      <w:r>
        <w:instrText xml:space="preserve"> PAGEREF _Toc455151417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Arrival and movement of vessels</w:t>
      </w:r>
    </w:p>
    <w:p>
      <w:pPr>
        <w:pStyle w:val="TOC8"/>
        <w:rPr>
          <w:rFonts w:asciiTheme="minorHAnsi" w:eastAsiaTheme="minorEastAsia" w:hAnsiTheme="minorHAnsi" w:cstheme="minorBidi"/>
          <w:szCs w:val="22"/>
        </w:rPr>
      </w:pPr>
      <w:r>
        <w:t>4</w:t>
      </w:r>
      <w:r>
        <w:rPr>
          <w:snapToGrid w:val="0"/>
        </w:rPr>
        <w:t>.</w:t>
      </w:r>
      <w:r>
        <w:rPr>
          <w:snapToGrid w:val="0"/>
        </w:rPr>
        <w:tab/>
        <w:t>Master or agent to report arrival</w:t>
      </w:r>
      <w:r>
        <w:tab/>
      </w:r>
      <w:r>
        <w:fldChar w:fldCharType="begin"/>
      </w:r>
      <w:r>
        <w:instrText xml:space="preserve"> PAGEREF _Toc455151419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Vessels to change berths</w:t>
      </w:r>
      <w:r>
        <w:tab/>
      </w:r>
      <w:r>
        <w:fldChar w:fldCharType="begin"/>
      </w:r>
      <w:r>
        <w:instrText xml:space="preserve"> PAGEREF _Toc455151420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Berthing dues</w:t>
      </w:r>
    </w:p>
    <w:p>
      <w:pPr>
        <w:pStyle w:val="TOC8"/>
        <w:rPr>
          <w:rFonts w:asciiTheme="minorHAnsi" w:eastAsiaTheme="minorEastAsia" w:hAnsiTheme="minorHAnsi" w:cstheme="minorBidi"/>
          <w:szCs w:val="22"/>
        </w:rPr>
      </w:pPr>
      <w:r>
        <w:t>6.</w:t>
      </w:r>
      <w:r>
        <w:tab/>
        <w:t>Berthing dues</w:t>
      </w:r>
      <w:r>
        <w:tab/>
      </w:r>
      <w:r>
        <w:fldChar w:fldCharType="begin"/>
      </w:r>
      <w:r>
        <w:instrText xml:space="preserve"> PAGEREF _Toc455151422 \h </w:instrText>
      </w:r>
      <w:r>
        <w:fldChar w:fldCharType="separate"/>
      </w:r>
      <w:r>
        <w:t>6</w:t>
      </w:r>
      <w:r>
        <w:fldChar w:fldCharType="end"/>
      </w:r>
    </w:p>
    <w:p>
      <w:pPr>
        <w:pStyle w:val="TOC8"/>
        <w:rPr>
          <w:rFonts w:asciiTheme="minorHAnsi" w:eastAsiaTheme="minorEastAsia" w:hAnsiTheme="minorHAnsi" w:cstheme="minorBidi"/>
          <w:szCs w:val="22"/>
        </w:rPr>
      </w:pPr>
      <w:r>
        <w:t>6A.</w:t>
      </w:r>
      <w:r>
        <w:tab/>
        <w:t>Requirement to pay berthing dues</w:t>
      </w:r>
      <w:r>
        <w:tab/>
      </w:r>
      <w:r>
        <w:fldChar w:fldCharType="begin"/>
      </w:r>
      <w:r>
        <w:instrText xml:space="preserve"> PAGEREF _Toc455151423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Computation of berthing dues</w:t>
      </w:r>
      <w:r>
        <w:tab/>
      </w:r>
      <w:r>
        <w:fldChar w:fldCharType="begin"/>
      </w:r>
      <w:r>
        <w:instrText xml:space="preserve"> PAGEREF _Toc455151424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Inwards manifests</w:t>
      </w:r>
      <w:r>
        <w:tab/>
      </w:r>
      <w:r>
        <w:fldChar w:fldCharType="begin"/>
      </w:r>
      <w:r>
        <w:instrText xml:space="preserve"> PAGEREF _Toc455151425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Outwards manifests</w:t>
      </w:r>
      <w:r>
        <w:tab/>
      </w:r>
      <w:r>
        <w:fldChar w:fldCharType="begin"/>
      </w:r>
      <w:r>
        <w:instrText xml:space="preserve"> PAGEREF _Toc455151426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Wharfage dues, handling and haulage charges</w:t>
      </w:r>
    </w:p>
    <w:p>
      <w:pPr>
        <w:pStyle w:val="TOC8"/>
        <w:rPr>
          <w:rFonts w:asciiTheme="minorHAnsi" w:eastAsiaTheme="minorEastAsia" w:hAnsiTheme="minorHAnsi" w:cstheme="minorBidi"/>
          <w:szCs w:val="22"/>
        </w:rPr>
      </w:pPr>
      <w:r>
        <w:t>10A</w:t>
      </w:r>
      <w:r>
        <w:rPr>
          <w:snapToGrid w:val="0"/>
        </w:rPr>
        <w:t>.</w:t>
      </w:r>
      <w:r>
        <w:rPr>
          <w:snapToGrid w:val="0"/>
        </w:rPr>
        <w:tab/>
        <w:t>Payment of dues and charges</w:t>
      </w:r>
      <w:r>
        <w:tab/>
      </w:r>
      <w:r>
        <w:fldChar w:fldCharType="begin"/>
      </w:r>
      <w:r>
        <w:instrText xml:space="preserve"> PAGEREF _Toc455151428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Charges for transhipment cargo</w:t>
      </w:r>
      <w:r>
        <w:tab/>
      </w:r>
      <w:r>
        <w:fldChar w:fldCharType="begin"/>
      </w:r>
      <w:r>
        <w:instrText xml:space="preserve"> PAGEREF _Toc455151429 \h </w:instrText>
      </w:r>
      <w:r>
        <w:fldChar w:fldCharType="separate"/>
      </w:r>
      <w:r>
        <w:t>8</w:t>
      </w:r>
      <w:r>
        <w:fldChar w:fldCharType="end"/>
      </w:r>
    </w:p>
    <w:p>
      <w:pPr>
        <w:pStyle w:val="TOC8"/>
        <w:rPr>
          <w:rFonts w:asciiTheme="minorHAnsi" w:eastAsiaTheme="minorEastAsia" w:hAnsiTheme="minorHAnsi" w:cstheme="minorBidi"/>
          <w:szCs w:val="22"/>
        </w:rPr>
      </w:pPr>
      <w:r>
        <w:t>11B</w:t>
      </w:r>
      <w:r>
        <w:rPr>
          <w:snapToGrid w:val="0"/>
        </w:rPr>
        <w:t>.</w:t>
      </w:r>
      <w:r>
        <w:rPr>
          <w:snapToGrid w:val="0"/>
        </w:rPr>
        <w:tab/>
        <w:t>Charges on vessels’ stores, including fuel oil</w:t>
      </w:r>
      <w:r>
        <w:tab/>
      </w:r>
      <w:r>
        <w:fldChar w:fldCharType="begin"/>
      </w:r>
      <w:r>
        <w:instrText xml:space="preserve"> PAGEREF _Toc455151430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Charges to be paid before delivery of cargo</w:t>
      </w:r>
      <w:r>
        <w:tab/>
      </w:r>
      <w:r>
        <w:fldChar w:fldCharType="begin"/>
      </w:r>
      <w:r>
        <w:instrText xml:space="preserve"> PAGEREF _Toc455151431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Extra charges</w:t>
      </w:r>
      <w:r>
        <w:tab/>
      </w:r>
      <w:r>
        <w:fldChar w:fldCharType="begin"/>
      </w:r>
      <w:r>
        <w:instrText xml:space="preserve"> PAGEREF _Toc455151432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Handling of cargo</w:t>
      </w:r>
    </w:p>
    <w:p>
      <w:pPr>
        <w:pStyle w:val="TOC8"/>
        <w:rPr>
          <w:rFonts w:asciiTheme="minorHAnsi" w:eastAsiaTheme="minorEastAsia" w:hAnsiTheme="minorHAnsi" w:cstheme="minorBidi"/>
          <w:szCs w:val="22"/>
        </w:rPr>
      </w:pPr>
      <w:r>
        <w:t>14</w:t>
      </w:r>
      <w:r>
        <w:rPr>
          <w:snapToGrid w:val="0"/>
        </w:rPr>
        <w:t>.</w:t>
      </w:r>
      <w:r>
        <w:rPr>
          <w:snapToGrid w:val="0"/>
        </w:rPr>
        <w:tab/>
        <w:t>Cargo not to be placed on jetties or premises without authority</w:t>
      </w:r>
      <w:r>
        <w:tab/>
      </w:r>
      <w:r>
        <w:fldChar w:fldCharType="begin"/>
      </w:r>
      <w:r>
        <w:instrText xml:space="preserve"> PAGEREF _Toc455151434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Discharging of cargo may be stopped</w:t>
      </w:r>
      <w:r>
        <w:tab/>
      </w:r>
      <w:r>
        <w:fldChar w:fldCharType="begin"/>
      </w:r>
      <w:r>
        <w:instrText xml:space="preserve"> PAGEREF _Toc455151435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Goods not to be shifted without authority</w:t>
      </w:r>
      <w:r>
        <w:tab/>
      </w:r>
      <w:r>
        <w:fldChar w:fldCharType="begin"/>
      </w:r>
      <w:r>
        <w:instrText xml:space="preserve"> PAGEREF _Toc455151436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Bulk cargo not to be deposited without authority</w:t>
      </w:r>
      <w:r>
        <w:tab/>
      </w:r>
      <w:r>
        <w:fldChar w:fldCharType="begin"/>
      </w:r>
      <w:r>
        <w:instrText xml:space="preserve"> PAGEREF _Toc455151437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Outward cargo advice notes</w:t>
      </w:r>
      <w:r>
        <w:tab/>
      </w:r>
      <w:r>
        <w:fldChar w:fldCharType="begin"/>
      </w:r>
      <w:r>
        <w:instrText xml:space="preserve"> PAGEREF _Toc455151438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Outward cargo</w:t>
      </w:r>
      <w:r>
        <w:tab/>
      </w:r>
      <w:r>
        <w:fldChar w:fldCharType="begin"/>
      </w:r>
      <w:r>
        <w:instrText xml:space="preserve"> PAGEREF _Toc455151439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Dangerous cargo not to be shipped without permission</w:t>
      </w:r>
      <w:r>
        <w:tab/>
      </w:r>
      <w:r>
        <w:fldChar w:fldCharType="begin"/>
      </w:r>
      <w:r>
        <w:instrText xml:space="preserve"> PAGEREF _Toc455151440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Dangerous cargo may be refused or examined</w:t>
      </w:r>
      <w:r>
        <w:tab/>
      </w:r>
      <w:r>
        <w:fldChar w:fldCharType="begin"/>
      </w:r>
      <w:r>
        <w:instrText xml:space="preserve"> PAGEREF _Toc455151441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Marking of heavy packages</w:t>
      </w:r>
      <w:r>
        <w:tab/>
      </w:r>
      <w:r>
        <w:fldChar w:fldCharType="begin"/>
      </w:r>
      <w:r>
        <w:instrText xml:space="preserve"> PAGEREF _Toc455151442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False statements</w:t>
      </w:r>
      <w:r>
        <w:tab/>
      </w:r>
      <w:r>
        <w:fldChar w:fldCharType="begin"/>
      </w:r>
      <w:r>
        <w:instrText xml:space="preserve"> PAGEREF _Toc455151443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Receipt, delivery and storage of cargo</w:t>
      </w:r>
    </w:p>
    <w:p>
      <w:pPr>
        <w:pStyle w:val="TOC8"/>
        <w:rPr>
          <w:rFonts w:asciiTheme="minorHAnsi" w:eastAsiaTheme="minorEastAsia" w:hAnsiTheme="minorHAnsi" w:cstheme="minorBidi"/>
          <w:szCs w:val="22"/>
        </w:rPr>
      </w:pPr>
      <w:r>
        <w:t>24</w:t>
      </w:r>
      <w:r>
        <w:rPr>
          <w:snapToGrid w:val="0"/>
        </w:rPr>
        <w:t>.</w:t>
      </w:r>
      <w:r>
        <w:rPr>
          <w:snapToGrid w:val="0"/>
        </w:rPr>
        <w:tab/>
        <w:t>Removal of cargo</w:t>
      </w:r>
      <w:r>
        <w:tab/>
      </w:r>
      <w:r>
        <w:fldChar w:fldCharType="begin"/>
      </w:r>
      <w:r>
        <w:instrText xml:space="preserve"> PAGEREF _Toc455151445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Storage charges</w:t>
      </w:r>
      <w:r>
        <w:tab/>
      </w:r>
      <w:r>
        <w:fldChar w:fldCharType="begin"/>
      </w:r>
      <w:r>
        <w:instrText xml:space="preserve"> PAGEREF _Toc455151446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Department not bound to find storage accommodation</w:t>
      </w:r>
      <w:r>
        <w:tab/>
      </w:r>
      <w:r>
        <w:fldChar w:fldCharType="begin"/>
      </w:r>
      <w:r>
        <w:instrText xml:space="preserve"> PAGEREF _Toc455151447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Goods may be disposed of</w:t>
      </w:r>
      <w:r>
        <w:tab/>
      </w:r>
      <w:r>
        <w:fldChar w:fldCharType="begin"/>
      </w:r>
      <w:r>
        <w:instrText xml:space="preserve"> PAGEREF _Toc455151448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Goods to be checked before delivery</w:t>
      </w:r>
      <w:r>
        <w:tab/>
      </w:r>
      <w:r>
        <w:fldChar w:fldCharType="begin"/>
      </w:r>
      <w:r>
        <w:instrText xml:space="preserve"> PAGEREF _Toc455151449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Delay in delivery</w:t>
      </w:r>
      <w:r>
        <w:tab/>
      </w:r>
      <w:r>
        <w:fldChar w:fldCharType="begin"/>
      </w:r>
      <w:r>
        <w:instrText xml:space="preserve"> PAGEREF _Toc455151450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Wrong delivery</w:t>
      </w:r>
      <w:r>
        <w:tab/>
      </w:r>
      <w:r>
        <w:fldChar w:fldCharType="begin"/>
      </w:r>
      <w:r>
        <w:instrText xml:space="preserve"> PAGEREF _Toc455151451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Responsibility of Department</w:t>
      </w:r>
    </w:p>
    <w:p>
      <w:pPr>
        <w:pStyle w:val="TOC8"/>
        <w:rPr>
          <w:rFonts w:asciiTheme="minorHAnsi" w:eastAsiaTheme="minorEastAsia" w:hAnsiTheme="minorHAnsi" w:cstheme="minorBidi"/>
          <w:szCs w:val="22"/>
        </w:rPr>
      </w:pPr>
      <w:r>
        <w:t>31</w:t>
      </w:r>
      <w:r>
        <w:rPr>
          <w:snapToGrid w:val="0"/>
        </w:rPr>
        <w:t>.</w:t>
      </w:r>
      <w:r>
        <w:rPr>
          <w:snapToGrid w:val="0"/>
        </w:rPr>
        <w:tab/>
        <w:t>Custody of cargo</w:t>
      </w:r>
      <w:r>
        <w:tab/>
      </w:r>
      <w:r>
        <w:fldChar w:fldCharType="begin"/>
      </w:r>
      <w:r>
        <w:instrText xml:space="preserve"> PAGEREF _Toc455151453 \h </w:instrText>
      </w:r>
      <w:r>
        <w:fldChar w:fldCharType="separate"/>
      </w:r>
      <w:r>
        <w:t>17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Goods without receipts</w:t>
      </w:r>
      <w:r>
        <w:tab/>
      </w:r>
      <w:r>
        <w:fldChar w:fldCharType="begin"/>
      </w:r>
      <w:r>
        <w:instrText xml:space="preserve"> PAGEREF _Toc455151454 \h </w:instrText>
      </w:r>
      <w:r>
        <w:fldChar w:fldCharType="separate"/>
      </w:r>
      <w:r>
        <w:t>17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Goods stacked on jetties</w:t>
      </w:r>
      <w:r>
        <w:tab/>
      </w:r>
      <w:r>
        <w:fldChar w:fldCharType="begin"/>
      </w:r>
      <w:r>
        <w:instrText xml:space="preserve"> PAGEREF _Toc455151455 \h </w:instrText>
      </w:r>
      <w:r>
        <w:fldChar w:fldCharType="separate"/>
      </w:r>
      <w:r>
        <w:t>18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Cargo damaged by fire etc.</w:t>
      </w:r>
      <w:r>
        <w:tab/>
      </w:r>
      <w:r>
        <w:fldChar w:fldCharType="begin"/>
      </w:r>
      <w:r>
        <w:instrText xml:space="preserve"> PAGEREF _Toc455151456 \h </w:instrText>
      </w:r>
      <w:r>
        <w:fldChar w:fldCharType="separate"/>
      </w:r>
      <w:r>
        <w:t>18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Goods insufficiently packed</w:t>
      </w:r>
      <w:r>
        <w:tab/>
      </w:r>
      <w:r>
        <w:fldChar w:fldCharType="begin"/>
      </w:r>
      <w:r>
        <w:instrText xml:space="preserve"> PAGEREF _Toc455151457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Claims in respect of cargo</w:t>
      </w:r>
      <w:r>
        <w:tab/>
      </w:r>
      <w:r>
        <w:fldChar w:fldCharType="begin"/>
      </w:r>
      <w:r>
        <w:instrText xml:space="preserve"> PAGEREF _Toc455151458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Working hours</w:t>
      </w:r>
    </w:p>
    <w:p>
      <w:pPr>
        <w:pStyle w:val="TOC8"/>
        <w:rPr>
          <w:rFonts w:asciiTheme="minorHAnsi" w:eastAsiaTheme="minorEastAsia" w:hAnsiTheme="minorHAnsi" w:cstheme="minorBidi"/>
          <w:szCs w:val="22"/>
        </w:rPr>
      </w:pPr>
      <w:r>
        <w:t>37</w:t>
      </w:r>
      <w:r>
        <w:rPr>
          <w:snapToGrid w:val="0"/>
        </w:rPr>
        <w:t>.</w:t>
      </w:r>
      <w:r>
        <w:rPr>
          <w:snapToGrid w:val="0"/>
        </w:rPr>
        <w:tab/>
        <w:t>Ordinary time</w:t>
      </w:r>
      <w:r>
        <w:tab/>
      </w:r>
      <w:r>
        <w:fldChar w:fldCharType="begin"/>
      </w:r>
      <w:r>
        <w:instrText xml:space="preserve"> PAGEREF _Toc455151460 \h </w:instrText>
      </w:r>
      <w:r>
        <w:fldChar w:fldCharType="separate"/>
      </w:r>
      <w:r>
        <w:t>19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Overtime</w:t>
      </w:r>
      <w:r>
        <w:tab/>
      </w:r>
      <w:r>
        <w:fldChar w:fldCharType="begin"/>
      </w:r>
      <w:r>
        <w:instrText xml:space="preserve"> PAGEREF _Toc455151461 \h </w:instrText>
      </w:r>
      <w:r>
        <w:fldChar w:fldCharType="separate"/>
      </w:r>
      <w:r>
        <w:t>19</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Wages incurred through ships’ delays to be paid for</w:t>
      </w:r>
      <w:r>
        <w:tab/>
      </w:r>
      <w:r>
        <w:fldChar w:fldCharType="begin"/>
      </w:r>
      <w:r>
        <w:instrText xml:space="preserve"> PAGEREF _Toc455151462 \h </w:instrText>
      </w:r>
      <w:r>
        <w:fldChar w:fldCharType="separate"/>
      </w:r>
      <w:r>
        <w:t>19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Master to give notice of desire to work</w:t>
      </w:r>
      <w:r>
        <w:tab/>
      </w:r>
      <w:r>
        <w:fldChar w:fldCharType="begin"/>
      </w:r>
      <w:r>
        <w:instrText xml:space="preserve"> PAGEREF _Toc455151463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Livestock or vehicles on jetties or premises</w:t>
      </w:r>
    </w:p>
    <w:p>
      <w:pPr>
        <w:pStyle w:val="TOC8"/>
        <w:rPr>
          <w:rFonts w:asciiTheme="minorHAnsi" w:eastAsiaTheme="minorEastAsia" w:hAnsiTheme="minorHAnsi" w:cstheme="minorBidi"/>
          <w:szCs w:val="22"/>
        </w:rPr>
      </w:pPr>
      <w:r>
        <w:t>40</w:t>
      </w:r>
      <w:r>
        <w:rPr>
          <w:snapToGrid w:val="0"/>
        </w:rPr>
        <w:t>.</w:t>
      </w:r>
      <w:r>
        <w:rPr>
          <w:snapToGrid w:val="0"/>
        </w:rPr>
        <w:tab/>
        <w:t>Livestock on jetties or premises</w:t>
      </w:r>
      <w:r>
        <w:tab/>
      </w:r>
      <w:r>
        <w:fldChar w:fldCharType="begin"/>
      </w:r>
      <w:r>
        <w:instrText xml:space="preserve"> PAGEREF _Toc455151465 \h </w:instrText>
      </w:r>
      <w:r>
        <w:fldChar w:fldCharType="separate"/>
      </w:r>
      <w:r>
        <w:t>20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Riding vehicles etc. on jetties or premises</w:t>
      </w:r>
      <w:r>
        <w:tab/>
      </w:r>
      <w:r>
        <w:fldChar w:fldCharType="begin"/>
      </w:r>
      <w:r>
        <w:instrText xml:space="preserve"> PAGEREF _Toc455151466 \h </w:instrText>
      </w:r>
      <w:r>
        <w:fldChar w:fldCharType="separate"/>
      </w:r>
      <w:r>
        <w:t>20</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Vehicles not to be parked on jetties</w:t>
      </w:r>
      <w:r>
        <w:tab/>
      </w:r>
      <w:r>
        <w:fldChar w:fldCharType="begin"/>
      </w:r>
      <w:r>
        <w:instrText xml:space="preserve"> PAGEREF _Toc455151467 \h </w:instrText>
      </w:r>
      <w:r>
        <w:fldChar w:fldCharType="separate"/>
      </w:r>
      <w:r>
        <w:t>20</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Department not responsible for vehicles on jetties</w:t>
      </w:r>
      <w:r>
        <w:tab/>
      </w:r>
      <w:r>
        <w:fldChar w:fldCharType="begin"/>
      </w:r>
      <w:r>
        <w:instrText xml:space="preserve"> PAGEREF _Toc455151468 \h </w:instrText>
      </w:r>
      <w:r>
        <w:fldChar w:fldCharType="separate"/>
      </w:r>
      <w:r>
        <w:t>21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Drivers of vehicles to obey instructions</w:t>
      </w:r>
      <w:r>
        <w:tab/>
      </w:r>
      <w:r>
        <w:fldChar w:fldCharType="begin"/>
      </w:r>
      <w:r>
        <w:instrText xml:space="preserve"> PAGEREF _Toc455151469 \h </w:instrText>
      </w:r>
      <w:r>
        <w:fldChar w:fldCharType="separate"/>
      </w:r>
      <w:r>
        <w:t>21</w:t>
      </w:r>
      <w:r>
        <w:fldChar w:fldCharType="end"/>
      </w:r>
    </w:p>
    <w:p>
      <w:pPr>
        <w:pStyle w:val="TOC8"/>
        <w:rPr>
          <w:rFonts w:asciiTheme="minorHAnsi" w:eastAsiaTheme="minorEastAsia" w:hAnsiTheme="minorHAnsi" w:cstheme="minorBidi"/>
          <w:szCs w:val="22"/>
        </w:rPr>
      </w:pPr>
      <w:r>
        <w:t>42A.</w:t>
      </w:r>
      <w:r>
        <w:tab/>
        <w:t>Charges for vehicular use of jetty</w:t>
      </w:r>
      <w:r>
        <w:tab/>
      </w:r>
      <w:r>
        <w:fldChar w:fldCharType="begin"/>
      </w:r>
      <w:r>
        <w:instrText xml:space="preserve"> PAGEREF _Toc455151470 \h </w:instrText>
      </w:r>
      <w:r>
        <w:fldChar w:fldCharType="separate"/>
      </w:r>
      <w:r>
        <w:t>21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Persons not to be on jetties when livestock is being handled</w:t>
      </w:r>
      <w:r>
        <w:tab/>
      </w:r>
      <w:r>
        <w:fldChar w:fldCharType="begin"/>
      </w:r>
      <w:r>
        <w:instrText xml:space="preserve"> PAGEREF _Toc455151471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Miscellaneous</w:t>
      </w:r>
    </w:p>
    <w:p>
      <w:pPr>
        <w:pStyle w:val="TOC8"/>
        <w:rPr>
          <w:rFonts w:asciiTheme="minorHAnsi" w:eastAsiaTheme="minorEastAsia" w:hAnsiTheme="minorHAnsi" w:cstheme="minorBidi"/>
          <w:szCs w:val="22"/>
        </w:rPr>
      </w:pPr>
      <w:r>
        <w:t>44</w:t>
      </w:r>
      <w:r>
        <w:rPr>
          <w:snapToGrid w:val="0"/>
        </w:rPr>
        <w:t>.</w:t>
      </w:r>
      <w:r>
        <w:rPr>
          <w:snapToGrid w:val="0"/>
        </w:rPr>
        <w:tab/>
        <w:t>Bill posting, defacement and obscenity</w:t>
      </w:r>
      <w:r>
        <w:tab/>
      </w:r>
      <w:r>
        <w:fldChar w:fldCharType="begin"/>
      </w:r>
      <w:r>
        <w:instrText xml:space="preserve"> PAGEREF _Toc455151473 \h </w:instrText>
      </w:r>
      <w:r>
        <w:fldChar w:fldCharType="separate"/>
      </w:r>
      <w:r>
        <w:t>22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Disorderly persons</w:t>
      </w:r>
      <w:r>
        <w:tab/>
      </w:r>
      <w:r>
        <w:fldChar w:fldCharType="begin"/>
      </w:r>
      <w:r>
        <w:instrText xml:space="preserve"> PAGEREF _Toc455151474 \h </w:instrText>
      </w:r>
      <w:r>
        <w:fldChar w:fldCharType="separate"/>
      </w:r>
      <w:r>
        <w:t>22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Fires not to be lit</w:t>
      </w:r>
      <w:r>
        <w:tab/>
      </w:r>
      <w:r>
        <w:fldChar w:fldCharType="begin"/>
      </w:r>
      <w:r>
        <w:instrText xml:space="preserve"> PAGEREF _Toc455151475 \h </w:instrText>
      </w:r>
      <w:r>
        <w:fldChar w:fldCharType="separate"/>
      </w:r>
      <w:r>
        <w:t>23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Gates to be shut</w:t>
      </w:r>
      <w:r>
        <w:tab/>
      </w:r>
      <w:r>
        <w:fldChar w:fldCharType="begin"/>
      </w:r>
      <w:r>
        <w:instrText xml:space="preserve"> PAGEREF _Toc455151476 \h </w:instrText>
      </w:r>
      <w:r>
        <w:fldChar w:fldCharType="separate"/>
      </w:r>
      <w:r>
        <w:t>23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Interference with lights</w:t>
      </w:r>
      <w:r>
        <w:tab/>
      </w:r>
      <w:r>
        <w:fldChar w:fldCharType="begin"/>
      </w:r>
      <w:r>
        <w:instrText xml:space="preserve"> PAGEREF _Toc455151477 \h </w:instrText>
      </w:r>
      <w:r>
        <w:fldChar w:fldCharType="separate"/>
      </w:r>
      <w:r>
        <w:t>23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Interference with or damaging property</w:t>
      </w:r>
      <w:r>
        <w:tab/>
      </w:r>
      <w:r>
        <w:fldChar w:fldCharType="begin"/>
      </w:r>
      <w:r>
        <w:instrText xml:space="preserve"> PAGEREF _Toc455151478 \h </w:instrText>
      </w:r>
      <w:r>
        <w:fldChar w:fldCharType="separate"/>
      </w:r>
      <w:r>
        <w:t>23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Lost property</w:t>
      </w:r>
      <w:r>
        <w:tab/>
      </w:r>
      <w:r>
        <w:fldChar w:fldCharType="begin"/>
      </w:r>
      <w:r>
        <w:instrText xml:space="preserve"> PAGEREF _Toc455151479 \h </w:instrText>
      </w:r>
      <w:r>
        <w:fldChar w:fldCharType="separate"/>
      </w:r>
      <w:r>
        <w:t>24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Obstruction of officers, or premises</w:t>
      </w:r>
      <w:r>
        <w:tab/>
      </w:r>
      <w:r>
        <w:fldChar w:fldCharType="begin"/>
      </w:r>
      <w:r>
        <w:instrText xml:space="preserve"> PAGEREF _Toc455151480 \h </w:instrText>
      </w:r>
      <w:r>
        <w:fldChar w:fldCharType="separate"/>
      </w:r>
      <w:r>
        <w:t>24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Obstruction of or damage to jetties or premises</w:t>
      </w:r>
      <w:r>
        <w:tab/>
      </w:r>
      <w:r>
        <w:fldChar w:fldCharType="begin"/>
      </w:r>
      <w:r>
        <w:instrText xml:space="preserve"> PAGEREF _Toc455151481 \h </w:instrText>
      </w:r>
      <w:r>
        <w:fldChar w:fldCharType="separate"/>
      </w:r>
      <w:r>
        <w:t>25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Rubbish etc. not to be thrown</w:t>
      </w:r>
      <w:r>
        <w:tab/>
      </w:r>
      <w:r>
        <w:fldChar w:fldCharType="begin"/>
      </w:r>
      <w:r>
        <w:instrText xml:space="preserve"> PAGEREF _Toc455151482 \h </w:instrText>
      </w:r>
      <w:r>
        <w:fldChar w:fldCharType="separate"/>
      </w:r>
      <w:r>
        <w:t>25</w:t>
      </w:r>
      <w:r>
        <w:fldChar w:fldCharType="end"/>
      </w:r>
    </w:p>
    <w:p>
      <w:pPr>
        <w:pStyle w:val="TOC8"/>
        <w:rPr>
          <w:rFonts w:asciiTheme="minorHAnsi" w:eastAsiaTheme="minorEastAsia" w:hAnsiTheme="minorHAnsi" w:cstheme="minorBidi"/>
          <w:szCs w:val="22"/>
        </w:rPr>
      </w:pPr>
      <w:r>
        <w:t>53A.</w:t>
      </w:r>
      <w:r>
        <w:tab/>
        <w:t>Charges for rubbish removal</w:t>
      </w:r>
      <w:r>
        <w:tab/>
      </w:r>
      <w:r>
        <w:fldChar w:fldCharType="begin"/>
      </w:r>
      <w:r>
        <w:instrText xml:space="preserve"> PAGEREF _Toc455151483 \h </w:instrText>
      </w:r>
      <w:r>
        <w:fldChar w:fldCharType="separate"/>
      </w:r>
      <w:r>
        <w:t>26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Sale of articles prohibited</w:t>
      </w:r>
      <w:r>
        <w:tab/>
      </w:r>
      <w:r>
        <w:fldChar w:fldCharType="begin"/>
      </w:r>
      <w:r>
        <w:instrText xml:space="preserve"> PAGEREF _Toc455151484 \h </w:instrText>
      </w:r>
      <w:r>
        <w:fldChar w:fldCharType="separate"/>
      </w:r>
      <w:r>
        <w:t>26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Smoking and loitering</w:t>
      </w:r>
      <w:r>
        <w:tab/>
      </w:r>
      <w:r>
        <w:fldChar w:fldCharType="begin"/>
      </w:r>
      <w:r>
        <w:instrText xml:space="preserve"> PAGEREF _Toc455151485 \h </w:instrText>
      </w:r>
      <w:r>
        <w:fldChar w:fldCharType="separate"/>
      </w:r>
      <w:r>
        <w:t>26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Trespassing</w:t>
      </w:r>
      <w:r>
        <w:tab/>
      </w:r>
      <w:r>
        <w:fldChar w:fldCharType="begin"/>
      </w:r>
      <w:r>
        <w:instrText xml:space="preserve"> PAGEREF _Toc455151486 \h </w:instrText>
      </w:r>
      <w:r>
        <w:fldChar w:fldCharType="separate"/>
      </w:r>
      <w:r>
        <w:t>26</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Conditions for construction and installation of pipelines</w:t>
      </w:r>
      <w:r>
        <w:tab/>
      </w:r>
      <w:r>
        <w:fldChar w:fldCharType="begin"/>
      </w:r>
      <w:r>
        <w:instrText xml:space="preserve"> PAGEREF _Toc455151487 \h </w:instrText>
      </w:r>
      <w:r>
        <w:fldChar w:fldCharType="separate"/>
      </w:r>
      <w:r>
        <w:t>27</w:t>
      </w:r>
      <w:r>
        <w:fldChar w:fldCharType="end"/>
      </w:r>
    </w:p>
    <w:p>
      <w:pPr>
        <w:pStyle w:val="TOC8"/>
        <w:rPr>
          <w:rFonts w:asciiTheme="minorHAnsi" w:eastAsiaTheme="minorEastAsia" w:hAnsiTheme="minorHAnsi" w:cstheme="minorBidi"/>
          <w:szCs w:val="22"/>
        </w:rPr>
      </w:pPr>
      <w:r>
        <w:t>67B</w:t>
      </w:r>
      <w:r>
        <w:rPr>
          <w:snapToGrid w:val="0"/>
        </w:rPr>
        <w:t>.</w:t>
      </w:r>
      <w:r>
        <w:rPr>
          <w:snapToGrid w:val="0"/>
        </w:rPr>
        <w:tab/>
        <w:t>Maintenance and operation of pipelines</w:t>
      </w:r>
      <w:r>
        <w:tab/>
      </w:r>
      <w:r>
        <w:fldChar w:fldCharType="begin"/>
      </w:r>
      <w:r>
        <w:instrText xml:space="preserve"> PAGEREF _Toc455151488 \h </w:instrText>
      </w:r>
      <w:r>
        <w:fldChar w:fldCharType="separate"/>
      </w:r>
      <w:r>
        <w:t>30</w:t>
      </w:r>
      <w:r>
        <w:fldChar w:fldCharType="end"/>
      </w:r>
    </w:p>
    <w:p>
      <w:pPr>
        <w:pStyle w:val="TOC8"/>
        <w:rPr>
          <w:rFonts w:asciiTheme="minorHAnsi" w:eastAsiaTheme="minorEastAsia" w:hAnsiTheme="minorHAnsi" w:cstheme="minorBidi"/>
          <w:szCs w:val="22"/>
        </w:rPr>
      </w:pPr>
      <w:r>
        <w:t>67D</w:t>
      </w:r>
      <w:r>
        <w:rPr>
          <w:snapToGrid w:val="0"/>
        </w:rPr>
        <w:t>.</w:t>
      </w:r>
      <w:r>
        <w:rPr>
          <w:snapToGrid w:val="0"/>
        </w:rPr>
        <w:tab/>
        <w:t>Penalty for failure to remove or amend pipeline</w:t>
      </w:r>
      <w:r>
        <w:tab/>
      </w:r>
      <w:r>
        <w:fldChar w:fldCharType="begin"/>
      </w:r>
      <w:r>
        <w:instrText xml:space="preserve"> PAGEREF _Toc455151489 \h </w:instrText>
      </w:r>
      <w:r>
        <w:fldChar w:fldCharType="separate"/>
      </w:r>
      <w:r>
        <w:t>36</w:t>
      </w:r>
      <w:r>
        <w:fldChar w:fldCharType="end"/>
      </w:r>
    </w:p>
    <w:p>
      <w:pPr>
        <w:pStyle w:val="TOC8"/>
        <w:rPr>
          <w:rFonts w:asciiTheme="minorHAnsi" w:eastAsiaTheme="minorEastAsia" w:hAnsiTheme="minorHAnsi" w:cstheme="minorBidi"/>
          <w:szCs w:val="22"/>
        </w:rPr>
      </w:pPr>
      <w:r>
        <w:t>67DA.</w:t>
      </w:r>
      <w:r>
        <w:tab/>
        <w:t>Fuelling vessels at service jetties limited</w:t>
      </w:r>
      <w:r>
        <w:tab/>
      </w:r>
      <w:r>
        <w:fldChar w:fldCharType="begin"/>
      </w:r>
      <w:r>
        <w:instrText xml:space="preserve"> PAGEREF _Toc455151490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2 — Regulations applying to jetties within the Port of Perth</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67E</w:t>
      </w:r>
      <w:r>
        <w:rPr>
          <w:snapToGrid w:val="0"/>
        </w:rPr>
        <w:t>.</w:t>
      </w:r>
      <w:r>
        <w:rPr>
          <w:snapToGrid w:val="0"/>
        </w:rPr>
        <w:tab/>
        <w:t>Application</w:t>
      </w:r>
      <w:r>
        <w:tab/>
      </w:r>
      <w:r>
        <w:fldChar w:fldCharType="begin"/>
      </w:r>
      <w:r>
        <w:instrText xml:space="preserve"> PAGEREF _Toc455151493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Management and use of jetties</w:t>
      </w:r>
    </w:p>
    <w:p>
      <w:pPr>
        <w:pStyle w:val="TOC8"/>
        <w:rPr>
          <w:rFonts w:asciiTheme="minorHAnsi" w:eastAsiaTheme="minorEastAsia" w:hAnsiTheme="minorHAnsi" w:cstheme="minorBidi"/>
          <w:szCs w:val="22"/>
        </w:rPr>
      </w:pPr>
      <w:r>
        <w:t>68</w:t>
      </w:r>
      <w:r>
        <w:rPr>
          <w:snapToGrid w:val="0"/>
        </w:rPr>
        <w:t>.</w:t>
      </w:r>
      <w:r>
        <w:rPr>
          <w:snapToGrid w:val="0"/>
        </w:rPr>
        <w:tab/>
        <w:t>Control of jetties</w:t>
      </w:r>
      <w:r>
        <w:tab/>
      </w:r>
      <w:r>
        <w:fldChar w:fldCharType="begin"/>
      </w:r>
      <w:r>
        <w:instrText xml:space="preserve"> PAGEREF _Toc455151495 \h </w:instrText>
      </w:r>
      <w:r>
        <w:fldChar w:fldCharType="separate"/>
      </w:r>
      <w:r>
        <w:t>37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Use of jetties</w:t>
      </w:r>
      <w:r>
        <w:tab/>
      </w:r>
      <w:r>
        <w:fldChar w:fldCharType="begin"/>
      </w:r>
      <w:r>
        <w:instrText xml:space="preserve"> PAGEREF _Toc455151496 \h </w:instrText>
      </w:r>
      <w:r>
        <w:fldChar w:fldCharType="separate"/>
      </w:r>
      <w:r>
        <w:t>37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Jetties may be closed</w:t>
      </w:r>
      <w:r>
        <w:tab/>
      </w:r>
      <w:r>
        <w:fldChar w:fldCharType="begin"/>
      </w:r>
      <w:r>
        <w:instrText xml:space="preserve"> PAGEREF _Toc455151497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Mooring and berthing of vessels</w:t>
      </w:r>
    </w:p>
    <w:p>
      <w:pPr>
        <w:pStyle w:val="TOC8"/>
        <w:rPr>
          <w:rFonts w:asciiTheme="minorHAnsi" w:eastAsiaTheme="minorEastAsia" w:hAnsiTheme="minorHAnsi" w:cstheme="minorBidi"/>
          <w:szCs w:val="22"/>
        </w:rPr>
      </w:pPr>
      <w:r>
        <w:t>71</w:t>
      </w:r>
      <w:r>
        <w:rPr>
          <w:snapToGrid w:val="0"/>
        </w:rPr>
        <w:t>.</w:t>
      </w:r>
      <w:r>
        <w:rPr>
          <w:snapToGrid w:val="0"/>
        </w:rPr>
        <w:tab/>
        <w:t>Permit required to moor etc. alongside jetty or buoy</w:t>
      </w:r>
      <w:r>
        <w:tab/>
      </w:r>
      <w:r>
        <w:fldChar w:fldCharType="begin"/>
      </w:r>
      <w:r>
        <w:instrText xml:space="preserve"> PAGEREF _Toc455151499 \h </w:instrText>
      </w:r>
      <w:r>
        <w:fldChar w:fldCharType="separate"/>
      </w:r>
      <w:r>
        <w:t>38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Duration of, and charges for, permits</w:t>
      </w:r>
      <w:r>
        <w:tab/>
      </w:r>
      <w:r>
        <w:fldChar w:fldCharType="begin"/>
      </w:r>
      <w:r>
        <w:instrText xml:space="preserve"> PAGEREF _Toc455151500 \h </w:instrText>
      </w:r>
      <w:r>
        <w:fldChar w:fldCharType="separate"/>
      </w:r>
      <w:r>
        <w:t>38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Permit for exclusive use of berth</w:t>
      </w:r>
      <w:r>
        <w:tab/>
      </w:r>
      <w:r>
        <w:fldChar w:fldCharType="begin"/>
      </w:r>
      <w:r>
        <w:instrText xml:space="preserve"> PAGEREF _Toc455151501 \h </w:instrText>
      </w:r>
      <w:r>
        <w:fldChar w:fldCharType="separate"/>
      </w:r>
      <w:r>
        <w:t>39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Manner of mooring vessels</w:t>
      </w:r>
      <w:r>
        <w:tab/>
      </w:r>
      <w:r>
        <w:fldChar w:fldCharType="begin"/>
      </w:r>
      <w:r>
        <w:instrText xml:space="preserve"> PAGEREF _Toc455151502 \h </w:instrText>
      </w:r>
      <w:r>
        <w:fldChar w:fldCharType="separate"/>
      </w:r>
      <w:r>
        <w:t>40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Vessels not to remain at jetties longer than necessary</w:t>
      </w:r>
      <w:r>
        <w:tab/>
      </w:r>
      <w:r>
        <w:fldChar w:fldCharType="begin"/>
      </w:r>
      <w:r>
        <w:instrText xml:space="preserve"> PAGEREF _Toc455151503 \h </w:instrText>
      </w:r>
      <w:r>
        <w:fldChar w:fldCharType="separate"/>
      </w:r>
      <w:r>
        <w:t>41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Mooring of rafts and boathouses</w:t>
      </w:r>
      <w:r>
        <w:tab/>
      </w:r>
      <w:r>
        <w:fldChar w:fldCharType="begin"/>
      </w:r>
      <w:r>
        <w:instrText xml:space="preserve"> PAGEREF _Toc455151504 \h </w:instrText>
      </w:r>
      <w:r>
        <w:fldChar w:fldCharType="separate"/>
      </w:r>
      <w:r>
        <w:t>41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Vessels to be in charge of competent person</w:t>
      </w:r>
      <w:r>
        <w:tab/>
      </w:r>
      <w:r>
        <w:fldChar w:fldCharType="begin"/>
      </w:r>
      <w:r>
        <w:instrText xml:space="preserve"> PAGEREF _Toc455151505 \h </w:instrText>
      </w:r>
      <w:r>
        <w:fldChar w:fldCharType="separate"/>
      </w:r>
      <w:r>
        <w:t>41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Approaching jetties after sunset</w:t>
      </w:r>
      <w:r>
        <w:tab/>
      </w:r>
      <w:r>
        <w:fldChar w:fldCharType="begin"/>
      </w:r>
      <w:r>
        <w:instrText xml:space="preserve"> PAGEREF _Toc455151506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Loading or discharging cargo</w:t>
      </w:r>
    </w:p>
    <w:p>
      <w:pPr>
        <w:pStyle w:val="TOC8"/>
        <w:rPr>
          <w:rFonts w:asciiTheme="minorHAnsi" w:eastAsiaTheme="minorEastAsia" w:hAnsiTheme="minorHAnsi" w:cstheme="minorBidi"/>
          <w:szCs w:val="22"/>
        </w:rPr>
      </w:pPr>
      <w:r>
        <w:t>80</w:t>
      </w:r>
      <w:r>
        <w:rPr>
          <w:snapToGrid w:val="0"/>
        </w:rPr>
        <w:t>.</w:t>
      </w:r>
      <w:r>
        <w:rPr>
          <w:snapToGrid w:val="0"/>
        </w:rPr>
        <w:tab/>
        <w:t>Vessels loading or discharging</w:t>
      </w:r>
      <w:r>
        <w:tab/>
      </w:r>
      <w:r>
        <w:fldChar w:fldCharType="begin"/>
      </w:r>
      <w:r>
        <w:instrText xml:space="preserve"> PAGEREF _Toc455151508 \h </w:instrText>
      </w:r>
      <w:r>
        <w:fldChar w:fldCharType="separate"/>
      </w:r>
      <w:r>
        <w:t>42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Cargo to be removed</w:t>
      </w:r>
      <w:r>
        <w:tab/>
      </w:r>
      <w:r>
        <w:fldChar w:fldCharType="begin"/>
      </w:r>
      <w:r>
        <w:instrText xml:space="preserve"> PAGEREF _Toc455151509 \h </w:instrText>
      </w:r>
      <w:r>
        <w:fldChar w:fldCharType="separate"/>
      </w:r>
      <w:r>
        <w:t>42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Cargo not to remain on jetties overnight</w:t>
      </w:r>
      <w:r>
        <w:tab/>
      </w:r>
      <w:r>
        <w:fldChar w:fldCharType="begin"/>
      </w:r>
      <w:r>
        <w:instrText xml:space="preserve"> PAGEREF _Toc455151510 \h </w:instrText>
      </w:r>
      <w:r>
        <w:fldChar w:fldCharType="separate"/>
      </w:r>
      <w:r>
        <w:t>43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Explosives not to be handled without permission</w:t>
      </w:r>
      <w:r>
        <w:tab/>
      </w:r>
      <w:r>
        <w:fldChar w:fldCharType="begin"/>
      </w:r>
      <w:r>
        <w:instrText xml:space="preserve"> PAGEREF _Toc455151511 \h </w:instrText>
      </w:r>
      <w:r>
        <w:fldChar w:fldCharType="separate"/>
      </w:r>
      <w:r>
        <w:t>43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Manner of handling cargo</w:t>
      </w:r>
      <w:r>
        <w:tab/>
      </w:r>
      <w:r>
        <w:fldChar w:fldCharType="begin"/>
      </w:r>
      <w:r>
        <w:instrText xml:space="preserve"> PAGEREF _Toc455151512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Navigation of vessels</w:t>
      </w:r>
    </w:p>
    <w:p>
      <w:pPr>
        <w:pStyle w:val="TOC8"/>
        <w:rPr>
          <w:rFonts w:asciiTheme="minorHAnsi" w:eastAsiaTheme="minorEastAsia" w:hAnsiTheme="minorHAnsi" w:cstheme="minorBidi"/>
          <w:szCs w:val="22"/>
        </w:rPr>
      </w:pPr>
      <w:r>
        <w:t>85</w:t>
      </w:r>
      <w:r>
        <w:rPr>
          <w:snapToGrid w:val="0"/>
        </w:rPr>
        <w:t>.</w:t>
      </w:r>
      <w:r>
        <w:rPr>
          <w:snapToGrid w:val="0"/>
        </w:rPr>
        <w:tab/>
        <w:t>Power vessels approaching jetties</w:t>
      </w:r>
      <w:r>
        <w:tab/>
      </w:r>
      <w:r>
        <w:fldChar w:fldCharType="begin"/>
      </w:r>
      <w:r>
        <w:instrText xml:space="preserve"> PAGEREF _Toc455151514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86</w:t>
      </w:r>
      <w:r>
        <w:rPr>
          <w:snapToGrid w:val="0"/>
        </w:rPr>
        <w:t>.</w:t>
      </w:r>
      <w:r>
        <w:rPr>
          <w:snapToGrid w:val="0"/>
        </w:rPr>
        <w:tab/>
        <w:t>Bathing from jetties</w:t>
      </w:r>
      <w:r>
        <w:tab/>
      </w:r>
      <w:r>
        <w:fldChar w:fldCharType="begin"/>
      </w:r>
      <w:r>
        <w:instrText xml:space="preserve"> PAGEREF _Toc455151516 \h </w:instrText>
      </w:r>
      <w:r>
        <w:fldChar w:fldCharType="separate"/>
      </w:r>
      <w:r>
        <w:t>44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Damage to jetties</w:t>
      </w:r>
      <w:r>
        <w:tab/>
      </w:r>
      <w:r>
        <w:fldChar w:fldCharType="begin"/>
      </w:r>
      <w:r>
        <w:instrText xml:space="preserve"> PAGEREF _Toc455151517 \h </w:instrText>
      </w:r>
      <w:r>
        <w:fldChar w:fldCharType="separate"/>
      </w:r>
      <w:r>
        <w:t>44</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Fishing from certain places prohibited</w:t>
      </w:r>
      <w:r>
        <w:tab/>
      </w:r>
      <w:r>
        <w:fldChar w:fldCharType="begin"/>
      </w:r>
      <w:r>
        <w:instrText xml:space="preserve"> PAGEREF _Toc455151518 \h </w:instrText>
      </w:r>
      <w:r>
        <w:fldChar w:fldCharType="separate"/>
      </w:r>
      <w:r>
        <w:t>44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Fishing nets on jetties</w:t>
      </w:r>
      <w:r>
        <w:tab/>
      </w:r>
      <w:r>
        <w:fldChar w:fldCharType="begin"/>
      </w:r>
      <w:r>
        <w:instrText xml:space="preserve"> PAGEREF _Toc455151519 \h </w:instrText>
      </w:r>
      <w:r>
        <w:fldChar w:fldCharType="separate"/>
      </w:r>
      <w:r>
        <w:t>45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Gangways to be provided</w:t>
      </w:r>
      <w:r>
        <w:tab/>
      </w:r>
      <w:r>
        <w:fldChar w:fldCharType="begin"/>
      </w:r>
      <w:r>
        <w:instrText xml:space="preserve"> PAGEREF _Toc455151520 \h </w:instrText>
      </w:r>
      <w:r>
        <w:fldChar w:fldCharType="separate"/>
      </w:r>
      <w:r>
        <w:t>45</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Interference with jetties or approaches</w:t>
      </w:r>
      <w:r>
        <w:tab/>
      </w:r>
      <w:r>
        <w:fldChar w:fldCharType="begin"/>
      </w:r>
      <w:r>
        <w:instrText xml:space="preserve"> PAGEREF _Toc455151521 \h </w:instrText>
      </w:r>
      <w:r>
        <w:fldChar w:fldCharType="separate"/>
      </w:r>
      <w:r>
        <w:t>45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Lifebuoys on jetties</w:t>
      </w:r>
      <w:r>
        <w:tab/>
      </w:r>
      <w:r>
        <w:fldChar w:fldCharType="begin"/>
      </w:r>
      <w:r>
        <w:instrText xml:space="preserve"> PAGEREF _Toc455151522 \h </w:instrText>
      </w:r>
      <w:r>
        <w:fldChar w:fldCharType="separate"/>
      </w:r>
      <w:r>
        <w:t>45</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Obstruction of jetties or officers</w:t>
      </w:r>
      <w:r>
        <w:tab/>
      </w:r>
      <w:r>
        <w:fldChar w:fldCharType="begin"/>
      </w:r>
      <w:r>
        <w:instrText xml:space="preserve"> PAGEREF _Toc455151523 \h </w:instrText>
      </w:r>
      <w:r>
        <w:fldChar w:fldCharType="separate"/>
      </w:r>
      <w:r>
        <w:t>45</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Rubbish not to be thrown in river etc.</w:t>
      </w:r>
      <w:r>
        <w:tab/>
      </w:r>
      <w:r>
        <w:fldChar w:fldCharType="begin"/>
      </w:r>
      <w:r>
        <w:instrText xml:space="preserve"> PAGEREF _Toc455151524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2A — Mooring and berthing other than in the Port of Perth</w:t>
      </w:r>
    </w:p>
    <w:p>
      <w:pPr>
        <w:pStyle w:val="TOC8"/>
        <w:rPr>
          <w:rFonts w:asciiTheme="minorHAnsi" w:eastAsiaTheme="minorEastAsia" w:hAnsiTheme="minorHAnsi" w:cstheme="minorBidi"/>
          <w:szCs w:val="22"/>
        </w:rPr>
      </w:pPr>
      <w:r>
        <w:t>94A.</w:t>
      </w:r>
      <w:r>
        <w:tab/>
        <w:t>Charges for pen rentals and services</w:t>
      </w:r>
      <w:r>
        <w:tab/>
      </w:r>
      <w:r>
        <w:fldChar w:fldCharType="begin"/>
      </w:r>
      <w:r>
        <w:instrText xml:space="preserve"> PAGEREF _Toc455151526 \h </w:instrText>
      </w:r>
      <w:r>
        <w:fldChar w:fldCharType="separate"/>
      </w:r>
      <w:r>
        <w:t>47</w:t>
      </w:r>
      <w:r>
        <w:fldChar w:fldCharType="end"/>
      </w:r>
    </w:p>
    <w:p>
      <w:pPr>
        <w:pStyle w:val="TOC8"/>
        <w:rPr>
          <w:rFonts w:asciiTheme="minorHAnsi" w:eastAsiaTheme="minorEastAsia" w:hAnsiTheme="minorHAnsi" w:cstheme="minorBidi"/>
          <w:szCs w:val="22"/>
        </w:rPr>
      </w:pPr>
      <w:r>
        <w:t>94B</w:t>
      </w:r>
      <w:r>
        <w:rPr>
          <w:snapToGrid w:val="0"/>
        </w:rPr>
        <w:t>.</w:t>
      </w:r>
      <w:r>
        <w:rPr>
          <w:snapToGrid w:val="0"/>
        </w:rPr>
        <w:tab/>
        <w:t>Charges for pile mooring</w:t>
      </w:r>
      <w:r>
        <w:tab/>
      </w:r>
      <w:r>
        <w:fldChar w:fldCharType="begin"/>
      </w:r>
      <w:r>
        <w:instrText xml:space="preserve"> PAGEREF _Toc455151527 \h </w:instrText>
      </w:r>
      <w:r>
        <w:fldChar w:fldCharType="separate"/>
      </w:r>
      <w:r>
        <w:t>47</w:t>
      </w:r>
      <w:r>
        <w:fldChar w:fldCharType="end"/>
      </w:r>
    </w:p>
    <w:p>
      <w:pPr>
        <w:pStyle w:val="TOC8"/>
        <w:rPr>
          <w:rFonts w:asciiTheme="minorHAnsi" w:eastAsiaTheme="minorEastAsia" w:hAnsiTheme="minorHAnsi" w:cstheme="minorBidi"/>
          <w:szCs w:val="22"/>
        </w:rPr>
      </w:pPr>
      <w:r>
        <w:t>94C</w:t>
      </w:r>
      <w:r>
        <w:rPr>
          <w:snapToGrid w:val="0"/>
        </w:rPr>
        <w:t>.</w:t>
      </w:r>
      <w:r>
        <w:rPr>
          <w:snapToGrid w:val="0"/>
        </w:rPr>
        <w:tab/>
        <w:t>Dues or charges for berthing or mooring on casual basis</w:t>
      </w:r>
      <w:r>
        <w:tab/>
      </w:r>
      <w:r>
        <w:fldChar w:fldCharType="begin"/>
      </w:r>
      <w:r>
        <w:instrText xml:space="preserve"> PAGEREF _Toc455151528 \h </w:instrText>
      </w:r>
      <w:r>
        <w:fldChar w:fldCharType="separate"/>
      </w:r>
      <w:r>
        <w:t>47</w:t>
      </w:r>
      <w:r>
        <w:fldChar w:fldCharType="end"/>
      </w:r>
    </w:p>
    <w:p>
      <w:pPr>
        <w:pStyle w:val="TOC8"/>
        <w:rPr>
          <w:rFonts w:asciiTheme="minorHAnsi" w:eastAsiaTheme="minorEastAsia" w:hAnsiTheme="minorHAnsi" w:cstheme="minorBidi"/>
          <w:szCs w:val="22"/>
        </w:rPr>
      </w:pPr>
      <w:r>
        <w:t>94D.</w:t>
      </w:r>
      <w:r>
        <w:tab/>
        <w:t>Waiving charges in emergencies</w:t>
      </w:r>
      <w:r>
        <w:tab/>
      </w:r>
      <w:r>
        <w:fldChar w:fldCharType="begin"/>
      </w:r>
      <w:r>
        <w:instrText xml:space="preserve"> PAGEREF _Toc455151529 \h </w:instrText>
      </w:r>
      <w:r>
        <w:fldChar w:fldCharType="separate"/>
      </w:r>
      <w:r>
        <w:t>48</w:t>
      </w:r>
      <w:r>
        <w:fldChar w:fldCharType="end"/>
      </w:r>
    </w:p>
    <w:p>
      <w:pPr>
        <w:pStyle w:val="TOC8"/>
        <w:rPr>
          <w:rFonts w:asciiTheme="minorHAnsi" w:eastAsiaTheme="minorEastAsia" w:hAnsiTheme="minorHAnsi" w:cstheme="minorBidi"/>
          <w:szCs w:val="22"/>
        </w:rPr>
      </w:pPr>
      <w:r>
        <w:t>94E.</w:t>
      </w:r>
      <w:r>
        <w:tab/>
        <w:t>Controlling short term use</w:t>
      </w:r>
      <w:r>
        <w:tab/>
      </w:r>
      <w:r>
        <w:fldChar w:fldCharType="begin"/>
      </w:r>
      <w:r>
        <w:instrText xml:space="preserve"> PAGEREF _Toc455151530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3 — Special provisions applying at particular ports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Use of slipways</w:t>
      </w:r>
    </w:p>
    <w:p>
      <w:pPr>
        <w:pStyle w:val="TOC8"/>
        <w:rPr>
          <w:rFonts w:asciiTheme="minorHAnsi" w:eastAsiaTheme="minorEastAsia" w:hAnsiTheme="minorHAnsi" w:cstheme="minorBidi"/>
          <w:szCs w:val="22"/>
        </w:rPr>
      </w:pPr>
      <w:r>
        <w:t>95.</w:t>
      </w:r>
      <w:r>
        <w:tab/>
        <w:t>Management and control of departmental slipways</w:t>
      </w:r>
      <w:r>
        <w:tab/>
      </w:r>
      <w:r>
        <w:fldChar w:fldCharType="begin"/>
      </w:r>
      <w:r>
        <w:instrText xml:space="preserve"> PAGEREF _Toc455151533 \h </w:instrText>
      </w:r>
      <w:r>
        <w:fldChar w:fldCharType="separate"/>
      </w:r>
      <w:r>
        <w:t>49</w:t>
      </w:r>
      <w:r>
        <w:fldChar w:fldCharType="end"/>
      </w:r>
    </w:p>
    <w:p>
      <w:pPr>
        <w:pStyle w:val="TOC8"/>
        <w:rPr>
          <w:rFonts w:asciiTheme="minorHAnsi" w:eastAsiaTheme="minorEastAsia" w:hAnsiTheme="minorHAnsi" w:cstheme="minorBidi"/>
          <w:szCs w:val="22"/>
        </w:rPr>
      </w:pPr>
      <w:r>
        <w:t>95A.</w:t>
      </w:r>
      <w:r>
        <w:tab/>
        <w:t>Use of slipway</w:t>
      </w:r>
      <w:r>
        <w:tab/>
      </w:r>
      <w:r>
        <w:fldChar w:fldCharType="begin"/>
      </w:r>
      <w:r>
        <w:instrText xml:space="preserve"> PAGEREF _Toc455151534 \h </w:instrText>
      </w:r>
      <w:r>
        <w:fldChar w:fldCharType="separate"/>
      </w:r>
      <w:r>
        <w:t>49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Charges for use of slipway</w:t>
      </w:r>
      <w:r>
        <w:tab/>
      </w:r>
      <w:r>
        <w:fldChar w:fldCharType="begin"/>
      </w:r>
      <w:r>
        <w:instrText xml:space="preserve"> PAGEREF _Toc455151535 \h </w:instrText>
      </w:r>
      <w:r>
        <w:fldChar w:fldCharType="separate"/>
      </w:r>
      <w:r>
        <w:t>49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Government vessels may take precedence</w:t>
      </w:r>
      <w:r>
        <w:tab/>
      </w:r>
      <w:r>
        <w:fldChar w:fldCharType="begin"/>
      </w:r>
      <w:r>
        <w:instrText xml:space="preserve"> PAGEREF _Toc455151536 \h </w:instrText>
      </w:r>
      <w:r>
        <w:fldChar w:fldCharType="separate"/>
      </w:r>
      <w:r>
        <w:t>50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Vessels may forfeit their turn</w:t>
      </w:r>
      <w:r>
        <w:tab/>
      </w:r>
      <w:r>
        <w:fldChar w:fldCharType="begin"/>
      </w:r>
      <w:r>
        <w:instrText xml:space="preserve"> PAGEREF _Toc455151537 \h </w:instrText>
      </w:r>
      <w:r>
        <w:fldChar w:fldCharType="separate"/>
      </w:r>
      <w:r>
        <w:t>50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Department will not undertake repairs etc.</w:t>
      </w:r>
      <w:r>
        <w:tab/>
      </w:r>
      <w:r>
        <w:fldChar w:fldCharType="begin"/>
      </w:r>
      <w:r>
        <w:instrText xml:space="preserve"> PAGEREF _Toc455151538 \h </w:instrText>
      </w:r>
      <w:r>
        <w:fldChar w:fldCharType="separate"/>
      </w:r>
      <w:r>
        <w:t>50</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Department not responsible for damage to vessel when in use of slip</w:t>
      </w:r>
      <w:r>
        <w:tab/>
      </w:r>
      <w:r>
        <w:fldChar w:fldCharType="begin"/>
      </w:r>
      <w:r>
        <w:instrText xml:space="preserve"> PAGEREF _Toc455151539 \h </w:instrText>
      </w:r>
      <w:r>
        <w:fldChar w:fldCharType="separate"/>
      </w:r>
      <w:r>
        <w:t>51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Duties of owner or master using slipway</w:t>
      </w:r>
      <w:r>
        <w:tab/>
      </w:r>
      <w:r>
        <w:fldChar w:fldCharType="begin"/>
      </w:r>
      <w:r>
        <w:instrText xml:space="preserve"> PAGEREF _Toc455151540 \h </w:instrText>
      </w:r>
      <w:r>
        <w:fldChar w:fldCharType="separate"/>
      </w:r>
      <w:r>
        <w:t>51</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Slipping of more than one vessel at a time</w:t>
      </w:r>
      <w:r>
        <w:tab/>
      </w:r>
      <w:r>
        <w:fldChar w:fldCharType="begin"/>
      </w:r>
      <w:r>
        <w:instrText xml:space="preserve"> PAGEREF _Toc455151541 \h </w:instrText>
      </w:r>
      <w:r>
        <w:fldChar w:fldCharType="separate"/>
      </w:r>
      <w:r>
        <w:t>51</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Dispute procedure</w:t>
      </w:r>
      <w:r>
        <w:tab/>
      </w:r>
      <w:r>
        <w:fldChar w:fldCharType="begin"/>
      </w:r>
      <w:r>
        <w:instrText xml:space="preserve"> PAGEREF _Toc455151542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Use of mooring springs</w:t>
      </w:r>
    </w:p>
    <w:p>
      <w:pPr>
        <w:pStyle w:val="TOC8"/>
        <w:rPr>
          <w:rFonts w:asciiTheme="minorHAnsi" w:eastAsiaTheme="minorEastAsia" w:hAnsiTheme="minorHAnsi" w:cstheme="minorBidi"/>
          <w:szCs w:val="22"/>
        </w:rPr>
      </w:pPr>
      <w:r>
        <w:t>105F</w:t>
      </w:r>
      <w:r>
        <w:rPr>
          <w:snapToGrid w:val="0"/>
        </w:rPr>
        <w:t>.</w:t>
      </w:r>
      <w:r>
        <w:rPr>
          <w:snapToGrid w:val="0"/>
        </w:rPr>
        <w:tab/>
        <w:t>Approaching bollard or jetty to which mooring spring or rope fastened</w:t>
      </w:r>
      <w:r>
        <w:tab/>
      </w:r>
      <w:r>
        <w:fldChar w:fldCharType="begin"/>
      </w:r>
      <w:r>
        <w:instrText xml:space="preserve"> PAGEREF _Toc455151544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Use of weighbridges at Wyndham</w:t>
      </w:r>
    </w:p>
    <w:p>
      <w:pPr>
        <w:pStyle w:val="TOC8"/>
        <w:rPr>
          <w:rFonts w:asciiTheme="minorHAnsi" w:eastAsiaTheme="minorEastAsia" w:hAnsiTheme="minorHAnsi" w:cstheme="minorBidi"/>
          <w:szCs w:val="22"/>
        </w:rPr>
      </w:pPr>
      <w:r>
        <w:t>105I</w:t>
      </w:r>
      <w:r>
        <w:rPr>
          <w:snapToGrid w:val="0"/>
        </w:rPr>
        <w:t>.</w:t>
      </w:r>
      <w:r>
        <w:rPr>
          <w:snapToGrid w:val="0"/>
        </w:rPr>
        <w:tab/>
        <w:t>Weighbridge charges</w:t>
      </w:r>
      <w:r>
        <w:tab/>
      </w:r>
      <w:r>
        <w:fldChar w:fldCharType="begin"/>
      </w:r>
      <w:r>
        <w:instrText xml:space="preserve"> PAGEREF _Toc455151546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4 — Breach of regulations and penalties</w:t>
      </w:r>
    </w:p>
    <w:p>
      <w:pPr>
        <w:pStyle w:val="TOC8"/>
        <w:rPr>
          <w:rFonts w:asciiTheme="minorHAnsi" w:eastAsiaTheme="minorEastAsia" w:hAnsiTheme="minorHAnsi" w:cstheme="minorBidi"/>
          <w:szCs w:val="22"/>
        </w:rPr>
      </w:pPr>
      <w:r>
        <w:t>106</w:t>
      </w:r>
      <w:r>
        <w:rPr>
          <w:snapToGrid w:val="0"/>
        </w:rPr>
        <w:t>.</w:t>
      </w:r>
      <w:r>
        <w:rPr>
          <w:snapToGrid w:val="0"/>
        </w:rPr>
        <w:tab/>
        <w:t>Powers of officer of Department</w:t>
      </w:r>
      <w:r>
        <w:tab/>
      </w:r>
      <w:r>
        <w:fldChar w:fldCharType="begin"/>
      </w:r>
      <w:r>
        <w:instrText xml:space="preserve"> PAGEREF _Toc455151548 \h </w:instrText>
      </w:r>
      <w:r>
        <w:fldChar w:fldCharType="separate"/>
      </w:r>
      <w:r>
        <w:t>54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Recovery of expenses incurred by breaches of regulations</w:t>
      </w:r>
      <w:r>
        <w:tab/>
      </w:r>
      <w:r>
        <w:fldChar w:fldCharType="begin"/>
      </w:r>
      <w:r>
        <w:instrText xml:space="preserve"> PAGEREF _Toc455151549 \h </w:instrText>
      </w:r>
      <w:r>
        <w:fldChar w:fldCharType="separate"/>
      </w:r>
      <w:r>
        <w:t>54</w:t>
      </w:r>
      <w:r>
        <w:fldChar w:fldCharType="end"/>
      </w:r>
    </w:p>
    <w:p>
      <w:pPr>
        <w:pStyle w:val="TOC8"/>
        <w:rPr>
          <w:rFonts w:asciiTheme="minorHAnsi" w:eastAsiaTheme="minorEastAsia" w:hAnsiTheme="minorHAnsi" w:cstheme="minorBidi"/>
          <w:szCs w:val="22"/>
        </w:rPr>
      </w:pPr>
      <w:r>
        <w:t>107A</w:t>
      </w:r>
      <w:r>
        <w:rPr>
          <w:snapToGrid w:val="0"/>
        </w:rPr>
        <w:t>.</w:t>
      </w:r>
      <w:r>
        <w:rPr>
          <w:snapToGrid w:val="0"/>
        </w:rPr>
        <w:tab/>
        <w:t>Police have authority to enforce regulations</w:t>
      </w:r>
      <w:r>
        <w:tab/>
      </w:r>
      <w:r>
        <w:fldChar w:fldCharType="begin"/>
      </w:r>
      <w:r>
        <w:instrText xml:space="preserve"> PAGEREF _Toc455151550 \h </w:instrText>
      </w:r>
      <w:r>
        <w:fldChar w:fldCharType="separate"/>
      </w:r>
      <w:r>
        <w:t>54</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Penalty for offences</w:t>
      </w:r>
      <w:r>
        <w:tab/>
      </w:r>
      <w:r>
        <w:fldChar w:fldCharType="begin"/>
      </w:r>
      <w:r>
        <w:instrText xml:space="preserve"> PAGEREF _Toc455151551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Schedule 1 — Dues and charges generally</w:t>
      </w:r>
    </w:p>
    <w:p>
      <w:pPr>
        <w:pStyle w:val="TOC4"/>
        <w:tabs>
          <w:tab w:val="right" w:leader="dot" w:pos="7077"/>
        </w:tabs>
        <w:rPr>
          <w:rFonts w:asciiTheme="minorHAnsi" w:eastAsiaTheme="minorEastAsia" w:hAnsiTheme="minorHAnsi" w:cstheme="minorBidi"/>
          <w:b w:val="0"/>
          <w:szCs w:val="22"/>
        </w:rPr>
      </w:pPr>
      <w:r>
        <w:t>Division 1A</w:t>
      </w:r>
      <w:r>
        <w:rPr>
          <w:b w:val="0"/>
        </w:rPr>
        <w:t> — </w:t>
      </w:r>
      <w:r>
        <w:t>Standard rates</w:t>
      </w:r>
    </w:p>
    <w:p>
      <w:pPr>
        <w:pStyle w:val="TOC8"/>
        <w:rPr>
          <w:rFonts w:asciiTheme="minorHAnsi" w:eastAsiaTheme="minorEastAsia" w:hAnsiTheme="minorHAnsi" w:cstheme="minorBidi"/>
          <w:szCs w:val="22"/>
        </w:rPr>
      </w:pPr>
      <w:r>
        <w:t>1A.</w:t>
      </w:r>
      <w:r>
        <w:tab/>
        <w:t>Standard rates for this Schedule</w:t>
      </w:r>
      <w:r>
        <w:tab/>
      </w:r>
      <w:r>
        <w:fldChar w:fldCharType="begin"/>
      </w:r>
      <w:r>
        <w:instrText xml:space="preserve"> PAGEREF _Toc455151554 \h </w:instrText>
      </w:r>
      <w:r>
        <w:fldChar w:fldCharType="separate"/>
      </w:r>
      <w:r>
        <w:t>56</w:t>
      </w:r>
      <w:r>
        <w:fldChar w:fldCharType="end"/>
      </w:r>
    </w:p>
    <w:p>
      <w:pPr>
        <w:pStyle w:val="TOC8"/>
        <w:rPr>
          <w:rFonts w:asciiTheme="minorHAnsi" w:eastAsiaTheme="minorEastAsia" w:hAnsiTheme="minorHAnsi" w:cstheme="minorBidi"/>
          <w:szCs w:val="22"/>
        </w:rPr>
      </w:pPr>
      <w:r>
        <w:t>1B.</w:t>
      </w:r>
      <w:r>
        <w:tab/>
        <w:t>Transferability of annual payments</w:t>
      </w:r>
      <w:r>
        <w:tab/>
      </w:r>
      <w:r>
        <w:fldChar w:fldCharType="begin"/>
      </w:r>
      <w:r>
        <w:instrText xml:space="preserve"> PAGEREF _Toc455151555 \h </w:instrText>
      </w:r>
      <w:r>
        <w:fldChar w:fldCharType="separate"/>
      </w:r>
      <w:r>
        <w:t>56</w:t>
      </w:r>
      <w:r>
        <w:fldChar w:fldCharType="end"/>
      </w:r>
    </w:p>
    <w:p>
      <w:pPr>
        <w:pStyle w:val="TOC8"/>
        <w:rPr>
          <w:rFonts w:asciiTheme="minorHAnsi" w:eastAsiaTheme="minorEastAsia" w:hAnsiTheme="minorHAnsi" w:cstheme="minorBidi"/>
          <w:szCs w:val="22"/>
        </w:rPr>
      </w:pPr>
      <w:r>
        <w:t>1C.</w:t>
      </w:r>
      <w:r>
        <w:tab/>
        <w:t>Service wharf or jetty entitlements</w:t>
      </w:r>
      <w:r>
        <w:tab/>
      </w:r>
      <w:r>
        <w:fldChar w:fldCharType="begin"/>
      </w:r>
      <w:r>
        <w:instrText xml:space="preserve"> PAGEREF _Toc455151556 \h </w:instrText>
      </w:r>
      <w:r>
        <w:fldChar w:fldCharType="separate"/>
      </w:r>
      <w:r>
        <w:t>57</w:t>
      </w:r>
      <w:r>
        <w:fldChar w:fldCharType="end"/>
      </w:r>
    </w:p>
    <w:p>
      <w:pPr>
        <w:pStyle w:val="TOC8"/>
        <w:rPr>
          <w:rFonts w:asciiTheme="minorHAnsi" w:eastAsiaTheme="minorEastAsia" w:hAnsiTheme="minorHAnsi" w:cstheme="minorBidi"/>
          <w:szCs w:val="22"/>
        </w:rPr>
      </w:pPr>
      <w:r>
        <w:t>1D.</w:t>
      </w:r>
      <w:r>
        <w:tab/>
        <w:t>Active loading and unloading</w:t>
      </w:r>
      <w:r>
        <w:tab/>
      </w:r>
      <w:r>
        <w:fldChar w:fldCharType="begin"/>
      </w:r>
      <w:r>
        <w:instrText xml:space="preserve"> PAGEREF _Toc455151557 \h </w:instrText>
      </w:r>
      <w:r>
        <w:fldChar w:fldCharType="separate"/>
      </w:r>
      <w:r>
        <w:t>57</w:t>
      </w:r>
      <w:r>
        <w:fldChar w:fldCharType="end"/>
      </w:r>
    </w:p>
    <w:p>
      <w:pPr>
        <w:pStyle w:val="TOC8"/>
        <w:rPr>
          <w:rFonts w:asciiTheme="minorHAnsi" w:eastAsiaTheme="minorEastAsia" w:hAnsiTheme="minorHAnsi" w:cstheme="minorBidi"/>
          <w:szCs w:val="22"/>
        </w:rPr>
      </w:pPr>
      <w:r>
        <w:t>1E.</w:t>
      </w:r>
      <w:r>
        <w:tab/>
        <w:t>Wyndham excluded</w:t>
      </w:r>
      <w:r>
        <w:tab/>
      </w:r>
      <w:r>
        <w:fldChar w:fldCharType="begin"/>
      </w:r>
      <w:r>
        <w:instrText xml:space="preserve"> PAGEREF _Toc455151558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1</w:t>
      </w:r>
      <w:r>
        <w:rPr>
          <w:b w:val="0"/>
        </w:rPr>
        <w:t> — </w:t>
      </w:r>
      <w:r>
        <w:t>Specified places</w:t>
      </w:r>
    </w:p>
    <w:p>
      <w:pPr>
        <w:pStyle w:val="TOC8"/>
        <w:rPr>
          <w:rFonts w:asciiTheme="minorHAnsi" w:eastAsiaTheme="minorEastAsia" w:hAnsiTheme="minorHAnsi" w:cstheme="minorBidi"/>
          <w:szCs w:val="22"/>
        </w:rPr>
      </w:pPr>
      <w:r>
        <w:t>1.</w:t>
      </w:r>
      <w:r>
        <w:tab/>
        <w:t>Albany, Albany Waterfront Marina</w:t>
      </w:r>
      <w:r>
        <w:tab/>
      </w:r>
      <w:r>
        <w:fldChar w:fldCharType="begin"/>
      </w:r>
      <w:r>
        <w:instrText xml:space="preserve"> PAGEREF _Toc455151560 \h </w:instrText>
      </w:r>
      <w:r>
        <w:fldChar w:fldCharType="separate"/>
      </w:r>
      <w:r>
        <w:t>57</w:t>
      </w:r>
      <w:r>
        <w:fldChar w:fldCharType="end"/>
      </w:r>
    </w:p>
    <w:p>
      <w:pPr>
        <w:pStyle w:val="TOC8"/>
        <w:rPr>
          <w:rFonts w:asciiTheme="minorHAnsi" w:eastAsiaTheme="minorEastAsia" w:hAnsiTheme="minorHAnsi" w:cstheme="minorBidi"/>
          <w:szCs w:val="22"/>
        </w:rPr>
      </w:pPr>
      <w:r>
        <w:t>2.</w:t>
      </w:r>
      <w:r>
        <w:tab/>
        <w:t>Albany, Emu Point Boat Harbour</w:t>
      </w:r>
      <w:r>
        <w:tab/>
      </w:r>
      <w:r>
        <w:fldChar w:fldCharType="begin"/>
      </w:r>
      <w:r>
        <w:instrText xml:space="preserve"> PAGEREF _Toc455151561 \h </w:instrText>
      </w:r>
      <w:r>
        <w:fldChar w:fldCharType="separate"/>
      </w:r>
      <w:r>
        <w:t>58</w:t>
      </w:r>
      <w:r>
        <w:fldChar w:fldCharType="end"/>
      </w:r>
    </w:p>
    <w:p>
      <w:pPr>
        <w:pStyle w:val="TOC8"/>
        <w:rPr>
          <w:rFonts w:asciiTheme="minorHAnsi" w:eastAsiaTheme="minorEastAsia" w:hAnsiTheme="minorHAnsi" w:cstheme="minorBidi"/>
          <w:szCs w:val="22"/>
        </w:rPr>
      </w:pPr>
      <w:r>
        <w:t>3.</w:t>
      </w:r>
      <w:r>
        <w:tab/>
        <w:t>Augusta Boat Harbour</w:t>
      </w:r>
      <w:r>
        <w:tab/>
      </w:r>
      <w:r>
        <w:fldChar w:fldCharType="begin"/>
      </w:r>
      <w:r>
        <w:instrText xml:space="preserve"> PAGEREF _Toc455151562 \h </w:instrText>
      </w:r>
      <w:r>
        <w:fldChar w:fldCharType="separate"/>
      </w:r>
      <w:r>
        <w:t>59</w:t>
      </w:r>
      <w:r>
        <w:fldChar w:fldCharType="end"/>
      </w:r>
    </w:p>
    <w:p>
      <w:pPr>
        <w:pStyle w:val="TOC8"/>
        <w:rPr>
          <w:rFonts w:asciiTheme="minorHAnsi" w:eastAsiaTheme="minorEastAsia" w:hAnsiTheme="minorHAnsi" w:cstheme="minorBidi"/>
          <w:szCs w:val="22"/>
        </w:rPr>
      </w:pPr>
      <w:r>
        <w:t>4.</w:t>
      </w:r>
      <w:r>
        <w:tab/>
        <w:t>Augusta (Ellis Street) Maritime Facility</w:t>
      </w:r>
      <w:r>
        <w:tab/>
      </w:r>
      <w:r>
        <w:fldChar w:fldCharType="begin"/>
      </w:r>
      <w:r>
        <w:instrText xml:space="preserve"> PAGEREF _Toc455151563 \h </w:instrText>
      </w:r>
      <w:r>
        <w:fldChar w:fldCharType="separate"/>
      </w:r>
      <w:r>
        <w:t>60</w:t>
      </w:r>
      <w:r>
        <w:fldChar w:fldCharType="end"/>
      </w:r>
    </w:p>
    <w:p>
      <w:pPr>
        <w:pStyle w:val="TOC8"/>
        <w:rPr>
          <w:rFonts w:asciiTheme="minorHAnsi" w:eastAsiaTheme="minorEastAsia" w:hAnsiTheme="minorHAnsi" w:cstheme="minorBidi"/>
          <w:szCs w:val="22"/>
        </w:rPr>
      </w:pPr>
      <w:r>
        <w:t>5.</w:t>
      </w:r>
      <w:r>
        <w:tab/>
        <w:t>Bremer Bay</w:t>
      </w:r>
      <w:r>
        <w:tab/>
      </w:r>
      <w:r>
        <w:fldChar w:fldCharType="begin"/>
      </w:r>
      <w:r>
        <w:instrText xml:space="preserve"> PAGEREF _Toc455151564 \h </w:instrText>
      </w:r>
      <w:r>
        <w:fldChar w:fldCharType="separate"/>
      </w:r>
      <w:r>
        <w:t>61</w:t>
      </w:r>
      <w:r>
        <w:fldChar w:fldCharType="end"/>
      </w:r>
    </w:p>
    <w:p>
      <w:pPr>
        <w:pStyle w:val="TOC8"/>
        <w:rPr>
          <w:rFonts w:asciiTheme="minorHAnsi" w:eastAsiaTheme="minorEastAsia" w:hAnsiTheme="minorHAnsi" w:cstheme="minorBidi"/>
          <w:szCs w:val="22"/>
        </w:rPr>
      </w:pPr>
      <w:r>
        <w:t>6.</w:t>
      </w:r>
      <w:r>
        <w:tab/>
        <w:t>Bunbury, Casuarina Boat Harbour</w:t>
      </w:r>
      <w:r>
        <w:tab/>
      </w:r>
      <w:r>
        <w:fldChar w:fldCharType="begin"/>
      </w:r>
      <w:r>
        <w:instrText xml:space="preserve"> PAGEREF _Toc455151565 \h </w:instrText>
      </w:r>
      <w:r>
        <w:fldChar w:fldCharType="separate"/>
      </w:r>
      <w:r>
        <w:t>61</w:t>
      </w:r>
      <w:r>
        <w:fldChar w:fldCharType="end"/>
      </w:r>
    </w:p>
    <w:p>
      <w:pPr>
        <w:pStyle w:val="TOC8"/>
        <w:rPr>
          <w:rFonts w:asciiTheme="minorHAnsi" w:eastAsiaTheme="minorEastAsia" w:hAnsiTheme="minorHAnsi" w:cstheme="minorBidi"/>
          <w:szCs w:val="22"/>
        </w:rPr>
      </w:pPr>
      <w:r>
        <w:t>7.</w:t>
      </w:r>
      <w:r>
        <w:tab/>
        <w:t>Carnarvon Boat Harbour</w:t>
      </w:r>
      <w:r>
        <w:tab/>
      </w:r>
      <w:r>
        <w:fldChar w:fldCharType="begin"/>
      </w:r>
      <w:r>
        <w:instrText xml:space="preserve"> PAGEREF _Toc455151566 \h </w:instrText>
      </w:r>
      <w:r>
        <w:fldChar w:fldCharType="separate"/>
      </w:r>
      <w:r>
        <w:t>62</w:t>
      </w:r>
      <w:r>
        <w:fldChar w:fldCharType="end"/>
      </w:r>
    </w:p>
    <w:p>
      <w:pPr>
        <w:pStyle w:val="TOC8"/>
        <w:rPr>
          <w:rFonts w:asciiTheme="minorHAnsi" w:eastAsiaTheme="minorEastAsia" w:hAnsiTheme="minorHAnsi" w:cstheme="minorBidi"/>
          <w:szCs w:val="22"/>
        </w:rPr>
      </w:pPr>
      <w:r>
        <w:t>8.</w:t>
      </w:r>
      <w:r>
        <w:tab/>
        <w:t>Cervantes</w:t>
      </w:r>
      <w:r>
        <w:tab/>
      </w:r>
      <w:r>
        <w:fldChar w:fldCharType="begin"/>
      </w:r>
      <w:r>
        <w:instrText xml:space="preserve"> PAGEREF _Toc455151567 \h </w:instrText>
      </w:r>
      <w:r>
        <w:fldChar w:fldCharType="separate"/>
      </w:r>
      <w:r>
        <w:t>64</w:t>
      </w:r>
      <w:r>
        <w:fldChar w:fldCharType="end"/>
      </w:r>
    </w:p>
    <w:p>
      <w:pPr>
        <w:pStyle w:val="TOC8"/>
        <w:rPr>
          <w:rFonts w:asciiTheme="minorHAnsi" w:eastAsiaTheme="minorEastAsia" w:hAnsiTheme="minorHAnsi" w:cstheme="minorBidi"/>
          <w:szCs w:val="22"/>
        </w:rPr>
      </w:pPr>
      <w:r>
        <w:t>9.</w:t>
      </w:r>
      <w:r>
        <w:tab/>
        <w:t>Coral Bay Maritime Facility</w:t>
      </w:r>
      <w:r>
        <w:tab/>
      </w:r>
      <w:r>
        <w:fldChar w:fldCharType="begin"/>
      </w:r>
      <w:r>
        <w:instrText xml:space="preserve"> PAGEREF _Toc455151568 \h </w:instrText>
      </w:r>
      <w:r>
        <w:fldChar w:fldCharType="separate"/>
      </w:r>
      <w:r>
        <w:t>64</w:t>
      </w:r>
      <w:r>
        <w:fldChar w:fldCharType="end"/>
      </w:r>
    </w:p>
    <w:p>
      <w:pPr>
        <w:pStyle w:val="TOC8"/>
        <w:rPr>
          <w:rFonts w:asciiTheme="minorHAnsi" w:eastAsiaTheme="minorEastAsia" w:hAnsiTheme="minorHAnsi" w:cstheme="minorBidi"/>
          <w:szCs w:val="22"/>
        </w:rPr>
      </w:pPr>
      <w:r>
        <w:t>10.</w:t>
      </w:r>
      <w:r>
        <w:tab/>
        <w:t>Denham Maritime Facility</w:t>
      </w:r>
      <w:r>
        <w:tab/>
      </w:r>
      <w:r>
        <w:fldChar w:fldCharType="begin"/>
      </w:r>
      <w:r>
        <w:instrText xml:space="preserve"> PAGEREF _Toc455151569 \h </w:instrText>
      </w:r>
      <w:r>
        <w:fldChar w:fldCharType="separate"/>
      </w:r>
      <w:r>
        <w:t>65</w:t>
      </w:r>
      <w:r>
        <w:fldChar w:fldCharType="end"/>
      </w:r>
    </w:p>
    <w:p>
      <w:pPr>
        <w:pStyle w:val="TOC8"/>
        <w:rPr>
          <w:rFonts w:asciiTheme="minorHAnsi" w:eastAsiaTheme="minorEastAsia" w:hAnsiTheme="minorHAnsi" w:cstheme="minorBidi"/>
          <w:szCs w:val="22"/>
        </w:rPr>
      </w:pPr>
      <w:r>
        <w:t>11.</w:t>
      </w:r>
      <w:r>
        <w:tab/>
        <w:t>Esperance, Bandy Creek Boat Harbour</w:t>
      </w:r>
      <w:r>
        <w:tab/>
      </w:r>
      <w:r>
        <w:fldChar w:fldCharType="begin"/>
      </w:r>
      <w:r>
        <w:instrText xml:space="preserve"> PAGEREF _Toc455151570 \h </w:instrText>
      </w:r>
      <w:r>
        <w:fldChar w:fldCharType="separate"/>
      </w:r>
      <w:r>
        <w:t>65</w:t>
      </w:r>
      <w:r>
        <w:fldChar w:fldCharType="end"/>
      </w:r>
    </w:p>
    <w:p>
      <w:pPr>
        <w:pStyle w:val="TOC8"/>
        <w:rPr>
          <w:rFonts w:asciiTheme="minorHAnsi" w:eastAsiaTheme="minorEastAsia" w:hAnsiTheme="minorHAnsi" w:cstheme="minorBidi"/>
          <w:szCs w:val="22"/>
        </w:rPr>
      </w:pPr>
      <w:r>
        <w:t>12.</w:t>
      </w:r>
      <w:r>
        <w:tab/>
        <w:t>Exmouth</w:t>
      </w:r>
      <w:r>
        <w:tab/>
      </w:r>
      <w:r>
        <w:fldChar w:fldCharType="begin"/>
      </w:r>
      <w:r>
        <w:instrText xml:space="preserve"> PAGEREF _Toc455151571 \h </w:instrText>
      </w:r>
      <w:r>
        <w:fldChar w:fldCharType="separate"/>
      </w:r>
      <w:r>
        <w:t>67</w:t>
      </w:r>
      <w:r>
        <w:fldChar w:fldCharType="end"/>
      </w:r>
    </w:p>
    <w:p>
      <w:pPr>
        <w:pStyle w:val="TOC8"/>
        <w:rPr>
          <w:rFonts w:asciiTheme="minorHAnsi" w:eastAsiaTheme="minorEastAsia" w:hAnsiTheme="minorHAnsi" w:cstheme="minorBidi"/>
          <w:szCs w:val="22"/>
        </w:rPr>
      </w:pPr>
      <w:r>
        <w:t>13.</w:t>
      </w:r>
      <w:r>
        <w:tab/>
        <w:t>Fremantle Fishing Boat Harbour</w:t>
      </w:r>
      <w:r>
        <w:tab/>
      </w:r>
      <w:r>
        <w:fldChar w:fldCharType="begin"/>
      </w:r>
      <w:r>
        <w:instrText xml:space="preserve"> PAGEREF _Toc455151572 \h </w:instrText>
      </w:r>
      <w:r>
        <w:fldChar w:fldCharType="separate"/>
      </w:r>
      <w:r>
        <w:t>70</w:t>
      </w:r>
      <w:r>
        <w:fldChar w:fldCharType="end"/>
      </w:r>
    </w:p>
    <w:p>
      <w:pPr>
        <w:pStyle w:val="TOC8"/>
        <w:rPr>
          <w:rFonts w:asciiTheme="minorHAnsi" w:eastAsiaTheme="minorEastAsia" w:hAnsiTheme="minorHAnsi" w:cstheme="minorBidi"/>
          <w:szCs w:val="22"/>
        </w:rPr>
      </w:pPr>
      <w:r>
        <w:t>14.</w:t>
      </w:r>
      <w:r>
        <w:tab/>
        <w:t>Geraldton, Batavia Coast Boat Harbour</w:t>
      </w:r>
      <w:r>
        <w:tab/>
      </w:r>
      <w:r>
        <w:fldChar w:fldCharType="begin"/>
      </w:r>
      <w:r>
        <w:instrText xml:space="preserve"> PAGEREF _Toc455151573 \h </w:instrText>
      </w:r>
      <w:r>
        <w:fldChar w:fldCharType="separate"/>
      </w:r>
      <w:r>
        <w:t>71</w:t>
      </w:r>
      <w:r>
        <w:fldChar w:fldCharType="end"/>
      </w:r>
    </w:p>
    <w:p>
      <w:pPr>
        <w:pStyle w:val="TOC8"/>
        <w:rPr>
          <w:rFonts w:asciiTheme="minorHAnsi" w:eastAsiaTheme="minorEastAsia" w:hAnsiTheme="minorHAnsi" w:cstheme="minorBidi"/>
          <w:szCs w:val="22"/>
        </w:rPr>
      </w:pPr>
      <w:r>
        <w:t>15.</w:t>
      </w:r>
      <w:r>
        <w:tab/>
        <w:t>Green Head</w:t>
      </w:r>
      <w:r>
        <w:tab/>
      </w:r>
      <w:r>
        <w:fldChar w:fldCharType="begin"/>
      </w:r>
      <w:r>
        <w:instrText xml:space="preserve"> PAGEREF _Toc455151574 \h </w:instrText>
      </w:r>
      <w:r>
        <w:fldChar w:fldCharType="separate"/>
      </w:r>
      <w:r>
        <w:t>72</w:t>
      </w:r>
      <w:r>
        <w:fldChar w:fldCharType="end"/>
      </w:r>
    </w:p>
    <w:p>
      <w:pPr>
        <w:pStyle w:val="TOC8"/>
        <w:rPr>
          <w:rFonts w:asciiTheme="minorHAnsi" w:eastAsiaTheme="minorEastAsia" w:hAnsiTheme="minorHAnsi" w:cstheme="minorBidi"/>
          <w:szCs w:val="22"/>
        </w:rPr>
      </w:pPr>
      <w:r>
        <w:t>16.</w:t>
      </w:r>
      <w:r>
        <w:tab/>
        <w:t>Hopetoun</w:t>
      </w:r>
      <w:r>
        <w:tab/>
      </w:r>
      <w:r>
        <w:fldChar w:fldCharType="begin"/>
      </w:r>
      <w:r>
        <w:instrText xml:space="preserve"> PAGEREF _Toc455151575 \h </w:instrText>
      </w:r>
      <w:r>
        <w:fldChar w:fldCharType="separate"/>
      </w:r>
      <w:r>
        <w:t>73</w:t>
      </w:r>
      <w:r>
        <w:fldChar w:fldCharType="end"/>
      </w:r>
    </w:p>
    <w:p>
      <w:pPr>
        <w:pStyle w:val="TOC8"/>
        <w:rPr>
          <w:rFonts w:asciiTheme="minorHAnsi" w:eastAsiaTheme="minorEastAsia" w:hAnsiTheme="minorHAnsi" w:cstheme="minorBidi"/>
          <w:szCs w:val="22"/>
        </w:rPr>
      </w:pPr>
      <w:r>
        <w:t>17.</w:t>
      </w:r>
      <w:r>
        <w:tab/>
        <w:t>Jurien Boat Harbour</w:t>
      </w:r>
      <w:r>
        <w:tab/>
      </w:r>
      <w:r>
        <w:fldChar w:fldCharType="begin"/>
      </w:r>
      <w:r>
        <w:instrText xml:space="preserve"> PAGEREF _Toc455151576 \h </w:instrText>
      </w:r>
      <w:r>
        <w:fldChar w:fldCharType="separate"/>
      </w:r>
      <w:r>
        <w:t>73</w:t>
      </w:r>
      <w:r>
        <w:fldChar w:fldCharType="end"/>
      </w:r>
    </w:p>
    <w:p>
      <w:pPr>
        <w:pStyle w:val="TOC8"/>
        <w:rPr>
          <w:rFonts w:asciiTheme="minorHAnsi" w:eastAsiaTheme="minorEastAsia" w:hAnsiTheme="minorHAnsi" w:cstheme="minorBidi"/>
          <w:szCs w:val="22"/>
        </w:rPr>
      </w:pPr>
      <w:r>
        <w:t>18.</w:t>
      </w:r>
      <w:r>
        <w:tab/>
        <w:t>Kalbarri Boat Harbour</w:t>
      </w:r>
      <w:r>
        <w:tab/>
      </w:r>
      <w:r>
        <w:fldChar w:fldCharType="begin"/>
      </w:r>
      <w:r>
        <w:instrText xml:space="preserve"> PAGEREF _Toc455151577 \h </w:instrText>
      </w:r>
      <w:r>
        <w:fldChar w:fldCharType="separate"/>
      </w:r>
      <w:r>
        <w:t>74</w:t>
      </w:r>
      <w:r>
        <w:fldChar w:fldCharType="end"/>
      </w:r>
    </w:p>
    <w:p>
      <w:pPr>
        <w:pStyle w:val="TOC8"/>
        <w:rPr>
          <w:rFonts w:asciiTheme="minorHAnsi" w:eastAsiaTheme="minorEastAsia" w:hAnsiTheme="minorHAnsi" w:cstheme="minorBidi"/>
          <w:szCs w:val="22"/>
        </w:rPr>
      </w:pPr>
      <w:r>
        <w:t>19.</w:t>
      </w:r>
      <w:r>
        <w:tab/>
        <w:t>Lancelin</w:t>
      </w:r>
      <w:r>
        <w:tab/>
      </w:r>
      <w:r>
        <w:fldChar w:fldCharType="begin"/>
      </w:r>
      <w:r>
        <w:instrText xml:space="preserve"> PAGEREF _Toc455151578 \h </w:instrText>
      </w:r>
      <w:r>
        <w:fldChar w:fldCharType="separate"/>
      </w:r>
      <w:r>
        <w:t>75</w:t>
      </w:r>
      <w:r>
        <w:fldChar w:fldCharType="end"/>
      </w:r>
    </w:p>
    <w:p>
      <w:pPr>
        <w:pStyle w:val="TOC8"/>
        <w:rPr>
          <w:rFonts w:asciiTheme="minorHAnsi" w:eastAsiaTheme="minorEastAsia" w:hAnsiTheme="minorHAnsi" w:cstheme="minorBidi"/>
          <w:szCs w:val="22"/>
        </w:rPr>
      </w:pPr>
      <w:r>
        <w:t>20.</w:t>
      </w:r>
      <w:r>
        <w:tab/>
        <w:t>Leeman</w:t>
      </w:r>
      <w:r>
        <w:tab/>
      </w:r>
      <w:r>
        <w:fldChar w:fldCharType="begin"/>
      </w:r>
      <w:r>
        <w:instrText xml:space="preserve"> PAGEREF _Toc455151579 \h </w:instrText>
      </w:r>
      <w:r>
        <w:fldChar w:fldCharType="separate"/>
      </w:r>
      <w:r>
        <w:t>76</w:t>
      </w:r>
      <w:r>
        <w:fldChar w:fldCharType="end"/>
      </w:r>
    </w:p>
    <w:p>
      <w:pPr>
        <w:pStyle w:val="TOC8"/>
        <w:rPr>
          <w:rFonts w:asciiTheme="minorHAnsi" w:eastAsiaTheme="minorEastAsia" w:hAnsiTheme="minorHAnsi" w:cstheme="minorBidi"/>
          <w:szCs w:val="22"/>
        </w:rPr>
      </w:pPr>
      <w:r>
        <w:t>21.</w:t>
      </w:r>
      <w:r>
        <w:tab/>
        <w:t>Onslow, Beadon Creek Boat Harbour</w:t>
      </w:r>
      <w:r>
        <w:tab/>
      </w:r>
      <w:r>
        <w:fldChar w:fldCharType="begin"/>
      </w:r>
      <w:r>
        <w:instrText xml:space="preserve"> PAGEREF _Toc455151580 \h </w:instrText>
      </w:r>
      <w:r>
        <w:fldChar w:fldCharType="separate"/>
      </w:r>
      <w:r>
        <w:t>77</w:t>
      </w:r>
      <w:r>
        <w:fldChar w:fldCharType="end"/>
      </w:r>
    </w:p>
    <w:p>
      <w:pPr>
        <w:pStyle w:val="TOC8"/>
        <w:rPr>
          <w:rFonts w:asciiTheme="minorHAnsi" w:eastAsiaTheme="minorEastAsia" w:hAnsiTheme="minorHAnsi" w:cstheme="minorBidi"/>
          <w:szCs w:val="22"/>
        </w:rPr>
      </w:pPr>
      <w:r>
        <w:t>22.</w:t>
      </w:r>
      <w:r>
        <w:tab/>
        <w:t>Point Samson, Johns Creek Boat Harbour</w:t>
      </w:r>
      <w:r>
        <w:tab/>
      </w:r>
      <w:r>
        <w:fldChar w:fldCharType="begin"/>
      </w:r>
      <w:r>
        <w:instrText xml:space="preserve"> PAGEREF _Toc455151581 \h </w:instrText>
      </w:r>
      <w:r>
        <w:fldChar w:fldCharType="separate"/>
      </w:r>
      <w:r>
        <w:t>78</w:t>
      </w:r>
      <w:r>
        <w:fldChar w:fldCharType="end"/>
      </w:r>
    </w:p>
    <w:p>
      <w:pPr>
        <w:pStyle w:val="TOC8"/>
        <w:rPr>
          <w:rFonts w:asciiTheme="minorHAnsi" w:eastAsiaTheme="minorEastAsia" w:hAnsiTheme="minorHAnsi" w:cstheme="minorBidi"/>
          <w:szCs w:val="22"/>
        </w:rPr>
      </w:pPr>
      <w:r>
        <w:t>23.</w:t>
      </w:r>
      <w:r>
        <w:tab/>
        <w:t>Port Denison</w:t>
      </w:r>
      <w:r>
        <w:tab/>
      </w:r>
      <w:r>
        <w:fldChar w:fldCharType="begin"/>
      </w:r>
      <w:r>
        <w:instrText xml:space="preserve"> PAGEREF _Toc455151582 \h </w:instrText>
      </w:r>
      <w:r>
        <w:fldChar w:fldCharType="separate"/>
      </w:r>
      <w:r>
        <w:t>81</w:t>
      </w:r>
      <w:r>
        <w:fldChar w:fldCharType="end"/>
      </w:r>
    </w:p>
    <w:p>
      <w:pPr>
        <w:pStyle w:val="TOC8"/>
        <w:rPr>
          <w:rFonts w:asciiTheme="minorHAnsi" w:eastAsiaTheme="minorEastAsia" w:hAnsiTheme="minorHAnsi" w:cstheme="minorBidi"/>
          <w:szCs w:val="22"/>
        </w:rPr>
      </w:pPr>
      <w:r>
        <w:t>24.</w:t>
      </w:r>
      <w:r>
        <w:tab/>
        <w:t>Port Gregory</w:t>
      </w:r>
      <w:r>
        <w:tab/>
      </w:r>
      <w:r>
        <w:fldChar w:fldCharType="begin"/>
      </w:r>
      <w:r>
        <w:instrText xml:space="preserve"> PAGEREF _Toc455151583 \h </w:instrText>
      </w:r>
      <w:r>
        <w:fldChar w:fldCharType="separate"/>
      </w:r>
      <w:r>
        <w:t>82</w:t>
      </w:r>
      <w:r>
        <w:fldChar w:fldCharType="end"/>
      </w:r>
    </w:p>
    <w:p>
      <w:pPr>
        <w:pStyle w:val="TOC8"/>
        <w:rPr>
          <w:rFonts w:asciiTheme="minorHAnsi" w:eastAsiaTheme="minorEastAsia" w:hAnsiTheme="minorHAnsi" w:cstheme="minorBidi"/>
          <w:szCs w:val="22"/>
        </w:rPr>
      </w:pPr>
      <w:r>
        <w:t>25A.</w:t>
      </w:r>
      <w:r>
        <w:tab/>
        <w:t>Two Rocks Marina</w:t>
      </w:r>
      <w:r>
        <w:tab/>
      </w:r>
      <w:r>
        <w:fldChar w:fldCharType="begin"/>
      </w:r>
      <w:r>
        <w:instrText xml:space="preserve"> PAGEREF _Toc455151584 \h </w:instrText>
      </w:r>
      <w:r>
        <w:fldChar w:fldCharType="separate"/>
      </w:r>
      <w:r>
        <w:t>83</w:t>
      </w:r>
      <w:r>
        <w:fldChar w:fldCharType="end"/>
      </w:r>
    </w:p>
    <w:p>
      <w:pPr>
        <w:pStyle w:val="TOC8"/>
        <w:rPr>
          <w:rFonts w:asciiTheme="minorHAnsi" w:eastAsiaTheme="minorEastAsia" w:hAnsiTheme="minorHAnsi" w:cstheme="minorBidi"/>
          <w:szCs w:val="22"/>
        </w:rPr>
      </w:pPr>
      <w:r>
        <w:t>25.</w:t>
      </w:r>
      <w:r>
        <w:tab/>
        <w:t>Port of Wyndham</w:t>
      </w:r>
      <w:r>
        <w:tab/>
      </w:r>
      <w:r>
        <w:fldChar w:fldCharType="begin"/>
      </w:r>
      <w:r>
        <w:instrText xml:space="preserve"> PAGEREF _Toc455151585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State</w:t>
      </w:r>
      <w:r>
        <w:noBreakHyphen/>
        <w:t>wide charges</w:t>
      </w:r>
    </w:p>
    <w:p>
      <w:pPr>
        <w:pStyle w:val="TOC8"/>
        <w:rPr>
          <w:rFonts w:asciiTheme="minorHAnsi" w:eastAsiaTheme="minorEastAsia" w:hAnsiTheme="minorHAnsi" w:cstheme="minorBidi"/>
          <w:szCs w:val="22"/>
        </w:rPr>
      </w:pPr>
      <w:r>
        <w:t>26A.</w:t>
      </w:r>
      <w:r>
        <w:tab/>
        <w:t>Wyndham excluded</w:t>
      </w:r>
      <w:r>
        <w:tab/>
      </w:r>
      <w:r>
        <w:fldChar w:fldCharType="begin"/>
      </w:r>
      <w:r>
        <w:instrText xml:space="preserve"> PAGEREF _Toc455151587 \h </w:instrText>
      </w:r>
      <w:r>
        <w:fldChar w:fldCharType="separate"/>
      </w:r>
      <w:r>
        <w:t>88</w:t>
      </w:r>
      <w:r>
        <w:fldChar w:fldCharType="end"/>
      </w:r>
    </w:p>
    <w:p>
      <w:pPr>
        <w:pStyle w:val="TOC8"/>
        <w:rPr>
          <w:rFonts w:asciiTheme="minorHAnsi" w:eastAsiaTheme="minorEastAsia" w:hAnsiTheme="minorHAnsi" w:cstheme="minorBidi"/>
          <w:szCs w:val="22"/>
        </w:rPr>
      </w:pPr>
      <w:r>
        <w:t>26.</w:t>
      </w:r>
      <w:r>
        <w:tab/>
        <w:t>Living on a vessel</w:t>
      </w:r>
      <w:r>
        <w:tab/>
      </w:r>
      <w:r>
        <w:fldChar w:fldCharType="begin"/>
      </w:r>
      <w:r>
        <w:instrText xml:space="preserve"> PAGEREF _Toc455151588 \h </w:instrText>
      </w:r>
      <w:r>
        <w:fldChar w:fldCharType="separate"/>
      </w:r>
      <w:r>
        <w:t>88</w:t>
      </w:r>
      <w:r>
        <w:fldChar w:fldCharType="end"/>
      </w:r>
    </w:p>
    <w:p>
      <w:pPr>
        <w:pStyle w:val="TOC8"/>
        <w:rPr>
          <w:rFonts w:asciiTheme="minorHAnsi" w:eastAsiaTheme="minorEastAsia" w:hAnsiTheme="minorHAnsi" w:cstheme="minorBidi"/>
          <w:szCs w:val="22"/>
        </w:rPr>
      </w:pPr>
      <w:r>
        <w:t>27.</w:t>
      </w:r>
      <w:r>
        <w:tab/>
        <w:t>Electricity supply</w:t>
      </w:r>
      <w:r>
        <w:tab/>
      </w:r>
      <w:r>
        <w:fldChar w:fldCharType="begin"/>
      </w:r>
      <w:r>
        <w:instrText xml:space="preserve"> PAGEREF _Toc455151589 \h </w:instrText>
      </w:r>
      <w:r>
        <w:fldChar w:fldCharType="separate"/>
      </w:r>
      <w:r>
        <w:t>89</w:t>
      </w:r>
      <w:r>
        <w:fldChar w:fldCharType="end"/>
      </w:r>
    </w:p>
    <w:p>
      <w:pPr>
        <w:pStyle w:val="TOC8"/>
        <w:rPr>
          <w:rFonts w:asciiTheme="minorHAnsi" w:eastAsiaTheme="minorEastAsia" w:hAnsiTheme="minorHAnsi" w:cstheme="minorBidi"/>
          <w:szCs w:val="22"/>
        </w:rPr>
      </w:pPr>
      <w:r>
        <w:t>28.</w:t>
      </w:r>
      <w:r>
        <w:tab/>
        <w:t>Water supply</w:t>
      </w:r>
      <w:r>
        <w:tab/>
      </w:r>
      <w:r>
        <w:fldChar w:fldCharType="begin"/>
      </w:r>
      <w:r>
        <w:instrText xml:space="preserve"> PAGEREF _Toc455151590 \h </w:instrText>
      </w:r>
      <w:r>
        <w:fldChar w:fldCharType="separate"/>
      </w:r>
      <w:r>
        <w:t>89</w:t>
      </w:r>
      <w:r>
        <w:fldChar w:fldCharType="end"/>
      </w:r>
    </w:p>
    <w:p>
      <w:pPr>
        <w:pStyle w:val="TOC8"/>
        <w:rPr>
          <w:rFonts w:asciiTheme="minorHAnsi" w:eastAsiaTheme="minorEastAsia" w:hAnsiTheme="minorHAnsi" w:cstheme="minorBidi"/>
          <w:szCs w:val="22"/>
        </w:rPr>
      </w:pPr>
      <w:r>
        <w:t>29.</w:t>
      </w:r>
      <w:r>
        <w:tab/>
        <w:t>Rubbish removal (r. 53A)</w:t>
      </w:r>
      <w:r>
        <w:tab/>
      </w:r>
      <w:r>
        <w:fldChar w:fldCharType="begin"/>
      </w:r>
      <w:r>
        <w:instrText xml:space="preserve"> PAGEREF _Toc455151591 \h </w:instrText>
      </w:r>
      <w:r>
        <w:fldChar w:fldCharType="separate"/>
      </w:r>
      <w:r>
        <w:t>89</w:t>
      </w:r>
      <w:r>
        <w:fldChar w:fldCharType="end"/>
      </w:r>
    </w:p>
    <w:p>
      <w:pPr>
        <w:pStyle w:val="TOC8"/>
        <w:rPr>
          <w:rFonts w:asciiTheme="minorHAnsi" w:eastAsiaTheme="minorEastAsia" w:hAnsiTheme="minorHAnsi" w:cstheme="minorBidi"/>
          <w:szCs w:val="22"/>
        </w:rPr>
      </w:pPr>
      <w:r>
        <w:t>30.</w:t>
      </w:r>
      <w:r>
        <w:tab/>
        <w:t>Passengers and cargo</w:t>
      </w:r>
      <w:r>
        <w:tab/>
      </w:r>
      <w:r>
        <w:fldChar w:fldCharType="begin"/>
      </w:r>
      <w:r>
        <w:instrText xml:space="preserve"> PAGEREF _Toc455151592 \h </w:instrText>
      </w:r>
      <w:r>
        <w:fldChar w:fldCharType="separate"/>
      </w:r>
      <w:r>
        <w:t>90</w:t>
      </w:r>
      <w:r>
        <w:fldChar w:fldCharType="end"/>
      </w:r>
    </w:p>
    <w:p>
      <w:pPr>
        <w:pStyle w:val="TOC8"/>
        <w:rPr>
          <w:rFonts w:asciiTheme="minorHAnsi" w:eastAsiaTheme="minorEastAsia" w:hAnsiTheme="minorHAnsi" w:cstheme="minorBidi"/>
          <w:szCs w:val="22"/>
        </w:rPr>
      </w:pPr>
      <w:r>
        <w:t>31.</w:t>
      </w:r>
      <w:r>
        <w:tab/>
        <w:t>Slip services (r. 96)</w:t>
      </w:r>
      <w:r>
        <w:tab/>
      </w:r>
      <w:r>
        <w:fldChar w:fldCharType="begin"/>
      </w:r>
      <w:r>
        <w:instrText xml:space="preserve"> PAGEREF _Toc455151593 \h </w:instrText>
      </w:r>
      <w:r>
        <w:fldChar w:fldCharType="separate"/>
      </w:r>
      <w:r>
        <w:t>91</w:t>
      </w:r>
      <w:r>
        <w:fldChar w:fldCharType="end"/>
      </w:r>
    </w:p>
    <w:p>
      <w:pPr>
        <w:pStyle w:val="TOC8"/>
        <w:rPr>
          <w:rFonts w:asciiTheme="minorHAnsi" w:eastAsiaTheme="minorEastAsia" w:hAnsiTheme="minorHAnsi" w:cstheme="minorBidi"/>
          <w:szCs w:val="22"/>
        </w:rPr>
      </w:pPr>
      <w:r>
        <w:t>32.</w:t>
      </w:r>
      <w:r>
        <w:tab/>
        <w:t>Floating dinghy pens</w:t>
      </w:r>
      <w:r>
        <w:tab/>
      </w:r>
      <w:r>
        <w:fldChar w:fldCharType="begin"/>
      </w:r>
      <w:r>
        <w:instrText xml:space="preserve"> PAGEREF _Toc455151594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Schedule 1A — Fuel oil wharfage</w:t>
      </w:r>
    </w:p>
    <w:p>
      <w:pPr>
        <w:pStyle w:val="TOC8"/>
        <w:rPr>
          <w:rFonts w:asciiTheme="minorHAnsi" w:eastAsiaTheme="minorEastAsia" w:hAnsiTheme="minorHAnsi" w:cstheme="minorBidi"/>
          <w:szCs w:val="22"/>
        </w:rPr>
      </w:pPr>
      <w:r>
        <w:t>1.</w:t>
      </w:r>
      <w:r>
        <w:tab/>
        <w:t>Wharfage for fuel (r. 11B(2))</w:t>
      </w:r>
      <w:r>
        <w:tab/>
      </w:r>
      <w:r>
        <w:fldChar w:fldCharType="begin"/>
      </w:r>
      <w:r>
        <w:instrText xml:space="preserve"> PAGEREF _Toc455151596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Schedule 2 — Port of Perth charges</w:t>
      </w:r>
    </w:p>
    <w:p>
      <w:pPr>
        <w:pStyle w:val="TOC4"/>
        <w:tabs>
          <w:tab w:val="right" w:leader="dot" w:pos="7077"/>
        </w:tabs>
        <w:rPr>
          <w:rFonts w:asciiTheme="minorHAnsi" w:eastAsiaTheme="minorEastAsia" w:hAnsiTheme="minorHAnsi" w:cstheme="minorBidi"/>
          <w:b w:val="0"/>
          <w:szCs w:val="22"/>
        </w:rPr>
      </w:pPr>
      <w:r>
        <w:t>Division 1A</w:t>
      </w:r>
      <w:r>
        <w:rPr>
          <w:b w:val="0"/>
        </w:rPr>
        <w:t> — </w:t>
      </w:r>
      <w:r>
        <w:t>Application and Standard rates</w:t>
      </w:r>
    </w:p>
    <w:p>
      <w:pPr>
        <w:pStyle w:val="TOC8"/>
        <w:rPr>
          <w:rFonts w:asciiTheme="minorHAnsi" w:eastAsiaTheme="minorEastAsia" w:hAnsiTheme="minorHAnsi" w:cstheme="minorBidi"/>
          <w:szCs w:val="22"/>
        </w:rPr>
      </w:pPr>
      <w:r>
        <w:t>1A.</w:t>
      </w:r>
      <w:r>
        <w:tab/>
        <w:t>Application of this Schedule</w:t>
      </w:r>
      <w:r>
        <w:tab/>
      </w:r>
      <w:r>
        <w:fldChar w:fldCharType="begin"/>
      </w:r>
      <w:r>
        <w:instrText xml:space="preserve"> PAGEREF _Toc455151599 \h </w:instrText>
      </w:r>
      <w:r>
        <w:fldChar w:fldCharType="separate"/>
      </w:r>
      <w:r>
        <w:t>95</w:t>
      </w:r>
      <w:r>
        <w:fldChar w:fldCharType="end"/>
      </w:r>
    </w:p>
    <w:p>
      <w:pPr>
        <w:pStyle w:val="TOC8"/>
        <w:rPr>
          <w:rFonts w:asciiTheme="minorHAnsi" w:eastAsiaTheme="minorEastAsia" w:hAnsiTheme="minorHAnsi" w:cstheme="minorBidi"/>
          <w:szCs w:val="22"/>
        </w:rPr>
      </w:pPr>
      <w:r>
        <w:t>1B.</w:t>
      </w:r>
      <w:r>
        <w:tab/>
        <w:t>Standard rates for this Schedule</w:t>
      </w:r>
      <w:r>
        <w:tab/>
      </w:r>
      <w:r>
        <w:fldChar w:fldCharType="begin"/>
      </w:r>
      <w:r>
        <w:instrText xml:space="preserve"> PAGEREF _Toc455151600 \h </w:instrText>
      </w:r>
      <w:r>
        <w:fldChar w:fldCharType="separate"/>
      </w:r>
      <w:r>
        <w:t>95</w:t>
      </w:r>
      <w:r>
        <w:fldChar w:fldCharType="end"/>
      </w:r>
    </w:p>
    <w:p>
      <w:pPr>
        <w:pStyle w:val="TOC8"/>
        <w:rPr>
          <w:rFonts w:asciiTheme="minorHAnsi" w:eastAsiaTheme="minorEastAsia" w:hAnsiTheme="minorHAnsi" w:cstheme="minorBidi"/>
          <w:szCs w:val="22"/>
        </w:rPr>
      </w:pPr>
      <w:r>
        <w:t>1C.</w:t>
      </w:r>
      <w:r>
        <w:tab/>
        <w:t>Transferability of annual payments</w:t>
      </w:r>
      <w:r>
        <w:tab/>
      </w:r>
      <w:r>
        <w:fldChar w:fldCharType="begin"/>
      </w:r>
      <w:r>
        <w:instrText xml:space="preserve"> PAGEREF _Toc455151601 \h </w:instrText>
      </w:r>
      <w:r>
        <w:fldChar w:fldCharType="separate"/>
      </w:r>
      <w:r>
        <w:t>95</w:t>
      </w:r>
      <w:r>
        <w:fldChar w:fldCharType="end"/>
      </w:r>
    </w:p>
    <w:p>
      <w:pPr>
        <w:pStyle w:val="TOC8"/>
        <w:rPr>
          <w:rFonts w:asciiTheme="minorHAnsi" w:eastAsiaTheme="minorEastAsia" w:hAnsiTheme="minorHAnsi" w:cstheme="minorBidi"/>
          <w:szCs w:val="22"/>
        </w:rPr>
      </w:pPr>
      <w:r>
        <w:t>1D.</w:t>
      </w:r>
      <w:r>
        <w:tab/>
        <w:t>Service wharf or jetty entitlements</w:t>
      </w:r>
      <w:r>
        <w:tab/>
      </w:r>
      <w:r>
        <w:fldChar w:fldCharType="begin"/>
      </w:r>
      <w:r>
        <w:instrText xml:space="preserve"> PAGEREF _Toc455151602 \h </w:instrText>
      </w:r>
      <w:r>
        <w:fldChar w:fldCharType="separate"/>
      </w:r>
      <w:r>
        <w:t>96</w:t>
      </w:r>
      <w:r>
        <w:fldChar w:fldCharType="end"/>
      </w:r>
    </w:p>
    <w:p>
      <w:pPr>
        <w:pStyle w:val="TOC8"/>
        <w:rPr>
          <w:rFonts w:asciiTheme="minorHAnsi" w:eastAsiaTheme="minorEastAsia" w:hAnsiTheme="minorHAnsi" w:cstheme="minorBidi"/>
          <w:szCs w:val="22"/>
        </w:rPr>
      </w:pPr>
      <w:r>
        <w:t>1E.</w:t>
      </w:r>
      <w:r>
        <w:tab/>
        <w:t>Active loading and unloading</w:t>
      </w:r>
      <w:r>
        <w:tab/>
      </w:r>
      <w:r>
        <w:fldChar w:fldCharType="begin"/>
      </w:r>
      <w:r>
        <w:instrText xml:space="preserve"> PAGEREF _Toc455151603 \h </w:instrText>
      </w:r>
      <w:r>
        <w:fldChar w:fldCharType="separate"/>
      </w:r>
      <w:r>
        <w:t>96</w:t>
      </w:r>
      <w:r>
        <w:fldChar w:fldCharType="end"/>
      </w:r>
    </w:p>
    <w:p>
      <w:pPr>
        <w:pStyle w:val="TOC8"/>
        <w:rPr>
          <w:rFonts w:asciiTheme="minorHAnsi" w:eastAsiaTheme="minorEastAsia" w:hAnsiTheme="minorHAnsi" w:cstheme="minorBidi"/>
          <w:szCs w:val="22"/>
        </w:rPr>
      </w:pPr>
      <w:r>
        <w:t>1F.</w:t>
      </w:r>
      <w:r>
        <w:tab/>
        <w:t>Wyndham excluded</w:t>
      </w:r>
      <w:r>
        <w:tab/>
      </w:r>
      <w:r>
        <w:fldChar w:fldCharType="begin"/>
      </w:r>
      <w:r>
        <w:instrText xml:space="preserve"> PAGEREF _Toc455151604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1</w:t>
      </w:r>
      <w:r>
        <w:rPr>
          <w:b w:val="0"/>
        </w:rPr>
        <w:t> — </w:t>
      </w:r>
      <w:r>
        <w:t>Specific charges for Port of Perth jetties</w:t>
      </w:r>
    </w:p>
    <w:p>
      <w:pPr>
        <w:pStyle w:val="TOC8"/>
        <w:rPr>
          <w:rFonts w:asciiTheme="minorHAnsi" w:eastAsiaTheme="minorEastAsia" w:hAnsiTheme="minorHAnsi" w:cstheme="minorBidi"/>
          <w:szCs w:val="22"/>
        </w:rPr>
      </w:pPr>
      <w:r>
        <w:t>1.</w:t>
      </w:r>
      <w:r>
        <w:tab/>
        <w:t>Barrack Street and Mends Street jetties</w:t>
      </w:r>
      <w:r>
        <w:tab/>
      </w:r>
      <w:r>
        <w:fldChar w:fldCharType="begin"/>
      </w:r>
      <w:r>
        <w:instrText xml:space="preserve"> PAGEREF _Toc455151606 \h </w:instrText>
      </w:r>
      <w:r>
        <w:fldChar w:fldCharType="separate"/>
      </w:r>
      <w:r>
        <w:t>97</w:t>
      </w:r>
      <w:r>
        <w:fldChar w:fldCharType="end"/>
      </w:r>
    </w:p>
    <w:p>
      <w:pPr>
        <w:pStyle w:val="TOC8"/>
        <w:rPr>
          <w:rFonts w:asciiTheme="minorHAnsi" w:eastAsiaTheme="minorEastAsia" w:hAnsiTheme="minorHAnsi" w:cstheme="minorBidi"/>
          <w:szCs w:val="22"/>
        </w:rPr>
      </w:pPr>
      <w:r>
        <w:t>2.</w:t>
      </w:r>
      <w:r>
        <w:tab/>
        <w:t>Other jetties in Swan and Canning Rivers</w:t>
      </w:r>
      <w:r>
        <w:tab/>
      </w:r>
      <w:r>
        <w:fldChar w:fldCharType="begin"/>
      </w:r>
      <w:r>
        <w:instrText xml:space="preserve"> PAGEREF _Toc455151607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Charges for boat pens</w:t>
      </w:r>
    </w:p>
    <w:p>
      <w:pPr>
        <w:pStyle w:val="TOC8"/>
        <w:rPr>
          <w:rFonts w:asciiTheme="minorHAnsi" w:eastAsiaTheme="minorEastAsia" w:hAnsiTheme="minorHAnsi" w:cstheme="minorBidi"/>
          <w:szCs w:val="22"/>
        </w:rPr>
      </w:pPr>
      <w:r>
        <w:t>3.</w:t>
      </w:r>
      <w:r>
        <w:tab/>
        <w:t>Fremantle, Challenger Boat Harbour</w:t>
      </w:r>
      <w:r>
        <w:tab/>
      </w:r>
      <w:r>
        <w:fldChar w:fldCharType="begin"/>
      </w:r>
      <w:r>
        <w:instrText xml:space="preserve"> PAGEREF _Toc455151609 \h </w:instrText>
      </w:r>
      <w:r>
        <w:fldChar w:fldCharType="separate"/>
      </w:r>
      <w:r>
        <w:t>98</w:t>
      </w:r>
      <w:r>
        <w:fldChar w:fldCharType="end"/>
      </w:r>
    </w:p>
    <w:p>
      <w:pPr>
        <w:pStyle w:val="TOC8"/>
        <w:rPr>
          <w:rFonts w:asciiTheme="minorHAnsi" w:eastAsiaTheme="minorEastAsia" w:hAnsiTheme="minorHAnsi" w:cstheme="minorBidi"/>
          <w:szCs w:val="22"/>
        </w:rPr>
      </w:pPr>
      <w:r>
        <w:t>4.</w:t>
      </w:r>
      <w:r>
        <w:tab/>
        <w:t>Hillarys Boat Harbour</w:t>
      </w:r>
      <w:r>
        <w:tab/>
      </w:r>
      <w:r>
        <w:fldChar w:fldCharType="begin"/>
      </w:r>
      <w:r>
        <w:instrText xml:space="preserve"> PAGEREF _Toc455151610 \h </w:instrText>
      </w:r>
      <w:r>
        <w:fldChar w:fldCharType="separate"/>
      </w:r>
      <w:r>
        <w:t>98</w:t>
      </w:r>
      <w:r>
        <w:fldChar w:fldCharType="end"/>
      </w:r>
    </w:p>
    <w:p>
      <w:pPr>
        <w:pStyle w:val="TOC8"/>
        <w:rPr>
          <w:rFonts w:asciiTheme="minorHAnsi" w:eastAsiaTheme="minorEastAsia" w:hAnsiTheme="minorHAnsi" w:cstheme="minorBidi"/>
          <w:szCs w:val="22"/>
        </w:rPr>
      </w:pPr>
      <w:r>
        <w:t>5.</w:t>
      </w:r>
      <w:r>
        <w:tab/>
        <w:t>Jervoise Bay</w:t>
      </w:r>
      <w:r>
        <w:tab/>
      </w:r>
      <w:r>
        <w:fldChar w:fldCharType="begin"/>
      </w:r>
      <w:r>
        <w:instrText xml:space="preserve"> PAGEREF _Toc455151611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_Toc455151614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before="120" w:after="600"/>
        <w:rPr>
          <w:snapToGrid w:val="0"/>
        </w:rPr>
      </w:pPr>
      <w:r>
        <w:rPr>
          <w:snapToGrid w:val="0"/>
        </w:rPr>
        <w:t>Jetties Act 1926</w:t>
      </w:r>
    </w:p>
    <w:p>
      <w:pPr>
        <w:pStyle w:val="NameofActReg"/>
        <w:spacing w:before="600" w:after="720"/>
      </w:pPr>
      <w:r>
        <w:t>Jetties Regulations 1940</w:t>
      </w:r>
    </w:p>
    <w:p>
      <w:pPr>
        <w:pStyle w:val="Heading5"/>
        <w:rPr>
          <w:snapToGrid w:val="0"/>
        </w:rPr>
      </w:pPr>
      <w:bookmarkStart w:id="3" w:name="_Toc455151412"/>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4" w:name="_Toc455151413"/>
      <w:r>
        <w:rPr>
          <w:rStyle w:val="CharSectno"/>
        </w:rPr>
        <w:t>2</w:t>
      </w:r>
      <w:r>
        <w:t>.</w:t>
      </w:r>
      <w:r>
        <w:tab/>
        <w:t>Liability for dues and charges</w:t>
      </w:r>
      <w:bookmarkEnd w:id="4"/>
    </w:p>
    <w:p>
      <w:pPr>
        <w:pStyle w:val="Subsection"/>
      </w:pPr>
      <w:r>
        <w:tab/>
      </w:r>
      <w:r>
        <w:tab/>
        <w:t>Unless otherwise stated in a specific regulation, the owner and the master of a vessel are jointly and severally liable for the dues and charges incurred by, or in relation to, the vessel or its cargo under these regulations.</w:t>
      </w:r>
    </w:p>
    <w:p>
      <w:pPr>
        <w:pStyle w:val="Footnotesection"/>
      </w:pPr>
      <w:r>
        <w:tab/>
        <w:t>[Regulation 2 inserted in Gazette 14 Jun 2002 p. 2799; amended in Gazette 25 Jul 2014 p. 2607.]</w:t>
      </w:r>
    </w:p>
    <w:p>
      <w:pPr>
        <w:pStyle w:val="Heading5"/>
        <w:rPr>
          <w:snapToGrid w:val="0"/>
        </w:rPr>
      </w:pPr>
      <w:bookmarkStart w:id="5" w:name="_Toc455151414"/>
      <w:r>
        <w:rPr>
          <w:rStyle w:val="CharSectno"/>
        </w:rPr>
        <w:t>3</w:t>
      </w:r>
      <w:r>
        <w:rPr>
          <w:snapToGrid w:val="0"/>
        </w:rPr>
        <w:t>.</w:t>
      </w:r>
      <w:r>
        <w:rPr>
          <w:snapToGrid w:val="0"/>
        </w:rPr>
        <w:tab/>
        <w:t>Terms used</w:t>
      </w:r>
      <w:bookmarkEnd w:id="5"/>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t>
      </w:r>
      <w:smartTag w:uri="urn:schemas-microsoft-com:office:smarttags" w:element="place">
        <w:smartTag w:uri="urn:schemas-microsoft-com:office:smarttags" w:element="State">
          <w:r>
            <w:rPr>
              <w:i/>
            </w:rPr>
            <w:t>Western Australia</w:t>
          </w:r>
        </w:smartTag>
      </w:smartTag>
      <w:r>
        <w:rPr>
          <w:i/>
        </w:rPr>
        <w:t>) Code</w:t>
      </w:r>
      <w:r>
        <w:rPr>
          <w:vertAlign w:val="superscript"/>
        </w:rPr>
        <w:t> 2</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swing mooring fee</w:t>
      </w:r>
      <w:r>
        <w:t xml:space="preserve"> means an annual fee for a swing mooring under the </w:t>
      </w:r>
      <w:r>
        <w:rPr>
          <w:i/>
        </w:rPr>
        <w:t>Shipping and Pilotage (Mooring Control Areas) Regulations 1983</w:t>
      </w:r>
      <w:r>
        <w:t xml:space="preserve"> regulation 7;</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a due or charge under these regulations —</w:t>
      </w:r>
    </w:p>
    <w:p>
      <w:pPr>
        <w:pStyle w:val="Defstart"/>
      </w:pPr>
      <w:r>
        <w:tab/>
      </w:r>
      <w:r>
        <w:rPr>
          <w:rStyle w:val="CharDefText"/>
        </w:rPr>
        <w:t>day</w:t>
      </w:r>
      <w:r>
        <w:t xml:space="preserve"> means a period of 24 hours;</w:t>
      </w:r>
    </w:p>
    <w:p>
      <w:pPr>
        <w:pStyle w:val="Defstart"/>
      </w:pPr>
      <w:r>
        <w:tab/>
      </w:r>
      <w:r>
        <w:rPr>
          <w:rStyle w:val="CharDefText"/>
        </w:rPr>
        <w:t>short term</w:t>
      </w:r>
      <w:r>
        <w:t xml:space="preserve"> means up to one hour in any day;</w:t>
      </w:r>
    </w:p>
    <w:p>
      <w:pPr>
        <w:pStyle w:val="Defstart"/>
      </w:pPr>
      <w:r>
        <w:tab/>
      </w:r>
      <w:r>
        <w:rPr>
          <w:rStyle w:val="CharDefText"/>
        </w:rPr>
        <w:t>week</w:t>
      </w:r>
      <w:r>
        <w:t xml:space="preserve"> means 7 consecutive days.</w:t>
      </w:r>
    </w:p>
    <w:p>
      <w:pPr>
        <w:pStyle w:val="Subsection"/>
      </w:pPr>
      <w:r>
        <w:tab/>
        <w:t>(3)</w:t>
      </w:r>
      <w:r>
        <w:tab/>
        <w:t>For the purposes of calculating a due or charge prescribed in a Schedule —</w:t>
      </w:r>
    </w:p>
    <w:p>
      <w:pPr>
        <w:pStyle w:val="Indenta"/>
      </w:pPr>
      <w:r>
        <w:tab/>
        <w:t>(a)</w:t>
      </w:r>
      <w:r>
        <w:tab/>
        <w:t>an amount payable per day is payable for any part of a day;</w:t>
      </w:r>
    </w:p>
    <w:p>
      <w:pPr>
        <w:pStyle w:val="Indenta"/>
      </w:pPr>
      <w:r>
        <w:tab/>
        <w:t>(b)</w:t>
      </w:r>
      <w:r>
        <w:tab/>
        <w:t>the length of a vessel is its overall length rounded down to the nearest whole metre;</w:t>
      </w:r>
    </w:p>
    <w:p>
      <w:pPr>
        <w:pStyle w:val="Indenta"/>
      </w:pPr>
      <w:r>
        <w:tab/>
        <w:t>(c)</w:t>
      </w:r>
      <w:r>
        <w:tab/>
        <w:t xml:space="preserve">the chargeable length of a pen is — </w:t>
      </w:r>
    </w:p>
    <w:p>
      <w:pPr>
        <w:pStyle w:val="Indenti"/>
      </w:pPr>
      <w:r>
        <w:tab/>
        <w:t>(i)</w:t>
      </w:r>
      <w:r>
        <w:tab/>
        <w:t>unless subparagraph (ii) applies, its chargeable length as determined by the Department and set out on its website at the time the charge is calculated; or</w:t>
      </w:r>
    </w:p>
    <w:p>
      <w:pPr>
        <w:pStyle w:val="Indenti"/>
      </w:pPr>
      <w:r>
        <w:tab/>
        <w:t>(ii)</w:t>
      </w:r>
      <w:r>
        <w:tab/>
        <w:t>if a vessel allocated a pen that is longer than it needs to be due to the unavailability of a suitable</w:t>
      </w:r>
      <w:r>
        <w:noBreakHyphen/>
        <w:t>sized pen for the vessel at the place where the vessel is berthed — the chargeable length of a suitable</w:t>
      </w:r>
      <w:r>
        <w:noBreakHyphen/>
        <w:t>sized pen.</w:t>
      </w:r>
    </w:p>
    <w:p>
      <w:pPr>
        <w:pStyle w:val="Subsection"/>
        <w:keepLines/>
      </w:pPr>
      <w:r>
        <w:tab/>
        <w:t>(4)</w:t>
      </w:r>
      <w:r>
        <w:tab/>
        <w:t>Subject to subregulation (5A), a reference in a Schedule to calculating a due or charge for a particular period using an annual rate is a reference to calculating the due or charge as follows —</w:t>
      </w:r>
    </w:p>
    <w:p>
      <w:pPr>
        <w:pStyle w:val="Indenta"/>
      </w:pPr>
      <w:r>
        <w:tab/>
        <w:t>(a)</w:t>
      </w:r>
      <w:r>
        <w:tab/>
        <w:t>if the period is 12 months or more, at the annual rate;</w:t>
      </w:r>
    </w:p>
    <w:p>
      <w:pPr>
        <w:pStyle w:val="Indenta"/>
      </w:pPr>
      <w:r>
        <w:tab/>
        <w:t>(b)</w:t>
      </w:r>
      <w:r>
        <w:tab/>
        <w:t>if the period is less than 12 months but is at least 3 months, at a monthly rate that is 10% of the annual rate;</w:t>
      </w:r>
    </w:p>
    <w:p>
      <w:pPr>
        <w:pStyle w:val="Indenta"/>
      </w:pPr>
      <w:r>
        <w:tab/>
        <w:t>(c)</w:t>
      </w:r>
      <w:r>
        <w:tab/>
        <w:t>if the period is less than 3 months but is at least one month, at a monthly rate that is 15% of the annual rate;</w:t>
      </w:r>
    </w:p>
    <w:p>
      <w:pPr>
        <w:pStyle w:val="Indenta"/>
      </w:pPr>
      <w:r>
        <w:tab/>
        <w:t>(d)</w:t>
      </w:r>
      <w:r>
        <w:tab/>
        <w:t>if the period is less than one month, at a weekly rate that is 4.5% of the annual rate.</w:t>
      </w:r>
    </w:p>
    <w:p>
      <w:pPr>
        <w:pStyle w:val="Subsection"/>
      </w:pPr>
      <w:r>
        <w:tab/>
        <w:t>(5A)</w:t>
      </w:r>
      <w:r>
        <w:tab/>
        <w:t>Subregulation (4) does not apply when Rate 3 is the rate charged in a Schedule.</w:t>
      </w:r>
    </w:p>
    <w:p>
      <w:pPr>
        <w:pStyle w:val="Subsection"/>
      </w:pPr>
      <w:r>
        <w:tab/>
        <w:t>(5)</w:t>
      </w:r>
      <w:r>
        <w:tab/>
        <w:t xml:space="preserve">A reference in subregulation (4) or a Schedule to calculating a due or charge payable for a particular period at a rate per year, month, week, day or hour (a </w:t>
      </w:r>
      <w:r>
        <w:rPr>
          <w:rStyle w:val="CharDefText"/>
        </w:rPr>
        <w:t>unit</w:t>
      </w:r>
      <w:r>
        <w:t>), is a reference to the due or charge payable for each unit, or part of a unit, in the period.</w:t>
      </w:r>
    </w:p>
    <w:p>
      <w:pPr>
        <w:pStyle w:val="Footnotesection"/>
      </w:pPr>
      <w:r>
        <w:tab/>
        <w:t>[Regulation 3 amended in Gazette 17 Mar 1960 p. 777; 7 May 1993 p. 2361; 27 Jul 2001 p. 3814; 14 Jun 2002 p. 2799</w:t>
      </w:r>
      <w:r>
        <w:noBreakHyphen/>
        <w:t>800; 24 Jun 2005 p. 2815-16; 22 Jun 2007 p. 2908; 8 Feb 2008 p. 315; 13 Jul 2012 p. 3173</w:t>
      </w:r>
      <w:r>
        <w:noBreakHyphen/>
        <w:t>4; 25 Jul 2014 p. 2608</w:t>
      </w:r>
      <w:r>
        <w:noBreakHyphen/>
        <w:t>9; 22 Jul 2015 p. 2951</w:t>
      </w:r>
      <w:r>
        <w:noBreakHyphen/>
        <w:t xml:space="preserve">2; 15 Apr 2016 p. 1173.] </w:t>
      </w:r>
    </w:p>
    <w:p>
      <w:pPr>
        <w:pStyle w:val="Heading2"/>
      </w:pPr>
      <w:bookmarkStart w:id="6" w:name="_Toc440456973"/>
      <w:bookmarkStart w:id="7" w:name="_Toc443638666"/>
      <w:bookmarkStart w:id="8" w:name="_Toc447619809"/>
      <w:bookmarkStart w:id="9" w:name="_Toc448479671"/>
      <w:bookmarkStart w:id="10" w:name="_Toc455066611"/>
      <w:bookmarkStart w:id="11" w:name="_Toc455066815"/>
      <w:bookmarkStart w:id="12" w:name="_Toc455151415"/>
      <w:r>
        <w:rPr>
          <w:rStyle w:val="CharPartNo"/>
        </w:rPr>
        <w:t>Part 1</w:t>
      </w:r>
      <w:r>
        <w:t> — </w:t>
      </w:r>
      <w:r>
        <w:rPr>
          <w:rStyle w:val="CharPartText"/>
        </w:rPr>
        <w:t>Regulations applying to jetties controlled by the Department</w:t>
      </w:r>
      <w:bookmarkEnd w:id="6"/>
      <w:bookmarkEnd w:id="7"/>
      <w:bookmarkEnd w:id="8"/>
      <w:bookmarkEnd w:id="9"/>
      <w:bookmarkEnd w:id="10"/>
      <w:bookmarkEnd w:id="11"/>
      <w:bookmarkEnd w:id="12"/>
      <w:r>
        <w:rPr>
          <w:rStyle w:val="CharPartText"/>
        </w:rPr>
        <w:t xml:space="preserve"> </w:t>
      </w:r>
    </w:p>
    <w:p>
      <w:pPr>
        <w:pStyle w:val="Footnoteheading"/>
      </w:pPr>
      <w:r>
        <w:tab/>
        <w:t xml:space="preserve">[Heading inserted in Gazette 19 May 1989 p. 1494.] </w:t>
      </w:r>
    </w:p>
    <w:p>
      <w:pPr>
        <w:pStyle w:val="Heading3"/>
        <w:rPr>
          <w:snapToGrid w:val="0"/>
        </w:rPr>
      </w:pPr>
      <w:bookmarkStart w:id="13" w:name="_Toc440456974"/>
      <w:bookmarkStart w:id="14" w:name="_Toc443638667"/>
      <w:bookmarkStart w:id="15" w:name="_Toc447619810"/>
      <w:bookmarkStart w:id="16" w:name="_Toc448479672"/>
      <w:bookmarkStart w:id="17" w:name="_Toc455066612"/>
      <w:bookmarkStart w:id="18" w:name="_Toc455066816"/>
      <w:bookmarkStart w:id="19" w:name="_Toc455151416"/>
      <w:r>
        <w:rPr>
          <w:rStyle w:val="CharDivNo"/>
        </w:rPr>
        <w:t>Division 1</w:t>
      </w:r>
      <w:r>
        <w:rPr>
          <w:snapToGrid w:val="0"/>
        </w:rPr>
        <w:t> — </w:t>
      </w:r>
      <w:r>
        <w:rPr>
          <w:rStyle w:val="CharDivText"/>
        </w:rPr>
        <w:t>Application of this Part</w:t>
      </w:r>
      <w:bookmarkEnd w:id="13"/>
      <w:bookmarkEnd w:id="14"/>
      <w:bookmarkEnd w:id="15"/>
      <w:bookmarkEnd w:id="16"/>
      <w:bookmarkEnd w:id="17"/>
      <w:bookmarkEnd w:id="18"/>
      <w:bookmarkEnd w:id="19"/>
      <w:r>
        <w:rPr>
          <w:rStyle w:val="CharDivText"/>
        </w:rPr>
        <w:t xml:space="preserve"> </w:t>
      </w:r>
    </w:p>
    <w:p>
      <w:pPr>
        <w:pStyle w:val="Footnoteheading"/>
      </w:pPr>
      <w:r>
        <w:tab/>
        <w:t xml:space="preserve">[Heading inserted in Gazette 19 May 1989 p. 1494.] </w:t>
      </w:r>
    </w:p>
    <w:p>
      <w:pPr>
        <w:pStyle w:val="Heading5"/>
        <w:rPr>
          <w:snapToGrid w:val="0"/>
        </w:rPr>
      </w:pPr>
      <w:bookmarkStart w:id="20" w:name="_Toc455151417"/>
      <w:r>
        <w:rPr>
          <w:rStyle w:val="CharSectno"/>
        </w:rPr>
        <w:t>3A</w:t>
      </w:r>
      <w:r>
        <w:rPr>
          <w:snapToGrid w:val="0"/>
        </w:rPr>
        <w:t>.</w:t>
      </w:r>
      <w:r>
        <w:rPr>
          <w:snapToGrid w:val="0"/>
        </w:rPr>
        <w:tab/>
        <w:t>Application</w:t>
      </w:r>
      <w:bookmarkEnd w:id="20"/>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in Gazette 19 May 1989 p. 1494.] </w:t>
      </w:r>
    </w:p>
    <w:p>
      <w:pPr>
        <w:pStyle w:val="Heading3"/>
        <w:rPr>
          <w:snapToGrid w:val="0"/>
        </w:rPr>
      </w:pPr>
      <w:bookmarkStart w:id="21" w:name="_Toc440456976"/>
      <w:bookmarkStart w:id="22" w:name="_Toc443638669"/>
      <w:bookmarkStart w:id="23" w:name="_Toc447619812"/>
      <w:bookmarkStart w:id="24" w:name="_Toc448479674"/>
      <w:bookmarkStart w:id="25" w:name="_Toc455066614"/>
      <w:bookmarkStart w:id="26" w:name="_Toc455066818"/>
      <w:bookmarkStart w:id="27" w:name="_Toc455151418"/>
      <w:r>
        <w:rPr>
          <w:rStyle w:val="CharDivNo"/>
        </w:rPr>
        <w:t>Division 2</w:t>
      </w:r>
      <w:r>
        <w:rPr>
          <w:snapToGrid w:val="0"/>
        </w:rPr>
        <w:t> — </w:t>
      </w:r>
      <w:r>
        <w:rPr>
          <w:rStyle w:val="CharDivText"/>
        </w:rPr>
        <w:t>Arrival and movement of vessels</w:t>
      </w:r>
      <w:bookmarkEnd w:id="21"/>
      <w:bookmarkEnd w:id="22"/>
      <w:bookmarkEnd w:id="23"/>
      <w:bookmarkEnd w:id="24"/>
      <w:bookmarkEnd w:id="25"/>
      <w:bookmarkEnd w:id="26"/>
      <w:bookmarkEnd w:id="27"/>
      <w:r>
        <w:rPr>
          <w:rStyle w:val="CharDivText"/>
        </w:rPr>
        <w:t xml:space="preserve"> </w:t>
      </w:r>
    </w:p>
    <w:p>
      <w:pPr>
        <w:pStyle w:val="Footnoteheading"/>
      </w:pPr>
      <w:r>
        <w:tab/>
        <w:t xml:space="preserve">[Heading inserted in Gazette 19 May 1989 p. 1494.] </w:t>
      </w:r>
    </w:p>
    <w:p>
      <w:pPr>
        <w:pStyle w:val="Heading5"/>
        <w:rPr>
          <w:snapToGrid w:val="0"/>
        </w:rPr>
      </w:pPr>
      <w:bookmarkStart w:id="28" w:name="_Toc455151419"/>
      <w:r>
        <w:rPr>
          <w:rStyle w:val="CharSectno"/>
        </w:rPr>
        <w:t>4</w:t>
      </w:r>
      <w:r>
        <w:rPr>
          <w:snapToGrid w:val="0"/>
        </w:rPr>
        <w:t>.</w:t>
      </w:r>
      <w:r>
        <w:rPr>
          <w:snapToGrid w:val="0"/>
        </w:rPr>
        <w:tab/>
        <w:t>Master or agent to report arrival</w:t>
      </w:r>
      <w:bookmarkEnd w:id="28"/>
      <w:r>
        <w:rPr>
          <w:snapToGrid w:val="0"/>
        </w:rPr>
        <w:t xml:space="preserve"> </w:t>
      </w:r>
    </w:p>
    <w:p>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r>
        <w:t xml:space="preserve">dues and </w:t>
      </w:r>
      <w:r>
        <w:rPr>
          <w:snapToGrid w:val="0"/>
        </w:rPr>
        <w:t>charges have been paid in accordance with these regulations.</w:t>
      </w:r>
    </w:p>
    <w:p>
      <w:pPr>
        <w:pStyle w:val="Footnotesection"/>
      </w:pPr>
      <w:r>
        <w:tab/>
        <w:t xml:space="preserve">[Regulation 4 amended in Gazette 19 May 1989 p. 1494; 25 Jul 2014 p. 2610.] </w:t>
      </w:r>
    </w:p>
    <w:p>
      <w:pPr>
        <w:pStyle w:val="Heading5"/>
        <w:rPr>
          <w:snapToGrid w:val="0"/>
        </w:rPr>
      </w:pPr>
      <w:bookmarkStart w:id="29" w:name="_Toc455151420"/>
      <w:r>
        <w:rPr>
          <w:rStyle w:val="CharSectno"/>
        </w:rPr>
        <w:t>5</w:t>
      </w:r>
      <w:r>
        <w:rPr>
          <w:snapToGrid w:val="0"/>
        </w:rPr>
        <w:t>.</w:t>
      </w:r>
      <w:r>
        <w:rPr>
          <w:snapToGrid w:val="0"/>
        </w:rPr>
        <w:tab/>
        <w:t>Vessels to change berths</w:t>
      </w:r>
      <w:bookmarkEnd w:id="29"/>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keepLines/>
        <w:rPr>
          <w:snapToGrid w:val="0"/>
        </w:rPr>
      </w:pPr>
      <w:bookmarkStart w:id="30" w:name="_Toc440456979"/>
      <w:bookmarkStart w:id="31" w:name="_Toc443638672"/>
      <w:bookmarkStart w:id="32" w:name="_Toc447619815"/>
      <w:bookmarkStart w:id="33" w:name="_Toc448479677"/>
      <w:bookmarkStart w:id="34" w:name="_Toc455066617"/>
      <w:bookmarkStart w:id="35" w:name="_Toc455066821"/>
      <w:bookmarkStart w:id="36" w:name="_Toc455151421"/>
      <w:r>
        <w:rPr>
          <w:rStyle w:val="CharDivNo"/>
        </w:rPr>
        <w:t>Division 3</w:t>
      </w:r>
      <w:r>
        <w:rPr>
          <w:snapToGrid w:val="0"/>
        </w:rPr>
        <w:t> — </w:t>
      </w:r>
      <w:r>
        <w:rPr>
          <w:rStyle w:val="CharDivText"/>
        </w:rPr>
        <w:t>Berthing dues</w:t>
      </w:r>
      <w:bookmarkEnd w:id="30"/>
      <w:bookmarkEnd w:id="31"/>
      <w:bookmarkEnd w:id="32"/>
      <w:bookmarkEnd w:id="33"/>
      <w:bookmarkEnd w:id="34"/>
      <w:bookmarkEnd w:id="35"/>
      <w:bookmarkEnd w:id="36"/>
      <w:r>
        <w:rPr>
          <w:rStyle w:val="CharDivText"/>
        </w:rPr>
        <w:t xml:space="preserve"> </w:t>
      </w:r>
    </w:p>
    <w:p>
      <w:pPr>
        <w:pStyle w:val="Footnoteheading"/>
        <w:keepNext/>
        <w:keepLines/>
      </w:pPr>
      <w:r>
        <w:tab/>
        <w:t xml:space="preserve">[Heading inserted in Gazette 19 May 1989 p. 1494.] </w:t>
      </w:r>
    </w:p>
    <w:p>
      <w:pPr>
        <w:pStyle w:val="Heading5"/>
      </w:pPr>
      <w:bookmarkStart w:id="37" w:name="_Toc455151422"/>
      <w:r>
        <w:rPr>
          <w:rStyle w:val="CharSectno"/>
        </w:rPr>
        <w:t>6</w:t>
      </w:r>
      <w:r>
        <w:t>.</w:t>
      </w:r>
      <w:r>
        <w:tab/>
        <w:t>Berthing dues</w:t>
      </w:r>
      <w:bookmarkEnd w:id="37"/>
    </w:p>
    <w:p>
      <w:pPr>
        <w:pStyle w:val="Subsection"/>
      </w:pPr>
      <w:r>
        <w:tab/>
        <w:t>(1)</w:t>
      </w:r>
      <w:r>
        <w:tab/>
        <w:t xml:space="preserve">In this regulation — </w:t>
      </w:r>
    </w:p>
    <w:p>
      <w:pPr>
        <w:pStyle w:val="Defstart"/>
      </w:pPr>
      <w:r>
        <w:tab/>
      </w:r>
      <w:r>
        <w:rPr>
          <w:rStyle w:val="CharDefText"/>
        </w:rPr>
        <w:t>berthing due</w:t>
      </w:r>
      <w:r>
        <w:t xml:space="preserve"> means a berthing due prescribed in a Schedule;</w:t>
      </w:r>
    </w:p>
    <w:p>
      <w:pPr>
        <w:pStyle w:val="Defstart"/>
      </w:pPr>
      <w:r>
        <w:tab/>
      </w:r>
      <w:r>
        <w:rPr>
          <w:rStyle w:val="CharDefText"/>
        </w:rPr>
        <w:t>catamaran pen</w:t>
      </w:r>
      <w:r>
        <w:t xml:space="preserve"> means a pen designed for a catamaran.</w:t>
      </w:r>
    </w:p>
    <w:p>
      <w:pPr>
        <w:pStyle w:val="Subsection"/>
      </w:pPr>
      <w:r>
        <w:tab/>
        <w:t>(2)</w:t>
      </w:r>
      <w:r>
        <w:tab/>
        <w:t>A berthing due prescribed in a Schedule is payable in respect of a vessel using a pen (except a catamaran pen), alongside berth or other jetty at a place specified in that Schedule.</w:t>
      </w:r>
    </w:p>
    <w:p>
      <w:pPr>
        <w:pStyle w:val="Subsection"/>
      </w:pPr>
      <w:r>
        <w:tab/>
        <w:t>(3)</w:t>
      </w:r>
      <w:r>
        <w:tab/>
        <w:t xml:space="preserve">The berthing due payable in respect of a catamaran pen at a place is calculated in accordance with the following formula — </w:t>
      </w:r>
    </w:p>
    <w:p>
      <w:pPr>
        <w:pStyle w:val="Subsection"/>
      </w:pPr>
      <w:r>
        <w:tab/>
      </w:r>
      <w:r>
        <w:tab/>
        <w:t>P × 1.5</w:t>
      </w:r>
    </w:p>
    <w:p>
      <w:pPr>
        <w:pStyle w:val="Subsection"/>
      </w:pPr>
      <w:r>
        <w:tab/>
      </w:r>
      <w:r>
        <w:tab/>
        <w:t xml:space="preserve">where — </w:t>
      </w:r>
    </w:p>
    <w:p>
      <w:pPr>
        <w:pStyle w:val="Subsection"/>
        <w:ind w:left="1440" w:hanging="1440"/>
      </w:pPr>
      <w:r>
        <w:tab/>
      </w:r>
      <w:r>
        <w:tab/>
        <w:t>P</w:t>
      </w:r>
      <w:r>
        <w:tab/>
        <w:t>is the berthing due for a pen (except a catamaran pen) at that place.</w:t>
      </w:r>
    </w:p>
    <w:p>
      <w:pPr>
        <w:pStyle w:val="Subsection"/>
      </w:pPr>
      <w:r>
        <w:tab/>
        <w:t>(4)</w:t>
      </w:r>
      <w:r>
        <w:tab/>
        <w:t>In respect of a vessel lying alongside a jetty for the purposes of transhipping cargo to or from a lighter or other vessel, a berthing due is payable as if the cargo had been landed on or taken off the jetty in place of being taken from or placed in the lighter or other vessel.</w:t>
      </w:r>
    </w:p>
    <w:p>
      <w:pPr>
        <w:pStyle w:val="Footnotesection"/>
      </w:pPr>
      <w:r>
        <w:tab/>
        <w:t>[Regulation 6 inserted in Gazette 25 Jul 2014 p. 2610-11; amended in Gazette 22 Jul 2015 p. 2952.]</w:t>
      </w:r>
    </w:p>
    <w:p>
      <w:pPr>
        <w:pStyle w:val="Heading5"/>
        <w:spacing w:before="240"/>
      </w:pPr>
      <w:bookmarkStart w:id="38" w:name="_Toc455151423"/>
      <w:r>
        <w:rPr>
          <w:rStyle w:val="CharSectno"/>
        </w:rPr>
        <w:t>6A</w:t>
      </w:r>
      <w:r>
        <w:t>.</w:t>
      </w:r>
      <w:r>
        <w:tab/>
        <w:t>Requirement to pay berthing dues</w:t>
      </w:r>
      <w:bookmarkEnd w:id="38"/>
    </w:p>
    <w:p>
      <w:pPr>
        <w:pStyle w:val="Subsection"/>
      </w:pPr>
      <w:r>
        <w:tab/>
        <w:t>(1)</w:t>
      </w:r>
      <w:r>
        <w:tab/>
        <w:t>If an alongside berth at a service jetty is used by a vessel and the berthing dues, as provided for in a Schedule,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alongside berth at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in Gazette 7 Dec 2007 p. 5984; amended in Gazette 25 Jul 2014 p. 2611; 22 Jul 2015 p. 2952.]</w:t>
      </w:r>
    </w:p>
    <w:p>
      <w:pPr>
        <w:pStyle w:val="Heading5"/>
        <w:rPr>
          <w:snapToGrid w:val="0"/>
        </w:rPr>
      </w:pPr>
      <w:bookmarkStart w:id="39" w:name="_Toc455151424"/>
      <w:r>
        <w:rPr>
          <w:rStyle w:val="CharSectno"/>
        </w:rPr>
        <w:t>7</w:t>
      </w:r>
      <w:r>
        <w:rPr>
          <w:snapToGrid w:val="0"/>
        </w:rPr>
        <w:t>.</w:t>
      </w:r>
      <w:r>
        <w:rPr>
          <w:snapToGrid w:val="0"/>
        </w:rPr>
        <w:tab/>
        <w:t>Computation of berthing dues</w:t>
      </w:r>
      <w:bookmarkEnd w:id="39"/>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 xml:space="preserve">[Regulation 7 inserted in Gazette 15 Jun 1973 p. 2237; amended in Gazette 19 May 1989 p. 1494.] </w:t>
      </w:r>
    </w:p>
    <w:p>
      <w:pPr>
        <w:pStyle w:val="Heading5"/>
        <w:spacing w:before="240"/>
        <w:rPr>
          <w:snapToGrid w:val="0"/>
        </w:rPr>
      </w:pPr>
      <w:bookmarkStart w:id="40" w:name="_Toc455151425"/>
      <w:r>
        <w:rPr>
          <w:rStyle w:val="CharSectno"/>
        </w:rPr>
        <w:t>8</w:t>
      </w:r>
      <w:r>
        <w:rPr>
          <w:snapToGrid w:val="0"/>
        </w:rPr>
        <w:t>.</w:t>
      </w:r>
      <w:r>
        <w:rPr>
          <w:snapToGrid w:val="0"/>
        </w:rPr>
        <w:tab/>
        <w:t>Inwards manifests</w:t>
      </w:r>
      <w:bookmarkEnd w:id="40"/>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spacing w:before="240"/>
        <w:rPr>
          <w:snapToGrid w:val="0"/>
        </w:rPr>
      </w:pPr>
      <w:bookmarkStart w:id="41" w:name="_Toc455151426"/>
      <w:r>
        <w:rPr>
          <w:rStyle w:val="CharSectno"/>
        </w:rPr>
        <w:t>9</w:t>
      </w:r>
      <w:r>
        <w:rPr>
          <w:snapToGrid w:val="0"/>
        </w:rPr>
        <w:t>.</w:t>
      </w:r>
      <w:r>
        <w:rPr>
          <w:snapToGrid w:val="0"/>
        </w:rPr>
        <w:tab/>
        <w:t>Outwards manifests</w:t>
      </w:r>
      <w:bookmarkEnd w:id="41"/>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keepLines/>
        <w:rPr>
          <w:snapToGrid w:val="0"/>
        </w:rPr>
      </w:pPr>
      <w:bookmarkStart w:id="42" w:name="_Toc440456985"/>
      <w:bookmarkStart w:id="43" w:name="_Toc443638678"/>
      <w:bookmarkStart w:id="44" w:name="_Toc447619821"/>
      <w:bookmarkStart w:id="45" w:name="_Toc448479683"/>
      <w:bookmarkStart w:id="46" w:name="_Toc455066623"/>
      <w:bookmarkStart w:id="47" w:name="_Toc455066827"/>
      <w:bookmarkStart w:id="48" w:name="_Toc455151427"/>
      <w:r>
        <w:rPr>
          <w:rStyle w:val="CharDivNo"/>
        </w:rPr>
        <w:t>Division 4</w:t>
      </w:r>
      <w:r>
        <w:rPr>
          <w:snapToGrid w:val="0"/>
        </w:rPr>
        <w:t> — </w:t>
      </w:r>
      <w:r>
        <w:rPr>
          <w:rStyle w:val="CharDivText"/>
        </w:rPr>
        <w:t>Wharfage dues, handling and haulage charges</w:t>
      </w:r>
      <w:bookmarkEnd w:id="42"/>
      <w:bookmarkEnd w:id="43"/>
      <w:bookmarkEnd w:id="44"/>
      <w:bookmarkEnd w:id="45"/>
      <w:bookmarkEnd w:id="46"/>
      <w:bookmarkEnd w:id="47"/>
      <w:bookmarkEnd w:id="48"/>
      <w:r>
        <w:rPr>
          <w:rStyle w:val="CharDivText"/>
        </w:rPr>
        <w:t xml:space="preserve"> </w:t>
      </w:r>
    </w:p>
    <w:p>
      <w:pPr>
        <w:pStyle w:val="Footnoteheading"/>
        <w:keepNext/>
        <w:keepLines/>
        <w:rPr>
          <w:snapToGrid w:val="0"/>
        </w:rPr>
      </w:pPr>
      <w:r>
        <w:rPr>
          <w:snapToGrid w:val="0"/>
        </w:rPr>
        <w:tab/>
        <w:t xml:space="preserve">[Heading inserted in Gazette 19 May 1989 p. 1494.] </w:t>
      </w:r>
    </w:p>
    <w:p>
      <w:pPr>
        <w:pStyle w:val="Ednotesection"/>
      </w:pPr>
      <w:r>
        <w:t>[</w:t>
      </w:r>
      <w:r>
        <w:rPr>
          <w:b/>
        </w:rPr>
        <w:t>10.</w:t>
      </w:r>
      <w:r>
        <w:tab/>
        <w:t>Disallowed (see Gazette 6 Sep 1940 p. 1622).]</w:t>
      </w:r>
    </w:p>
    <w:p>
      <w:pPr>
        <w:pStyle w:val="Heading5"/>
        <w:spacing w:before="180"/>
        <w:rPr>
          <w:snapToGrid w:val="0"/>
        </w:rPr>
      </w:pPr>
      <w:bookmarkStart w:id="49" w:name="_Toc455151428"/>
      <w:r>
        <w:rPr>
          <w:rStyle w:val="CharSectno"/>
        </w:rPr>
        <w:t>10A</w:t>
      </w:r>
      <w:r>
        <w:rPr>
          <w:snapToGrid w:val="0"/>
        </w:rPr>
        <w:t>.</w:t>
      </w:r>
      <w:r>
        <w:rPr>
          <w:snapToGrid w:val="0"/>
        </w:rPr>
        <w:tab/>
        <w:t>Payment of dues and charges</w:t>
      </w:r>
      <w:bookmarkEnd w:id="49"/>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a Schedule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22 Jul 2015 p. 2953.] </w:t>
      </w:r>
    </w:p>
    <w:p>
      <w:pPr>
        <w:pStyle w:val="Ednotesection"/>
        <w:spacing w:before="180"/>
      </w:pPr>
      <w:r>
        <w:t>[</w:t>
      </w:r>
      <w:r>
        <w:rPr>
          <w:b/>
        </w:rPr>
        <w:t>10B.</w:t>
      </w:r>
      <w:r>
        <w:tab/>
        <w:t xml:space="preserve">Deleted in Gazette 30 Jun 1995 p. 2699.] </w:t>
      </w:r>
    </w:p>
    <w:p>
      <w:pPr>
        <w:pStyle w:val="Ednotesection"/>
        <w:spacing w:before="180"/>
      </w:pPr>
      <w:r>
        <w:t>[</w:t>
      </w:r>
      <w:r>
        <w:rPr>
          <w:b/>
        </w:rPr>
        <w:t>10C.</w:t>
      </w:r>
      <w:r>
        <w:tab/>
        <w:t xml:space="preserve">Deleted in Gazette 24 Nov 1972 p. 4487.] </w:t>
      </w:r>
    </w:p>
    <w:p>
      <w:pPr>
        <w:pStyle w:val="Heading5"/>
        <w:spacing w:before="180"/>
        <w:rPr>
          <w:snapToGrid w:val="0"/>
        </w:rPr>
      </w:pPr>
      <w:bookmarkStart w:id="50" w:name="_Toc455151429"/>
      <w:r>
        <w:rPr>
          <w:rStyle w:val="CharSectno"/>
        </w:rPr>
        <w:t>11</w:t>
      </w:r>
      <w:r>
        <w:rPr>
          <w:snapToGrid w:val="0"/>
        </w:rPr>
        <w:t>.</w:t>
      </w:r>
      <w:r>
        <w:rPr>
          <w:snapToGrid w:val="0"/>
        </w:rPr>
        <w:tab/>
        <w:t>Charges for transhipment cargo</w:t>
      </w:r>
      <w:bookmarkEnd w:id="50"/>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a Schedule;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in Gazette 12 Jul 1957 p. 2270; 24 Nov 1972 p. 4487; 15 Jun 1973 p. 2237; 19 May 1989 p. 1495; 29 Jun 1993 p. 3191; 14 Jun 1994 p. 2476; 30 Jun 1995 p. 2699; 24 Jun 2005 p. 2816; 22 Jul 2015 p. 2953.] </w:t>
      </w:r>
    </w:p>
    <w:p>
      <w:pPr>
        <w:pStyle w:val="Ednotesection"/>
      </w:pPr>
      <w:r>
        <w:t>[</w:t>
      </w:r>
      <w:r>
        <w:rPr>
          <w:b/>
        </w:rPr>
        <w:t>11A.</w:t>
      </w:r>
      <w:r>
        <w:rPr>
          <w:b/>
        </w:rPr>
        <w:tab/>
      </w:r>
      <w:r>
        <w:t xml:space="preserve">Deleted in Gazette 24 Nov 1972 p. 4487.] </w:t>
      </w:r>
    </w:p>
    <w:p>
      <w:pPr>
        <w:pStyle w:val="Heading5"/>
        <w:rPr>
          <w:snapToGrid w:val="0"/>
        </w:rPr>
      </w:pPr>
      <w:bookmarkStart w:id="51" w:name="_Toc455151430"/>
      <w:r>
        <w:rPr>
          <w:rStyle w:val="CharSectno"/>
        </w:rPr>
        <w:t>11B</w:t>
      </w:r>
      <w:r>
        <w:rPr>
          <w:snapToGrid w:val="0"/>
        </w:rPr>
        <w:t>.</w:t>
      </w:r>
      <w:r>
        <w:rPr>
          <w:snapToGrid w:val="0"/>
        </w:rPr>
        <w:tab/>
        <w:t>Charges on vessels’ stores, including fuel oil</w:t>
      </w:r>
      <w:bookmarkEnd w:id="51"/>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52" w:name="_Toc455151431"/>
      <w:r>
        <w:rPr>
          <w:rStyle w:val="CharSectno"/>
        </w:rPr>
        <w:t>12</w:t>
      </w:r>
      <w:r>
        <w:rPr>
          <w:snapToGrid w:val="0"/>
        </w:rPr>
        <w:t>.</w:t>
      </w:r>
      <w:r>
        <w:rPr>
          <w:snapToGrid w:val="0"/>
        </w:rPr>
        <w:tab/>
        <w:t>Charges to be paid before delivery of cargo</w:t>
      </w:r>
      <w:bookmarkEnd w:id="52"/>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53" w:name="_Toc455151432"/>
      <w:r>
        <w:rPr>
          <w:rStyle w:val="CharSectno"/>
        </w:rPr>
        <w:t>13</w:t>
      </w:r>
      <w:r>
        <w:rPr>
          <w:snapToGrid w:val="0"/>
        </w:rPr>
        <w:t>.</w:t>
      </w:r>
      <w:r>
        <w:rPr>
          <w:snapToGrid w:val="0"/>
        </w:rPr>
        <w:tab/>
        <w:t>Extra charges</w:t>
      </w:r>
      <w:bookmarkEnd w:id="53"/>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Deleted in Gazette 30 Jun 1995 p. 2699.] </w:t>
      </w:r>
    </w:p>
    <w:p>
      <w:pPr>
        <w:pStyle w:val="Heading3"/>
        <w:rPr>
          <w:snapToGrid w:val="0"/>
        </w:rPr>
      </w:pPr>
      <w:bookmarkStart w:id="54" w:name="_Toc440456991"/>
      <w:bookmarkStart w:id="55" w:name="_Toc443638684"/>
      <w:bookmarkStart w:id="56" w:name="_Toc447619827"/>
      <w:bookmarkStart w:id="57" w:name="_Toc448479689"/>
      <w:bookmarkStart w:id="58" w:name="_Toc455066629"/>
      <w:bookmarkStart w:id="59" w:name="_Toc455066833"/>
      <w:bookmarkStart w:id="60" w:name="_Toc455151433"/>
      <w:r>
        <w:rPr>
          <w:rStyle w:val="CharDivNo"/>
        </w:rPr>
        <w:t>Division 5</w:t>
      </w:r>
      <w:r>
        <w:rPr>
          <w:snapToGrid w:val="0"/>
        </w:rPr>
        <w:t> — </w:t>
      </w:r>
      <w:r>
        <w:rPr>
          <w:rStyle w:val="CharDivText"/>
        </w:rPr>
        <w:t>Handling of cargo</w:t>
      </w:r>
      <w:bookmarkEnd w:id="54"/>
      <w:bookmarkEnd w:id="55"/>
      <w:bookmarkEnd w:id="56"/>
      <w:bookmarkEnd w:id="57"/>
      <w:bookmarkEnd w:id="58"/>
      <w:bookmarkEnd w:id="59"/>
      <w:bookmarkEnd w:id="60"/>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61" w:name="_Toc455151434"/>
      <w:r>
        <w:rPr>
          <w:rStyle w:val="CharSectno"/>
        </w:rPr>
        <w:t>14</w:t>
      </w:r>
      <w:r>
        <w:rPr>
          <w:snapToGrid w:val="0"/>
        </w:rPr>
        <w:t>.</w:t>
      </w:r>
      <w:r>
        <w:rPr>
          <w:snapToGrid w:val="0"/>
        </w:rPr>
        <w:tab/>
        <w:t>Cargo not to be placed on jetties or premises without authority</w:t>
      </w:r>
      <w:bookmarkEnd w:id="61"/>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pPr>
      <w:r>
        <w:tab/>
        <w:t xml:space="preserve">[Regulation 14 amended in Gazette 3 Nov 1950 p. 2461; 19 May 1989 p. 1495.] </w:t>
      </w:r>
    </w:p>
    <w:p>
      <w:pPr>
        <w:pStyle w:val="Heading5"/>
        <w:spacing w:before="180"/>
        <w:rPr>
          <w:snapToGrid w:val="0"/>
        </w:rPr>
      </w:pPr>
      <w:bookmarkStart w:id="62" w:name="_Toc455151435"/>
      <w:r>
        <w:rPr>
          <w:rStyle w:val="CharSectno"/>
        </w:rPr>
        <w:t>15</w:t>
      </w:r>
      <w:r>
        <w:rPr>
          <w:snapToGrid w:val="0"/>
        </w:rPr>
        <w:t>.</w:t>
      </w:r>
      <w:r>
        <w:rPr>
          <w:snapToGrid w:val="0"/>
        </w:rPr>
        <w:tab/>
        <w:t>Discharging of cargo may be stopped</w:t>
      </w:r>
      <w:bookmarkEnd w:id="62"/>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pPr>
      <w:r>
        <w:tab/>
        <w:t xml:space="preserve">[Regulation 15 amended in Gazette 19 May 1989 p. 1495.] </w:t>
      </w:r>
    </w:p>
    <w:p>
      <w:pPr>
        <w:pStyle w:val="Heading5"/>
        <w:keepNext w:val="0"/>
        <w:keepLines w:val="0"/>
        <w:spacing w:before="180"/>
        <w:rPr>
          <w:snapToGrid w:val="0"/>
        </w:rPr>
      </w:pPr>
      <w:bookmarkStart w:id="63" w:name="_Toc455151436"/>
      <w:r>
        <w:rPr>
          <w:rStyle w:val="CharSectno"/>
        </w:rPr>
        <w:t>16</w:t>
      </w:r>
      <w:r>
        <w:rPr>
          <w:snapToGrid w:val="0"/>
        </w:rPr>
        <w:t>.</w:t>
      </w:r>
      <w:r>
        <w:rPr>
          <w:snapToGrid w:val="0"/>
        </w:rPr>
        <w:tab/>
        <w:t>Goods not to be shifted without authority</w:t>
      </w:r>
      <w:bookmarkEnd w:id="63"/>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pPr>
      <w:r>
        <w:tab/>
        <w:t xml:space="preserve">[Regulation 16 amended in Gazette 19 May 1989 p. 1495.] </w:t>
      </w:r>
    </w:p>
    <w:p>
      <w:pPr>
        <w:pStyle w:val="Heading5"/>
        <w:keepLines w:val="0"/>
        <w:spacing w:before="180"/>
        <w:rPr>
          <w:snapToGrid w:val="0"/>
        </w:rPr>
      </w:pPr>
      <w:bookmarkStart w:id="64" w:name="_Toc455151437"/>
      <w:r>
        <w:rPr>
          <w:rStyle w:val="CharSectno"/>
        </w:rPr>
        <w:t>17</w:t>
      </w:r>
      <w:r>
        <w:rPr>
          <w:snapToGrid w:val="0"/>
        </w:rPr>
        <w:t>.</w:t>
      </w:r>
      <w:r>
        <w:rPr>
          <w:snapToGrid w:val="0"/>
        </w:rPr>
        <w:tab/>
        <w:t>Bulk cargo not to be deposited without authority</w:t>
      </w:r>
      <w:bookmarkEnd w:id="64"/>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pPr>
      <w:r>
        <w:tab/>
        <w:t xml:space="preserve">[Regulation 17 amended in Gazette 19 May 1989 p. 1495.] </w:t>
      </w:r>
    </w:p>
    <w:p>
      <w:pPr>
        <w:pStyle w:val="Heading5"/>
        <w:spacing w:before="180"/>
        <w:rPr>
          <w:snapToGrid w:val="0"/>
        </w:rPr>
      </w:pPr>
      <w:bookmarkStart w:id="65" w:name="_Toc455151438"/>
      <w:r>
        <w:rPr>
          <w:rStyle w:val="CharSectno"/>
        </w:rPr>
        <w:t>18</w:t>
      </w:r>
      <w:r>
        <w:rPr>
          <w:snapToGrid w:val="0"/>
        </w:rPr>
        <w:t>.</w:t>
      </w:r>
      <w:r>
        <w:rPr>
          <w:snapToGrid w:val="0"/>
        </w:rPr>
        <w:tab/>
        <w:t>Outward cargo advice notes</w:t>
      </w:r>
      <w:bookmarkEnd w:id="65"/>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spacing w:before="180"/>
        <w:rPr>
          <w:snapToGrid w:val="0"/>
        </w:rPr>
      </w:pPr>
      <w:bookmarkStart w:id="66" w:name="_Toc455151439"/>
      <w:r>
        <w:rPr>
          <w:rStyle w:val="CharSectno"/>
        </w:rPr>
        <w:t>19</w:t>
      </w:r>
      <w:r>
        <w:rPr>
          <w:snapToGrid w:val="0"/>
        </w:rPr>
        <w:t>.</w:t>
      </w:r>
      <w:r>
        <w:rPr>
          <w:snapToGrid w:val="0"/>
        </w:rPr>
        <w:tab/>
        <w:t>Outward cargo</w:t>
      </w:r>
      <w:bookmarkEnd w:id="66"/>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spacing w:before="180"/>
        <w:rPr>
          <w:snapToGrid w:val="0"/>
        </w:rPr>
      </w:pPr>
      <w:bookmarkStart w:id="67" w:name="_Toc455151440"/>
      <w:r>
        <w:rPr>
          <w:rStyle w:val="CharSectno"/>
        </w:rPr>
        <w:t>20</w:t>
      </w:r>
      <w:r>
        <w:rPr>
          <w:snapToGrid w:val="0"/>
        </w:rPr>
        <w:t>.</w:t>
      </w:r>
      <w:r>
        <w:rPr>
          <w:snapToGrid w:val="0"/>
        </w:rPr>
        <w:tab/>
        <w:t>Dangerous cargo not to be shipped without permission</w:t>
      </w:r>
      <w:bookmarkEnd w:id="67"/>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spacing w:before="180"/>
        <w:rPr>
          <w:snapToGrid w:val="0"/>
        </w:rPr>
      </w:pPr>
      <w:bookmarkStart w:id="68" w:name="_Toc455151441"/>
      <w:r>
        <w:rPr>
          <w:rStyle w:val="CharSectno"/>
        </w:rPr>
        <w:t>21</w:t>
      </w:r>
      <w:r>
        <w:rPr>
          <w:snapToGrid w:val="0"/>
        </w:rPr>
        <w:t>.</w:t>
      </w:r>
      <w:r>
        <w:rPr>
          <w:snapToGrid w:val="0"/>
        </w:rPr>
        <w:tab/>
        <w:t>Dangerous cargo may be refused or examined</w:t>
      </w:r>
      <w:bookmarkEnd w:id="68"/>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pPr>
      <w:r>
        <w:tab/>
        <w:t xml:space="preserve">[Regulation 21 amended in Gazette 19 May 1989 p. 1495.] </w:t>
      </w:r>
    </w:p>
    <w:p>
      <w:pPr>
        <w:pStyle w:val="Heading5"/>
        <w:spacing w:before="180"/>
        <w:rPr>
          <w:snapToGrid w:val="0"/>
        </w:rPr>
      </w:pPr>
      <w:bookmarkStart w:id="69" w:name="_Toc455151442"/>
      <w:r>
        <w:rPr>
          <w:rStyle w:val="CharSectno"/>
        </w:rPr>
        <w:t>22</w:t>
      </w:r>
      <w:r>
        <w:rPr>
          <w:snapToGrid w:val="0"/>
        </w:rPr>
        <w:t>.</w:t>
      </w:r>
      <w:r>
        <w:rPr>
          <w:snapToGrid w:val="0"/>
        </w:rPr>
        <w:tab/>
        <w:t>Marking of heavy packages</w:t>
      </w:r>
      <w:bookmarkEnd w:id="69"/>
      <w:r>
        <w:rPr>
          <w:snapToGrid w:val="0"/>
        </w:rPr>
        <w:t xml:space="preserve"> </w:t>
      </w:r>
    </w:p>
    <w:p>
      <w:pPr>
        <w:pStyle w:val="Subsection"/>
        <w:spacing w:before="120"/>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(c)</w:t>
      </w:r>
      <w:r>
        <w:rPr>
          <w:snapToGrid w:val="0"/>
        </w:rPr>
        <w:tab/>
        <w:t>Provided that — </w:t>
      </w:r>
    </w:p>
    <w:p>
      <w:pPr>
        <w:pStyle w:val="Indenta"/>
        <w:spacing w:before="60"/>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spacing w:before="60"/>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spacing w:before="80"/>
        <w:ind w:left="890" w:hanging="890"/>
      </w:pPr>
      <w:r>
        <w:tab/>
        <w:t xml:space="preserve">[Regulation 22 amended in Gazette 15 Jun 1973 p. 2237; 19 May 1989 p. 1495.] </w:t>
      </w:r>
    </w:p>
    <w:p>
      <w:pPr>
        <w:pStyle w:val="Heading5"/>
        <w:rPr>
          <w:snapToGrid w:val="0"/>
        </w:rPr>
      </w:pPr>
      <w:bookmarkStart w:id="70" w:name="_Toc455151443"/>
      <w:r>
        <w:rPr>
          <w:rStyle w:val="CharSectno"/>
        </w:rPr>
        <w:t>23</w:t>
      </w:r>
      <w:r>
        <w:rPr>
          <w:snapToGrid w:val="0"/>
        </w:rPr>
        <w:t>.</w:t>
      </w:r>
      <w:r>
        <w:rPr>
          <w:snapToGrid w:val="0"/>
        </w:rPr>
        <w:tab/>
        <w:t>False statements</w:t>
      </w:r>
      <w:bookmarkEnd w:id="70"/>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rPr>
          <w:snapToGrid w:val="0"/>
        </w:rPr>
      </w:pPr>
      <w:bookmarkStart w:id="71" w:name="_Toc440457002"/>
      <w:bookmarkStart w:id="72" w:name="_Toc443638695"/>
      <w:bookmarkStart w:id="73" w:name="_Toc447619838"/>
      <w:bookmarkStart w:id="74" w:name="_Toc448479700"/>
      <w:bookmarkStart w:id="75" w:name="_Toc455066640"/>
      <w:bookmarkStart w:id="76" w:name="_Toc455066844"/>
      <w:bookmarkStart w:id="77" w:name="_Toc455151444"/>
      <w:r>
        <w:rPr>
          <w:rStyle w:val="CharDivNo"/>
        </w:rPr>
        <w:t>Division 6</w:t>
      </w:r>
      <w:r>
        <w:rPr>
          <w:snapToGrid w:val="0"/>
        </w:rPr>
        <w:t> — </w:t>
      </w:r>
      <w:r>
        <w:rPr>
          <w:rStyle w:val="CharDivText"/>
        </w:rPr>
        <w:t>Receipt, delivery and storage of cargo</w:t>
      </w:r>
      <w:bookmarkEnd w:id="71"/>
      <w:bookmarkEnd w:id="72"/>
      <w:bookmarkEnd w:id="73"/>
      <w:bookmarkEnd w:id="74"/>
      <w:bookmarkEnd w:id="75"/>
      <w:bookmarkEnd w:id="76"/>
      <w:bookmarkEnd w:id="77"/>
      <w:r>
        <w:rPr>
          <w:rStyle w:val="CharDivText"/>
        </w:rPr>
        <w:t xml:space="preserve"> </w:t>
      </w:r>
    </w:p>
    <w:p>
      <w:pPr>
        <w:pStyle w:val="Footnoteheading"/>
      </w:pPr>
      <w:r>
        <w:tab/>
        <w:t xml:space="preserve">[Heading inserted in Gazette 19 May 1989 p. 1494.] </w:t>
      </w:r>
    </w:p>
    <w:p>
      <w:pPr>
        <w:pStyle w:val="Heading5"/>
        <w:spacing w:before="160"/>
        <w:rPr>
          <w:snapToGrid w:val="0"/>
        </w:rPr>
      </w:pPr>
      <w:bookmarkStart w:id="78" w:name="_Toc455151445"/>
      <w:r>
        <w:rPr>
          <w:rStyle w:val="CharSectno"/>
        </w:rPr>
        <w:t>24</w:t>
      </w:r>
      <w:r>
        <w:rPr>
          <w:snapToGrid w:val="0"/>
        </w:rPr>
        <w:t>.</w:t>
      </w:r>
      <w:r>
        <w:rPr>
          <w:snapToGrid w:val="0"/>
        </w:rPr>
        <w:tab/>
        <w:t>Removal of cargo</w:t>
      </w:r>
      <w:bookmarkEnd w:id="78"/>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 xml:space="preserve">Cargo consigned through the ports of </w:t>
      </w:r>
      <w:smartTag w:uri="urn:schemas-microsoft-com:office:smarttags" w:element="place">
        <w:smartTag w:uri="urn:schemas-microsoft-com:office:smarttags" w:element="City">
          <w:r>
            <w:rPr>
              <w:snapToGrid w:val="0"/>
            </w:rPr>
            <w:t>Derby</w:t>
          </w:r>
        </w:smartTag>
      </w:smartTag>
      <w:r>
        <w:rPr>
          <w:snapToGrid w:val="0"/>
        </w:rPr>
        <w:t xml:space="preserve">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spacing w:before="180"/>
        <w:rPr>
          <w:snapToGrid w:val="0"/>
        </w:rPr>
      </w:pPr>
      <w:bookmarkStart w:id="79" w:name="_Toc455151446"/>
      <w:r>
        <w:rPr>
          <w:rStyle w:val="CharSectno"/>
        </w:rPr>
        <w:t>25</w:t>
      </w:r>
      <w:r>
        <w:rPr>
          <w:snapToGrid w:val="0"/>
        </w:rPr>
        <w:t>.</w:t>
      </w:r>
      <w:r>
        <w:rPr>
          <w:snapToGrid w:val="0"/>
        </w:rPr>
        <w:tab/>
        <w:t>Storage charges</w:t>
      </w:r>
      <w:bookmarkEnd w:id="79"/>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a Schedule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a Schedule — </w:t>
      </w:r>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[Regulation 25 inserted in Gazette 19 Oct 1973 p. 3818; amended in Gazette 9 Nov 1973 p. 4192; 5 Aug 1983 p. 2834; 8 Aug 1986 p. 2828; 19 May 1989 p. 1495; 30 Jun 1989 p. 917; 1 Aug 1990 p. 3633; 29 Jun 1993 p. 3192; 14 Jun 1994 p. 2476; 30 Jun 1995 p. 2699; 27 Jun 1997 p. 3152; 24 Jun 2005 p. 2817; 22 Jul 2015 p. 2953.]</w:t>
      </w:r>
    </w:p>
    <w:p>
      <w:pPr>
        <w:pStyle w:val="Ednotesection"/>
      </w:pPr>
      <w:r>
        <w:t>[</w:t>
      </w:r>
      <w:r>
        <w:rPr>
          <w:b/>
        </w:rPr>
        <w:t>25A.</w:t>
      </w:r>
      <w:r>
        <w:tab/>
        <w:t xml:space="preserve">Deleted in Gazette 24 Nov 1972 p. 4487.] </w:t>
      </w:r>
    </w:p>
    <w:p>
      <w:pPr>
        <w:pStyle w:val="Heading5"/>
        <w:pageBreakBefore/>
        <w:spacing w:before="0"/>
        <w:rPr>
          <w:snapToGrid w:val="0"/>
        </w:rPr>
      </w:pPr>
      <w:bookmarkStart w:id="80" w:name="_Toc455151447"/>
      <w:r>
        <w:rPr>
          <w:rStyle w:val="CharSectno"/>
        </w:rPr>
        <w:t>26</w:t>
      </w:r>
      <w:r>
        <w:rPr>
          <w:snapToGrid w:val="0"/>
        </w:rPr>
        <w:t>.</w:t>
      </w:r>
      <w:r>
        <w:rPr>
          <w:snapToGrid w:val="0"/>
        </w:rPr>
        <w:tab/>
        <w:t>Department not bound to find storage accommodation</w:t>
      </w:r>
      <w:bookmarkEnd w:id="80"/>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rPr>
          <w:snapToGrid w:val="0"/>
        </w:rPr>
      </w:pPr>
      <w:bookmarkStart w:id="81" w:name="_Toc455151448"/>
      <w:r>
        <w:rPr>
          <w:rStyle w:val="CharSectno"/>
        </w:rPr>
        <w:t>27</w:t>
      </w:r>
      <w:r>
        <w:rPr>
          <w:snapToGrid w:val="0"/>
        </w:rPr>
        <w:t>.</w:t>
      </w:r>
      <w:r>
        <w:rPr>
          <w:snapToGrid w:val="0"/>
        </w:rPr>
        <w:tab/>
        <w:t>Goods may be disposed of</w:t>
      </w:r>
      <w:bookmarkEnd w:id="81"/>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spacing w:before="180"/>
        <w:rPr>
          <w:snapToGrid w:val="0"/>
        </w:rPr>
      </w:pPr>
      <w:bookmarkStart w:id="82" w:name="_Toc455151449"/>
      <w:r>
        <w:rPr>
          <w:rStyle w:val="CharSectno"/>
        </w:rPr>
        <w:t>28</w:t>
      </w:r>
      <w:r>
        <w:rPr>
          <w:snapToGrid w:val="0"/>
        </w:rPr>
        <w:t>.</w:t>
      </w:r>
      <w:r>
        <w:rPr>
          <w:snapToGrid w:val="0"/>
        </w:rPr>
        <w:tab/>
        <w:t>Goods to be checked before delivery</w:t>
      </w:r>
      <w:bookmarkEnd w:id="82"/>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83" w:name="_Toc455151450"/>
      <w:r>
        <w:rPr>
          <w:rStyle w:val="CharSectno"/>
        </w:rPr>
        <w:t>29</w:t>
      </w:r>
      <w:r>
        <w:rPr>
          <w:snapToGrid w:val="0"/>
        </w:rPr>
        <w:t>.</w:t>
      </w:r>
      <w:r>
        <w:rPr>
          <w:snapToGrid w:val="0"/>
        </w:rPr>
        <w:tab/>
        <w:t>Delay in delivery</w:t>
      </w:r>
      <w:bookmarkEnd w:id="83"/>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84" w:name="_Toc455151451"/>
      <w:r>
        <w:rPr>
          <w:rStyle w:val="CharSectno"/>
        </w:rPr>
        <w:t>30</w:t>
      </w:r>
      <w:r>
        <w:rPr>
          <w:snapToGrid w:val="0"/>
        </w:rPr>
        <w:t>.</w:t>
      </w:r>
      <w:r>
        <w:rPr>
          <w:snapToGrid w:val="0"/>
        </w:rPr>
        <w:tab/>
        <w:t>Wrong delivery</w:t>
      </w:r>
      <w:bookmarkEnd w:id="84"/>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85" w:name="_Toc440457010"/>
      <w:bookmarkStart w:id="86" w:name="_Toc443638703"/>
      <w:bookmarkStart w:id="87" w:name="_Toc447619846"/>
      <w:bookmarkStart w:id="88" w:name="_Toc448479708"/>
      <w:bookmarkStart w:id="89" w:name="_Toc455066648"/>
      <w:bookmarkStart w:id="90" w:name="_Toc455066852"/>
      <w:bookmarkStart w:id="91" w:name="_Toc455151452"/>
      <w:r>
        <w:rPr>
          <w:rStyle w:val="CharDivNo"/>
        </w:rPr>
        <w:t>Division 7</w:t>
      </w:r>
      <w:r>
        <w:rPr>
          <w:snapToGrid w:val="0"/>
        </w:rPr>
        <w:t> — </w:t>
      </w:r>
      <w:r>
        <w:rPr>
          <w:rStyle w:val="CharDivText"/>
        </w:rPr>
        <w:t>Responsibility of Department</w:t>
      </w:r>
      <w:bookmarkEnd w:id="85"/>
      <w:bookmarkEnd w:id="86"/>
      <w:bookmarkEnd w:id="87"/>
      <w:bookmarkEnd w:id="88"/>
      <w:bookmarkEnd w:id="89"/>
      <w:bookmarkEnd w:id="90"/>
      <w:bookmarkEnd w:id="91"/>
      <w:r>
        <w:rPr>
          <w:rStyle w:val="CharDivText"/>
        </w:rPr>
        <w:t xml:space="preserve"> </w:t>
      </w:r>
    </w:p>
    <w:p>
      <w:pPr>
        <w:pStyle w:val="Footnoteheading"/>
      </w:pPr>
      <w:r>
        <w:tab/>
        <w:t xml:space="preserve">[Heading inserted in Gazette of 19 May 1989 p. 1494.] </w:t>
      </w:r>
    </w:p>
    <w:p>
      <w:pPr>
        <w:pStyle w:val="Heading5"/>
        <w:spacing w:before="180"/>
        <w:rPr>
          <w:snapToGrid w:val="0"/>
        </w:rPr>
      </w:pPr>
      <w:bookmarkStart w:id="92" w:name="_Toc455151453"/>
      <w:r>
        <w:rPr>
          <w:rStyle w:val="CharSectno"/>
        </w:rPr>
        <w:t>31</w:t>
      </w:r>
      <w:r>
        <w:rPr>
          <w:snapToGrid w:val="0"/>
        </w:rPr>
        <w:t>.</w:t>
      </w:r>
      <w:r>
        <w:rPr>
          <w:snapToGrid w:val="0"/>
        </w:rPr>
        <w:tab/>
        <w:t>Custody of cargo</w:t>
      </w:r>
      <w:bookmarkEnd w:id="92"/>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spacing w:before="180"/>
        <w:rPr>
          <w:snapToGrid w:val="0"/>
        </w:rPr>
      </w:pPr>
      <w:bookmarkStart w:id="93" w:name="_Toc455151454"/>
      <w:r>
        <w:rPr>
          <w:rStyle w:val="CharSectno"/>
        </w:rPr>
        <w:t>32</w:t>
      </w:r>
      <w:r>
        <w:rPr>
          <w:snapToGrid w:val="0"/>
        </w:rPr>
        <w:t>.</w:t>
      </w:r>
      <w:r>
        <w:rPr>
          <w:snapToGrid w:val="0"/>
        </w:rPr>
        <w:tab/>
        <w:t>Goods without receipts</w:t>
      </w:r>
      <w:bookmarkEnd w:id="93"/>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spacing w:before="180"/>
        <w:rPr>
          <w:snapToGrid w:val="0"/>
        </w:rPr>
      </w:pPr>
      <w:bookmarkStart w:id="94" w:name="_Toc455151455"/>
      <w:r>
        <w:rPr>
          <w:rStyle w:val="CharSectno"/>
        </w:rPr>
        <w:t>33</w:t>
      </w:r>
      <w:r>
        <w:rPr>
          <w:snapToGrid w:val="0"/>
        </w:rPr>
        <w:t>.</w:t>
      </w:r>
      <w:r>
        <w:rPr>
          <w:snapToGrid w:val="0"/>
        </w:rPr>
        <w:tab/>
        <w:t>Goods stacked on jetties</w:t>
      </w:r>
      <w:bookmarkEnd w:id="94"/>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95" w:name="_Toc455151456"/>
      <w:r>
        <w:rPr>
          <w:rStyle w:val="CharSectno"/>
        </w:rPr>
        <w:t>34</w:t>
      </w:r>
      <w:r>
        <w:rPr>
          <w:snapToGrid w:val="0"/>
        </w:rPr>
        <w:t>.</w:t>
      </w:r>
      <w:r>
        <w:rPr>
          <w:snapToGrid w:val="0"/>
        </w:rPr>
        <w:tab/>
        <w:t>Cargo damaged by fire etc.</w:t>
      </w:r>
      <w:bookmarkEnd w:id="95"/>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96" w:name="_Toc455151457"/>
      <w:r>
        <w:rPr>
          <w:rStyle w:val="CharSectno"/>
        </w:rPr>
        <w:t>35</w:t>
      </w:r>
      <w:r>
        <w:rPr>
          <w:snapToGrid w:val="0"/>
        </w:rPr>
        <w:t>.</w:t>
      </w:r>
      <w:r>
        <w:rPr>
          <w:snapToGrid w:val="0"/>
        </w:rPr>
        <w:tab/>
        <w:t>Goods insufficiently packed</w:t>
      </w:r>
      <w:bookmarkEnd w:id="96"/>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97" w:name="_Toc455151458"/>
      <w:r>
        <w:rPr>
          <w:rStyle w:val="CharSectno"/>
        </w:rPr>
        <w:t>36</w:t>
      </w:r>
      <w:r>
        <w:rPr>
          <w:snapToGrid w:val="0"/>
        </w:rPr>
        <w:t>.</w:t>
      </w:r>
      <w:r>
        <w:rPr>
          <w:snapToGrid w:val="0"/>
        </w:rPr>
        <w:tab/>
        <w:t>Claims in respect of cargo</w:t>
      </w:r>
      <w:bookmarkEnd w:id="97"/>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keepLines/>
        <w:spacing w:before="180"/>
        <w:rPr>
          <w:snapToGrid w:val="0"/>
        </w:rPr>
      </w:pPr>
      <w:bookmarkStart w:id="98" w:name="_Toc440457017"/>
      <w:bookmarkStart w:id="99" w:name="_Toc443638710"/>
      <w:bookmarkStart w:id="100" w:name="_Toc447619853"/>
      <w:bookmarkStart w:id="101" w:name="_Toc448479715"/>
      <w:bookmarkStart w:id="102" w:name="_Toc455066655"/>
      <w:bookmarkStart w:id="103" w:name="_Toc455066859"/>
      <w:bookmarkStart w:id="104" w:name="_Toc455151459"/>
      <w:r>
        <w:rPr>
          <w:rStyle w:val="CharDivNo"/>
        </w:rPr>
        <w:t>Division 8</w:t>
      </w:r>
      <w:r>
        <w:rPr>
          <w:snapToGrid w:val="0"/>
        </w:rPr>
        <w:t> — </w:t>
      </w:r>
      <w:r>
        <w:rPr>
          <w:rStyle w:val="CharDivText"/>
        </w:rPr>
        <w:t>Working hours</w:t>
      </w:r>
      <w:bookmarkEnd w:id="98"/>
      <w:bookmarkEnd w:id="99"/>
      <w:bookmarkEnd w:id="100"/>
      <w:bookmarkEnd w:id="101"/>
      <w:bookmarkEnd w:id="102"/>
      <w:bookmarkEnd w:id="103"/>
      <w:bookmarkEnd w:id="104"/>
      <w:r>
        <w:rPr>
          <w:rStyle w:val="CharDivText"/>
        </w:rPr>
        <w:t xml:space="preserve"> </w:t>
      </w:r>
    </w:p>
    <w:p>
      <w:pPr>
        <w:pStyle w:val="Footnoteheading"/>
        <w:keepNext/>
        <w:keepLines/>
      </w:pPr>
      <w:r>
        <w:tab/>
        <w:t xml:space="preserve">[Heading inserted in Gazette 19 May 1989 p. 1494.] </w:t>
      </w:r>
    </w:p>
    <w:p>
      <w:pPr>
        <w:pStyle w:val="Heading5"/>
        <w:spacing w:before="180"/>
        <w:rPr>
          <w:snapToGrid w:val="0"/>
        </w:rPr>
      </w:pPr>
      <w:bookmarkStart w:id="105" w:name="_Toc455151460"/>
      <w:r>
        <w:rPr>
          <w:rStyle w:val="CharSectno"/>
        </w:rPr>
        <w:t>37</w:t>
      </w:r>
      <w:r>
        <w:rPr>
          <w:snapToGrid w:val="0"/>
        </w:rPr>
        <w:t>.</w:t>
      </w:r>
      <w:r>
        <w:rPr>
          <w:snapToGrid w:val="0"/>
        </w:rPr>
        <w:tab/>
        <w:t>Ordinary time</w:t>
      </w:r>
      <w:bookmarkEnd w:id="105"/>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spacing w:before="180"/>
        <w:rPr>
          <w:snapToGrid w:val="0"/>
        </w:rPr>
      </w:pPr>
      <w:bookmarkStart w:id="106" w:name="_Toc455151461"/>
      <w:r>
        <w:rPr>
          <w:rStyle w:val="CharSectno"/>
        </w:rPr>
        <w:t>38</w:t>
      </w:r>
      <w:r>
        <w:rPr>
          <w:snapToGrid w:val="0"/>
        </w:rPr>
        <w:t>.</w:t>
      </w:r>
      <w:r>
        <w:rPr>
          <w:snapToGrid w:val="0"/>
        </w:rPr>
        <w:tab/>
        <w:t>Overtime</w:t>
      </w:r>
      <w:bookmarkEnd w:id="106"/>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spacing w:before="180"/>
        <w:rPr>
          <w:snapToGrid w:val="0"/>
        </w:rPr>
      </w:pPr>
      <w:bookmarkStart w:id="107" w:name="_Toc455151462"/>
      <w:r>
        <w:rPr>
          <w:rStyle w:val="CharSectno"/>
        </w:rPr>
        <w:t>38A</w:t>
      </w:r>
      <w:r>
        <w:rPr>
          <w:snapToGrid w:val="0"/>
        </w:rPr>
        <w:t>.</w:t>
      </w:r>
      <w:r>
        <w:rPr>
          <w:snapToGrid w:val="0"/>
        </w:rPr>
        <w:tab/>
        <w:t>Wages incurred through ships’ delays to be paid for</w:t>
      </w:r>
      <w:bookmarkEnd w:id="107"/>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spacing w:before="80"/>
        <w:ind w:left="890" w:hanging="890"/>
      </w:pPr>
      <w:r>
        <w:tab/>
        <w:t xml:space="preserve">[Regulation 38A inserted in Gazette 12 Jul 1957 p. 2271; amended in Gazette 19 May 1989 p. 1495.] </w:t>
      </w:r>
    </w:p>
    <w:p>
      <w:pPr>
        <w:pStyle w:val="Heading5"/>
        <w:rPr>
          <w:snapToGrid w:val="0"/>
        </w:rPr>
      </w:pPr>
      <w:bookmarkStart w:id="108" w:name="_Toc455151463"/>
      <w:r>
        <w:rPr>
          <w:rStyle w:val="CharSectno"/>
        </w:rPr>
        <w:t>39</w:t>
      </w:r>
      <w:r>
        <w:rPr>
          <w:snapToGrid w:val="0"/>
        </w:rPr>
        <w:t>.</w:t>
      </w:r>
      <w:r>
        <w:rPr>
          <w:snapToGrid w:val="0"/>
        </w:rPr>
        <w:tab/>
        <w:t>Master to give notice of desire to work</w:t>
      </w:r>
      <w:bookmarkEnd w:id="108"/>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109" w:name="_Toc440457022"/>
      <w:bookmarkStart w:id="110" w:name="_Toc443638715"/>
      <w:bookmarkStart w:id="111" w:name="_Toc447619858"/>
      <w:bookmarkStart w:id="112" w:name="_Toc448479720"/>
      <w:bookmarkStart w:id="113" w:name="_Toc455066660"/>
      <w:bookmarkStart w:id="114" w:name="_Toc455066864"/>
      <w:bookmarkStart w:id="115" w:name="_Toc455151464"/>
      <w:r>
        <w:rPr>
          <w:rStyle w:val="CharDivNo"/>
        </w:rPr>
        <w:t>Division 9</w:t>
      </w:r>
      <w:r>
        <w:rPr>
          <w:snapToGrid w:val="0"/>
        </w:rPr>
        <w:t> — </w:t>
      </w:r>
      <w:r>
        <w:rPr>
          <w:rStyle w:val="CharDivText"/>
        </w:rPr>
        <w:t>Livestock or vehicles on jetties or premises</w:t>
      </w:r>
      <w:bookmarkEnd w:id="109"/>
      <w:bookmarkEnd w:id="110"/>
      <w:bookmarkEnd w:id="111"/>
      <w:bookmarkEnd w:id="112"/>
      <w:bookmarkEnd w:id="113"/>
      <w:bookmarkEnd w:id="114"/>
      <w:bookmarkEnd w:id="115"/>
      <w:r>
        <w:rPr>
          <w:rStyle w:val="CharDivText"/>
        </w:rPr>
        <w:t xml:space="preserve"> </w:t>
      </w:r>
    </w:p>
    <w:p>
      <w:pPr>
        <w:pStyle w:val="Footnoteheading"/>
      </w:pPr>
      <w:r>
        <w:tab/>
        <w:t xml:space="preserve">[Heading inserted in Gazette 19 May 1989 p. 1494.] </w:t>
      </w:r>
    </w:p>
    <w:p>
      <w:pPr>
        <w:pStyle w:val="Heading5"/>
        <w:rPr>
          <w:snapToGrid w:val="0"/>
        </w:rPr>
      </w:pPr>
      <w:bookmarkStart w:id="116" w:name="_Toc455151465"/>
      <w:r>
        <w:rPr>
          <w:rStyle w:val="CharSectno"/>
        </w:rPr>
        <w:t>40</w:t>
      </w:r>
      <w:r>
        <w:rPr>
          <w:snapToGrid w:val="0"/>
        </w:rPr>
        <w:t>.</w:t>
      </w:r>
      <w:r>
        <w:rPr>
          <w:snapToGrid w:val="0"/>
        </w:rPr>
        <w:tab/>
        <w:t>Livestock on jetties or premises</w:t>
      </w:r>
      <w:bookmarkEnd w:id="116"/>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117" w:name="_Toc455151466"/>
      <w:r>
        <w:rPr>
          <w:rStyle w:val="CharSectno"/>
        </w:rPr>
        <w:t>41</w:t>
      </w:r>
      <w:r>
        <w:rPr>
          <w:snapToGrid w:val="0"/>
        </w:rPr>
        <w:t>.</w:t>
      </w:r>
      <w:r>
        <w:rPr>
          <w:snapToGrid w:val="0"/>
        </w:rPr>
        <w:tab/>
        <w:t>Riding vehicles etc. on jetties or premises</w:t>
      </w:r>
      <w:bookmarkEnd w:id="117"/>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118" w:name="_Toc455151467"/>
      <w:r>
        <w:rPr>
          <w:rStyle w:val="CharSectno"/>
        </w:rPr>
        <w:t>41A</w:t>
      </w:r>
      <w:r>
        <w:rPr>
          <w:snapToGrid w:val="0"/>
        </w:rPr>
        <w:t>.</w:t>
      </w:r>
      <w:r>
        <w:rPr>
          <w:snapToGrid w:val="0"/>
        </w:rPr>
        <w:tab/>
        <w:t>Vehicles not to be parked on jetties</w:t>
      </w:r>
      <w:bookmarkEnd w:id="118"/>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spacing w:before="80"/>
        <w:ind w:left="890" w:hanging="890"/>
      </w:pPr>
      <w:r>
        <w:tab/>
        <w:t xml:space="preserve">[Regulation 41A inserted in Gazette 17 Mar 1960 p. 779; amended in Gazette 19 May 1989 p. 1495.] </w:t>
      </w:r>
    </w:p>
    <w:p>
      <w:pPr>
        <w:pStyle w:val="Heading5"/>
        <w:rPr>
          <w:snapToGrid w:val="0"/>
        </w:rPr>
      </w:pPr>
      <w:bookmarkStart w:id="119" w:name="_Toc455151468"/>
      <w:r>
        <w:rPr>
          <w:rStyle w:val="CharSectno"/>
        </w:rPr>
        <w:t>41B</w:t>
      </w:r>
      <w:r>
        <w:rPr>
          <w:snapToGrid w:val="0"/>
        </w:rPr>
        <w:t>.</w:t>
      </w:r>
      <w:r>
        <w:rPr>
          <w:snapToGrid w:val="0"/>
        </w:rPr>
        <w:tab/>
        <w:t>Department not responsible for vehicles on jetties</w:t>
      </w:r>
      <w:bookmarkEnd w:id="119"/>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120" w:name="_Toc455151469"/>
      <w:r>
        <w:rPr>
          <w:rStyle w:val="CharSectno"/>
        </w:rPr>
        <w:t>42</w:t>
      </w:r>
      <w:r>
        <w:rPr>
          <w:snapToGrid w:val="0"/>
        </w:rPr>
        <w:t>.</w:t>
      </w:r>
      <w:r>
        <w:rPr>
          <w:snapToGrid w:val="0"/>
        </w:rPr>
        <w:tab/>
        <w:t>Drivers of vehicles to obey instructions</w:t>
      </w:r>
      <w:bookmarkEnd w:id="120"/>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121" w:name="_Toc455151470"/>
      <w:r>
        <w:rPr>
          <w:rStyle w:val="CharSectno"/>
        </w:rPr>
        <w:t>42A</w:t>
      </w:r>
      <w:r>
        <w:t>.</w:t>
      </w:r>
      <w:r>
        <w:tab/>
        <w:t>Charges for vehicular use of jetty</w:t>
      </w:r>
      <w:bookmarkEnd w:id="121"/>
    </w:p>
    <w:p>
      <w:pPr>
        <w:pStyle w:val="Subsection"/>
      </w:pPr>
      <w:r>
        <w:tab/>
      </w:r>
      <w:r>
        <w:tab/>
        <w:t>The charges (if any) payable for vehicular use of a jetty and land adjacent to it are as set out in a Schedule.</w:t>
      </w:r>
    </w:p>
    <w:p>
      <w:pPr>
        <w:pStyle w:val="Footnotesection"/>
        <w:rPr>
          <w:rStyle w:val="CharSectno"/>
        </w:rPr>
      </w:pPr>
      <w:r>
        <w:tab/>
        <w:t>[Regulation 42A inserted in Gazette 22 Jun 2007 p. 2908</w:t>
      </w:r>
      <w:r>
        <w:noBreakHyphen/>
        <w:t>9; amended in Gazette 25 Jul 2014 p. 2611; 22 Jul 2015 p. 2953.]</w:t>
      </w:r>
    </w:p>
    <w:p>
      <w:pPr>
        <w:pStyle w:val="Heading5"/>
        <w:rPr>
          <w:snapToGrid w:val="0"/>
        </w:rPr>
      </w:pPr>
      <w:bookmarkStart w:id="122" w:name="_Toc455151471"/>
      <w:r>
        <w:rPr>
          <w:rStyle w:val="CharSectno"/>
        </w:rPr>
        <w:t>43</w:t>
      </w:r>
      <w:r>
        <w:rPr>
          <w:snapToGrid w:val="0"/>
        </w:rPr>
        <w:t>.</w:t>
      </w:r>
      <w:r>
        <w:rPr>
          <w:snapToGrid w:val="0"/>
        </w:rPr>
        <w:tab/>
        <w:t>Persons not to be on jetties when livestock is being handled</w:t>
      </w:r>
      <w:bookmarkEnd w:id="122"/>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keepNext w:val="0"/>
        <w:pageBreakBefore/>
        <w:spacing w:before="0"/>
        <w:rPr>
          <w:snapToGrid w:val="0"/>
        </w:rPr>
      </w:pPr>
      <w:bookmarkStart w:id="123" w:name="_Toc440457030"/>
      <w:bookmarkStart w:id="124" w:name="_Toc443638723"/>
      <w:bookmarkStart w:id="125" w:name="_Toc447619866"/>
      <w:bookmarkStart w:id="126" w:name="_Toc448479728"/>
      <w:bookmarkStart w:id="127" w:name="_Toc455066668"/>
      <w:bookmarkStart w:id="128" w:name="_Toc455066872"/>
      <w:bookmarkStart w:id="129" w:name="_Toc455151472"/>
      <w:r>
        <w:rPr>
          <w:rStyle w:val="CharDivNo"/>
        </w:rPr>
        <w:t>Division 10</w:t>
      </w:r>
      <w:r>
        <w:rPr>
          <w:snapToGrid w:val="0"/>
        </w:rPr>
        <w:t> — </w:t>
      </w:r>
      <w:r>
        <w:rPr>
          <w:rStyle w:val="CharDivText"/>
        </w:rPr>
        <w:t>Miscellaneous</w:t>
      </w:r>
      <w:bookmarkEnd w:id="123"/>
      <w:bookmarkEnd w:id="124"/>
      <w:bookmarkEnd w:id="125"/>
      <w:bookmarkEnd w:id="126"/>
      <w:bookmarkEnd w:id="127"/>
      <w:bookmarkEnd w:id="128"/>
      <w:bookmarkEnd w:id="129"/>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130" w:name="_Toc455151473"/>
      <w:r>
        <w:rPr>
          <w:rStyle w:val="CharSectno"/>
        </w:rPr>
        <w:t>44</w:t>
      </w:r>
      <w:r>
        <w:rPr>
          <w:snapToGrid w:val="0"/>
        </w:rPr>
        <w:t>.</w:t>
      </w:r>
      <w:r>
        <w:rPr>
          <w:snapToGrid w:val="0"/>
        </w:rPr>
        <w:tab/>
        <w:t>Bill posting, defacement and obscenity</w:t>
      </w:r>
      <w:bookmarkEnd w:id="130"/>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131" w:name="_Toc455151474"/>
      <w:r>
        <w:rPr>
          <w:rStyle w:val="CharSectno"/>
        </w:rPr>
        <w:t>45</w:t>
      </w:r>
      <w:r>
        <w:rPr>
          <w:snapToGrid w:val="0"/>
        </w:rPr>
        <w:t>.</w:t>
      </w:r>
      <w:r>
        <w:rPr>
          <w:snapToGrid w:val="0"/>
        </w:rPr>
        <w:tab/>
        <w:t>Disorderly persons</w:t>
      </w:r>
      <w:bookmarkEnd w:id="131"/>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132" w:name="_Toc455151475"/>
      <w:r>
        <w:rPr>
          <w:rStyle w:val="CharSectno"/>
        </w:rPr>
        <w:t>46</w:t>
      </w:r>
      <w:r>
        <w:rPr>
          <w:snapToGrid w:val="0"/>
        </w:rPr>
        <w:t>.</w:t>
      </w:r>
      <w:r>
        <w:rPr>
          <w:snapToGrid w:val="0"/>
        </w:rPr>
        <w:tab/>
        <w:t>Fires not to be lit</w:t>
      </w:r>
      <w:bookmarkEnd w:id="132"/>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133" w:name="_Toc455151476"/>
      <w:r>
        <w:rPr>
          <w:rStyle w:val="CharSectno"/>
        </w:rPr>
        <w:t>47</w:t>
      </w:r>
      <w:r>
        <w:rPr>
          <w:snapToGrid w:val="0"/>
        </w:rPr>
        <w:t>.</w:t>
      </w:r>
      <w:r>
        <w:rPr>
          <w:snapToGrid w:val="0"/>
        </w:rPr>
        <w:tab/>
        <w:t>Gates to be shut</w:t>
      </w:r>
      <w:bookmarkEnd w:id="133"/>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134" w:name="_Toc455151477"/>
      <w:r>
        <w:rPr>
          <w:rStyle w:val="CharSectno"/>
        </w:rPr>
        <w:t>48</w:t>
      </w:r>
      <w:r>
        <w:rPr>
          <w:snapToGrid w:val="0"/>
        </w:rPr>
        <w:t>.</w:t>
      </w:r>
      <w:r>
        <w:rPr>
          <w:snapToGrid w:val="0"/>
        </w:rPr>
        <w:tab/>
        <w:t>Interference with lights</w:t>
      </w:r>
      <w:bookmarkEnd w:id="134"/>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135" w:name="_Toc455151478"/>
      <w:r>
        <w:rPr>
          <w:rStyle w:val="CharSectno"/>
        </w:rPr>
        <w:t>49</w:t>
      </w:r>
      <w:r>
        <w:rPr>
          <w:snapToGrid w:val="0"/>
        </w:rPr>
        <w:t>.</w:t>
      </w:r>
      <w:r>
        <w:rPr>
          <w:snapToGrid w:val="0"/>
        </w:rPr>
        <w:tab/>
        <w:t>Interference with or damaging property</w:t>
      </w:r>
      <w:bookmarkEnd w:id="135"/>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136" w:name="_Toc455151479"/>
      <w:r>
        <w:rPr>
          <w:rStyle w:val="CharSectno"/>
        </w:rPr>
        <w:t>50</w:t>
      </w:r>
      <w:r>
        <w:rPr>
          <w:snapToGrid w:val="0"/>
        </w:rPr>
        <w:t>.</w:t>
      </w:r>
      <w:r>
        <w:rPr>
          <w:snapToGrid w:val="0"/>
        </w:rPr>
        <w:tab/>
        <w:t>Lost property</w:t>
      </w:r>
      <w:bookmarkEnd w:id="136"/>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in Gazette 19 May 1985 p. 1495.] </w:t>
      </w:r>
    </w:p>
    <w:p>
      <w:pPr>
        <w:pStyle w:val="Heading5"/>
        <w:rPr>
          <w:snapToGrid w:val="0"/>
        </w:rPr>
      </w:pPr>
      <w:bookmarkStart w:id="137" w:name="_Toc455151480"/>
      <w:r>
        <w:rPr>
          <w:rStyle w:val="CharSectno"/>
        </w:rPr>
        <w:t>51</w:t>
      </w:r>
      <w:r>
        <w:rPr>
          <w:snapToGrid w:val="0"/>
        </w:rPr>
        <w:t>.</w:t>
      </w:r>
      <w:r>
        <w:rPr>
          <w:snapToGrid w:val="0"/>
        </w:rPr>
        <w:tab/>
        <w:t>Obstruction of officers, or premises</w:t>
      </w:r>
      <w:bookmarkEnd w:id="137"/>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138" w:name="_Toc455151481"/>
      <w:r>
        <w:rPr>
          <w:rStyle w:val="CharSectno"/>
        </w:rPr>
        <w:t>52</w:t>
      </w:r>
      <w:r>
        <w:rPr>
          <w:snapToGrid w:val="0"/>
        </w:rPr>
        <w:t>.</w:t>
      </w:r>
      <w:r>
        <w:rPr>
          <w:snapToGrid w:val="0"/>
        </w:rPr>
        <w:tab/>
        <w:t>Obstruction of or damage to jetties or premises</w:t>
      </w:r>
      <w:bookmarkEnd w:id="138"/>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pPr>
      <w:r>
        <w:tab/>
        <w:t xml:space="preserve">[Regulation 52 amended in Gazette 19 May 1989 p. 1495.] </w:t>
      </w:r>
    </w:p>
    <w:p>
      <w:pPr>
        <w:pStyle w:val="Heading5"/>
        <w:rPr>
          <w:snapToGrid w:val="0"/>
        </w:rPr>
      </w:pPr>
      <w:bookmarkStart w:id="139" w:name="_Toc455151482"/>
      <w:r>
        <w:rPr>
          <w:rStyle w:val="CharSectno"/>
        </w:rPr>
        <w:t>53</w:t>
      </w:r>
      <w:r>
        <w:rPr>
          <w:snapToGrid w:val="0"/>
        </w:rPr>
        <w:t>.</w:t>
      </w:r>
      <w:r>
        <w:rPr>
          <w:snapToGrid w:val="0"/>
        </w:rPr>
        <w:tab/>
        <w:t>Rubbish etc. not to be thrown</w:t>
      </w:r>
      <w:bookmarkEnd w:id="139"/>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140" w:name="_Toc455151483"/>
      <w:r>
        <w:rPr>
          <w:rStyle w:val="CharSectno"/>
        </w:rPr>
        <w:t>53A</w:t>
      </w:r>
      <w:r>
        <w:t>.</w:t>
      </w:r>
      <w:r>
        <w:tab/>
        <w:t>Charges for rubbish removal</w:t>
      </w:r>
      <w:bookmarkEnd w:id="140"/>
    </w:p>
    <w:p>
      <w:pPr>
        <w:pStyle w:val="Subsection"/>
      </w:pPr>
      <w:r>
        <w:tab/>
      </w:r>
      <w:r>
        <w:tab/>
        <w:t>The charges (if any) payable for removal of rubbish by the Department are as set out in a Schedule.</w:t>
      </w:r>
    </w:p>
    <w:p>
      <w:pPr>
        <w:pStyle w:val="Footnotesection"/>
      </w:pPr>
      <w:r>
        <w:tab/>
        <w:t>[Regulation 53A inserted in Gazette 22 Jun 2007 p. 2909; amended in Gazette 25 Jul 2014 p. 2611; 22 Jul 2015 p. 2954.]</w:t>
      </w:r>
    </w:p>
    <w:p>
      <w:pPr>
        <w:pStyle w:val="Heading5"/>
        <w:rPr>
          <w:snapToGrid w:val="0"/>
        </w:rPr>
      </w:pPr>
      <w:bookmarkStart w:id="141" w:name="_Toc455151484"/>
      <w:r>
        <w:rPr>
          <w:rStyle w:val="CharSectno"/>
        </w:rPr>
        <w:t>54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articles prohibited</w:t>
      </w:r>
      <w:bookmarkEnd w:id="141"/>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142" w:name="_Toc455151485"/>
      <w:r>
        <w:rPr>
          <w:rStyle w:val="CharSectno"/>
        </w:rPr>
        <w:t>55</w:t>
      </w:r>
      <w:r>
        <w:rPr>
          <w:snapToGrid w:val="0"/>
        </w:rPr>
        <w:t>.</w:t>
      </w:r>
      <w:r>
        <w:rPr>
          <w:snapToGrid w:val="0"/>
        </w:rPr>
        <w:tab/>
        <w:t>Smoking and loitering</w:t>
      </w:r>
      <w:bookmarkEnd w:id="142"/>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143" w:name="_Toc455151486"/>
      <w:r>
        <w:rPr>
          <w:rStyle w:val="CharSectno"/>
        </w:rPr>
        <w:t>56</w:t>
      </w:r>
      <w:r>
        <w:rPr>
          <w:snapToGrid w:val="0"/>
        </w:rPr>
        <w:t>.</w:t>
      </w:r>
      <w:r>
        <w:rPr>
          <w:snapToGrid w:val="0"/>
        </w:rPr>
        <w:tab/>
        <w:t>Trespassing</w:t>
      </w:r>
      <w:bookmarkEnd w:id="143"/>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Deleted in Gazette 24 Nov 1972 p. 4487.] </w:t>
      </w:r>
    </w:p>
    <w:p>
      <w:pPr>
        <w:pStyle w:val="Heading5"/>
        <w:rPr>
          <w:snapToGrid w:val="0"/>
        </w:rPr>
      </w:pPr>
      <w:bookmarkStart w:id="144" w:name="_Toc455151487"/>
      <w:r>
        <w:rPr>
          <w:rStyle w:val="CharSectno"/>
        </w:rPr>
        <w:t>67A</w:t>
      </w:r>
      <w:r>
        <w:rPr>
          <w:snapToGrid w:val="0"/>
        </w:rPr>
        <w:t>.</w:t>
      </w:r>
      <w:r>
        <w:rPr>
          <w:snapToGrid w:val="0"/>
        </w:rPr>
        <w:tab/>
        <w:t>Conditions for construction and installation of pipelines</w:t>
      </w:r>
      <w:bookmarkEnd w:id="144"/>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spacing w:before="240"/>
        <w:rPr>
          <w:snapToGrid w:val="0"/>
        </w:rPr>
      </w:pPr>
      <w:bookmarkStart w:id="145" w:name="_Toc455151488"/>
      <w:r>
        <w:rPr>
          <w:rStyle w:val="CharSectno"/>
        </w:rPr>
        <w:t>67B</w:t>
      </w:r>
      <w:r>
        <w:rPr>
          <w:snapToGrid w:val="0"/>
        </w:rPr>
        <w:t>.</w:t>
      </w:r>
      <w:r>
        <w:rPr>
          <w:snapToGrid w:val="0"/>
        </w:rPr>
        <w:tab/>
        <w:t>Maintenance and operation of pipelines</w:t>
      </w:r>
      <w:bookmarkEnd w:id="145"/>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61°C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Deleted in Gazette 14 Apr 1966 p. 918.] </w:t>
      </w:r>
    </w:p>
    <w:p>
      <w:pPr>
        <w:pStyle w:val="Heading5"/>
        <w:rPr>
          <w:snapToGrid w:val="0"/>
        </w:rPr>
      </w:pPr>
      <w:bookmarkStart w:id="146" w:name="_Toc455151489"/>
      <w:r>
        <w:rPr>
          <w:rStyle w:val="CharSectno"/>
        </w:rPr>
        <w:t>67D</w:t>
      </w:r>
      <w:r>
        <w:rPr>
          <w:snapToGrid w:val="0"/>
        </w:rPr>
        <w:t>.</w:t>
      </w:r>
      <w:r>
        <w:rPr>
          <w:snapToGrid w:val="0"/>
        </w:rPr>
        <w:tab/>
        <w:t>Penalty for failure to remove or amend pipeline</w:t>
      </w:r>
      <w:bookmarkEnd w:id="146"/>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5"/>
      </w:pPr>
      <w:bookmarkStart w:id="147" w:name="_Toc455151490"/>
      <w:r>
        <w:rPr>
          <w:rStyle w:val="CharSectno"/>
        </w:rPr>
        <w:t>67DA</w:t>
      </w:r>
      <w:r>
        <w:t>.</w:t>
      </w:r>
      <w:r>
        <w:tab/>
        <w:t>Fuelling vessels at service jetties limited</w:t>
      </w:r>
      <w:bookmarkEnd w:id="147"/>
    </w:p>
    <w:p>
      <w:pPr>
        <w:pStyle w:val="Subsection"/>
      </w:pPr>
      <w:r>
        <w:tab/>
      </w:r>
      <w:r>
        <w:tab/>
        <w:t xml:space="preserve">A person must not fuel a vessel from an alongside berth at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in Gazette 7 Dec 2007 p. 5984; amended in Gazette 25 Jul 2014 p. 2612.]</w:t>
      </w:r>
    </w:p>
    <w:p>
      <w:pPr>
        <w:pStyle w:val="Heading2"/>
      </w:pPr>
      <w:bookmarkStart w:id="148" w:name="_Toc440457049"/>
      <w:bookmarkStart w:id="149" w:name="_Toc443638742"/>
      <w:bookmarkStart w:id="150" w:name="_Toc447619885"/>
      <w:bookmarkStart w:id="151" w:name="_Toc448479747"/>
      <w:bookmarkStart w:id="152" w:name="_Toc455066687"/>
      <w:bookmarkStart w:id="153" w:name="_Toc455066891"/>
      <w:bookmarkStart w:id="154" w:name="_Toc455151491"/>
      <w:r>
        <w:rPr>
          <w:rStyle w:val="CharPartNo"/>
        </w:rPr>
        <w:t>Part 2</w:t>
      </w:r>
      <w:r>
        <w:t> — </w:t>
      </w:r>
      <w:r>
        <w:rPr>
          <w:rStyle w:val="CharPartText"/>
        </w:rPr>
        <w:t xml:space="preserve">Regulations applying to jetties within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148"/>
      <w:bookmarkEnd w:id="149"/>
      <w:bookmarkEnd w:id="150"/>
      <w:bookmarkEnd w:id="151"/>
      <w:bookmarkEnd w:id="152"/>
      <w:bookmarkEnd w:id="153"/>
      <w:bookmarkEnd w:id="154"/>
      <w:r>
        <w:rPr>
          <w:rStyle w:val="CharPartText"/>
        </w:rPr>
        <w:t xml:space="preserve"> </w:t>
      </w:r>
    </w:p>
    <w:p>
      <w:pPr>
        <w:pStyle w:val="Footnoteheading"/>
      </w:pPr>
      <w:r>
        <w:tab/>
        <w:t xml:space="preserve">[Heading inserted in Gazette 19 May 1989 p. 1494.] </w:t>
      </w:r>
    </w:p>
    <w:p>
      <w:pPr>
        <w:pStyle w:val="Heading3"/>
        <w:rPr>
          <w:snapToGrid w:val="0"/>
        </w:rPr>
      </w:pPr>
      <w:bookmarkStart w:id="155" w:name="_Toc440457050"/>
      <w:bookmarkStart w:id="156" w:name="_Toc443638743"/>
      <w:bookmarkStart w:id="157" w:name="_Toc447619886"/>
      <w:bookmarkStart w:id="158" w:name="_Toc448479748"/>
      <w:bookmarkStart w:id="159" w:name="_Toc455066688"/>
      <w:bookmarkStart w:id="160" w:name="_Toc455066892"/>
      <w:bookmarkStart w:id="161" w:name="_Toc455151492"/>
      <w:r>
        <w:rPr>
          <w:rStyle w:val="CharDivNo"/>
        </w:rPr>
        <w:t>Division 1</w:t>
      </w:r>
      <w:r>
        <w:rPr>
          <w:snapToGrid w:val="0"/>
        </w:rPr>
        <w:t> — </w:t>
      </w:r>
      <w:r>
        <w:rPr>
          <w:rStyle w:val="CharDivText"/>
        </w:rPr>
        <w:t>Application of this Part</w:t>
      </w:r>
      <w:bookmarkEnd w:id="155"/>
      <w:bookmarkEnd w:id="156"/>
      <w:bookmarkEnd w:id="157"/>
      <w:bookmarkEnd w:id="158"/>
      <w:bookmarkEnd w:id="159"/>
      <w:bookmarkEnd w:id="160"/>
      <w:bookmarkEnd w:id="161"/>
      <w:r>
        <w:rPr>
          <w:rStyle w:val="CharDivText"/>
        </w:rPr>
        <w:t xml:space="preserve"> </w:t>
      </w:r>
    </w:p>
    <w:p>
      <w:pPr>
        <w:pStyle w:val="Footnoteheading"/>
      </w:pPr>
      <w:r>
        <w:tab/>
        <w:t xml:space="preserve">[Heading inserted in Gazette 19 May 1989 p. 1494.] </w:t>
      </w:r>
    </w:p>
    <w:p>
      <w:pPr>
        <w:pStyle w:val="Heading5"/>
        <w:rPr>
          <w:snapToGrid w:val="0"/>
        </w:rPr>
      </w:pPr>
      <w:bookmarkStart w:id="162" w:name="_Toc455151493"/>
      <w:r>
        <w:rPr>
          <w:rStyle w:val="CharSectno"/>
        </w:rPr>
        <w:t>67E</w:t>
      </w:r>
      <w:r>
        <w:rPr>
          <w:snapToGrid w:val="0"/>
        </w:rPr>
        <w:t>.</w:t>
      </w:r>
      <w:r>
        <w:rPr>
          <w:snapToGrid w:val="0"/>
        </w:rPr>
        <w:tab/>
        <w:t>Application</w:t>
      </w:r>
      <w:bookmarkEnd w:id="162"/>
      <w:r>
        <w:rPr>
          <w:snapToGrid w:val="0"/>
        </w:rPr>
        <w:t xml:space="preserve"> </w:t>
      </w:r>
    </w:p>
    <w:p>
      <w:pPr>
        <w:pStyle w:val="Subsection"/>
        <w:rPr>
          <w:snapToGrid w:val="0"/>
        </w:rPr>
      </w:pPr>
      <w:r>
        <w:rPr>
          <w:snapToGrid w:val="0"/>
        </w:rPr>
        <w:tab/>
      </w:r>
      <w:r>
        <w:rPr>
          <w:snapToGrid w:val="0"/>
        </w:rPr>
        <w:tab/>
        <w:t xml:space="preserve">This Part applies to all jetties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w:t>
      </w:r>
    </w:p>
    <w:p>
      <w:pPr>
        <w:pStyle w:val="Footnoteheading"/>
      </w:pPr>
      <w:r>
        <w:tab/>
        <w:t xml:space="preserve">[Regulation 67E inserted in Gazette 19 May 1989 p. 1494.] </w:t>
      </w:r>
    </w:p>
    <w:p>
      <w:pPr>
        <w:pStyle w:val="Heading3"/>
        <w:rPr>
          <w:snapToGrid w:val="0"/>
        </w:rPr>
      </w:pPr>
      <w:bookmarkStart w:id="163" w:name="_Toc440457052"/>
      <w:bookmarkStart w:id="164" w:name="_Toc443638745"/>
      <w:bookmarkStart w:id="165" w:name="_Toc447619888"/>
      <w:bookmarkStart w:id="166" w:name="_Toc448479750"/>
      <w:bookmarkStart w:id="167" w:name="_Toc455066690"/>
      <w:bookmarkStart w:id="168" w:name="_Toc455066894"/>
      <w:bookmarkStart w:id="169" w:name="_Toc455151494"/>
      <w:r>
        <w:rPr>
          <w:rStyle w:val="CharDivNo"/>
        </w:rPr>
        <w:t>Division 2</w:t>
      </w:r>
      <w:r>
        <w:rPr>
          <w:snapToGrid w:val="0"/>
        </w:rPr>
        <w:t> — </w:t>
      </w:r>
      <w:r>
        <w:rPr>
          <w:rStyle w:val="CharDivText"/>
        </w:rPr>
        <w:t>Management and use of jetties</w:t>
      </w:r>
      <w:bookmarkEnd w:id="163"/>
      <w:bookmarkEnd w:id="164"/>
      <w:bookmarkEnd w:id="165"/>
      <w:bookmarkEnd w:id="166"/>
      <w:bookmarkEnd w:id="167"/>
      <w:bookmarkEnd w:id="168"/>
      <w:bookmarkEnd w:id="169"/>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170" w:name="_Toc455151495"/>
      <w:r>
        <w:rPr>
          <w:rStyle w:val="CharSectno"/>
        </w:rPr>
        <w:t>68</w:t>
      </w:r>
      <w:r>
        <w:rPr>
          <w:snapToGrid w:val="0"/>
        </w:rPr>
        <w:t>.</w:t>
      </w:r>
      <w:r>
        <w:rPr>
          <w:snapToGrid w:val="0"/>
        </w:rPr>
        <w:tab/>
        <w:t>Control of jetties</w:t>
      </w:r>
      <w:bookmarkEnd w:id="170"/>
      <w:r>
        <w:rPr>
          <w:snapToGrid w:val="0"/>
        </w:rPr>
        <w:t xml:space="preserve"> </w:t>
      </w:r>
    </w:p>
    <w:p>
      <w:pPr>
        <w:pStyle w:val="Subsection"/>
        <w:rPr>
          <w:snapToGrid w:val="0"/>
        </w:rPr>
      </w:pPr>
      <w:r>
        <w:rPr>
          <w:snapToGrid w:val="0"/>
        </w:rPr>
        <w:tab/>
      </w:r>
      <w:r>
        <w:rPr>
          <w:snapToGrid w:val="0"/>
        </w:rPr>
        <w:tab/>
        <w:t xml:space="preserve">All public jetties in the </w:t>
      </w:r>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r>
        <w:t xml:space="preserve">, except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w:t>
      </w:r>
      <w:r>
        <w:rPr>
          <w:snapToGrid w:val="0"/>
        </w:rPr>
        <w:t>shall henceforth be under the control of the Department.</w:t>
      </w:r>
    </w:p>
    <w:p>
      <w:pPr>
        <w:pStyle w:val="Footnotesection"/>
      </w:pPr>
      <w:r>
        <w:tab/>
        <w:t xml:space="preserve">[Regulation 68 amended in Gazette 19 May 1989 p. 1495; 27 Jun 2003 p. 2502.] </w:t>
      </w:r>
    </w:p>
    <w:p>
      <w:pPr>
        <w:pStyle w:val="Heading5"/>
        <w:rPr>
          <w:snapToGrid w:val="0"/>
        </w:rPr>
      </w:pPr>
      <w:bookmarkStart w:id="171" w:name="_Toc455151496"/>
      <w:r>
        <w:rPr>
          <w:rStyle w:val="CharSectno"/>
        </w:rPr>
        <w:t>69</w:t>
      </w:r>
      <w:r>
        <w:rPr>
          <w:snapToGrid w:val="0"/>
        </w:rPr>
        <w:t>.</w:t>
      </w:r>
      <w:r>
        <w:rPr>
          <w:snapToGrid w:val="0"/>
        </w:rPr>
        <w:tab/>
        <w:t>Use of jetties</w:t>
      </w:r>
      <w:bookmarkEnd w:id="171"/>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keepLines w:val="0"/>
        <w:rPr>
          <w:snapToGrid w:val="0"/>
        </w:rPr>
      </w:pPr>
      <w:bookmarkStart w:id="172" w:name="_Toc455151497"/>
      <w:r>
        <w:rPr>
          <w:rStyle w:val="CharSectno"/>
        </w:rPr>
        <w:t>70</w:t>
      </w:r>
      <w:r>
        <w:rPr>
          <w:snapToGrid w:val="0"/>
        </w:rPr>
        <w:t>.</w:t>
      </w:r>
      <w:r>
        <w:rPr>
          <w:snapToGrid w:val="0"/>
        </w:rPr>
        <w:tab/>
        <w:t>Jetties may be closed</w:t>
      </w:r>
      <w:bookmarkEnd w:id="172"/>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r>
        <w:t>[</w:t>
      </w:r>
      <w:r>
        <w:rPr>
          <w:b/>
        </w:rPr>
        <w:t>70A.</w:t>
      </w:r>
      <w:r>
        <w:tab/>
        <w:t>Deleted in Gazette 27 Jun 2003 p. 2502.]</w:t>
      </w:r>
    </w:p>
    <w:p>
      <w:pPr>
        <w:pStyle w:val="Ednotesection"/>
      </w:pPr>
      <w:r>
        <w:t>[</w:t>
      </w:r>
      <w:r>
        <w:rPr>
          <w:b/>
        </w:rPr>
        <w:t>70B.</w:t>
      </w:r>
      <w:r>
        <w:rPr>
          <w:b/>
        </w:rPr>
        <w:tab/>
      </w:r>
      <w:r>
        <w:t>Deleted in Gazette 25 Jun 2004 p. 2270.]</w:t>
      </w:r>
    </w:p>
    <w:p>
      <w:pPr>
        <w:pStyle w:val="Heading3"/>
        <w:rPr>
          <w:snapToGrid w:val="0"/>
        </w:rPr>
      </w:pPr>
      <w:bookmarkStart w:id="173" w:name="_Toc440457056"/>
      <w:bookmarkStart w:id="174" w:name="_Toc443638749"/>
      <w:bookmarkStart w:id="175" w:name="_Toc447619892"/>
      <w:bookmarkStart w:id="176" w:name="_Toc448479754"/>
      <w:bookmarkStart w:id="177" w:name="_Toc455066694"/>
      <w:bookmarkStart w:id="178" w:name="_Toc455066898"/>
      <w:bookmarkStart w:id="179" w:name="_Toc455151498"/>
      <w:r>
        <w:rPr>
          <w:rStyle w:val="CharDivNo"/>
        </w:rPr>
        <w:t>Division 3</w:t>
      </w:r>
      <w:r>
        <w:rPr>
          <w:snapToGrid w:val="0"/>
        </w:rPr>
        <w:t> — </w:t>
      </w:r>
      <w:r>
        <w:rPr>
          <w:rStyle w:val="CharDivText"/>
        </w:rPr>
        <w:t>Mooring and berthing of vessels</w:t>
      </w:r>
      <w:bookmarkEnd w:id="173"/>
      <w:bookmarkEnd w:id="174"/>
      <w:bookmarkEnd w:id="175"/>
      <w:bookmarkEnd w:id="176"/>
      <w:bookmarkEnd w:id="177"/>
      <w:bookmarkEnd w:id="178"/>
      <w:bookmarkEnd w:id="179"/>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180" w:name="_Toc455151499"/>
      <w:r>
        <w:rPr>
          <w:rStyle w:val="CharSectno"/>
        </w:rPr>
        <w:t>71</w:t>
      </w:r>
      <w:r>
        <w:rPr>
          <w:snapToGrid w:val="0"/>
        </w:rPr>
        <w:t>.</w:t>
      </w:r>
      <w:r>
        <w:rPr>
          <w:snapToGrid w:val="0"/>
        </w:rPr>
        <w:tab/>
        <w:t>Permit required to moor etc. alongside jetty or buoy</w:t>
      </w:r>
      <w:bookmarkEnd w:id="180"/>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181" w:name="_Toc455151500"/>
      <w:r>
        <w:rPr>
          <w:rStyle w:val="CharSectno"/>
        </w:rPr>
        <w:t>72</w:t>
      </w:r>
      <w:r>
        <w:rPr>
          <w:snapToGrid w:val="0"/>
        </w:rPr>
        <w:t>.</w:t>
      </w:r>
      <w:r>
        <w:rPr>
          <w:snapToGrid w:val="0"/>
        </w:rPr>
        <w:tab/>
        <w:t>Duration of, and charges for, permits</w:t>
      </w:r>
      <w:bookmarkEnd w:id="181"/>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w:t>
      </w:r>
      <w:r>
        <w:t xml:space="preserve">charge </w:t>
      </w:r>
      <w:r>
        <w:rPr>
          <w:snapToGrid w:val="0"/>
        </w:rPr>
        <w:t xml:space="preserve">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25 Jul 2014 p. 2612.] </w:t>
      </w:r>
    </w:p>
    <w:p>
      <w:pPr>
        <w:pStyle w:val="Heading5"/>
        <w:rPr>
          <w:snapToGrid w:val="0"/>
        </w:rPr>
      </w:pPr>
      <w:bookmarkStart w:id="182" w:name="_Toc455151501"/>
      <w:r>
        <w:rPr>
          <w:rStyle w:val="CharSectno"/>
        </w:rPr>
        <w:t>73</w:t>
      </w:r>
      <w:r>
        <w:rPr>
          <w:snapToGrid w:val="0"/>
        </w:rPr>
        <w:t>.</w:t>
      </w:r>
      <w:r>
        <w:rPr>
          <w:snapToGrid w:val="0"/>
        </w:rPr>
        <w:tab/>
        <w:t>Permit for exclusive use of berth</w:t>
      </w:r>
      <w:bookmarkEnd w:id="182"/>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w:t>
      </w:r>
    </w:p>
    <w:p>
      <w:pPr>
        <w:pStyle w:val="Heading5"/>
        <w:rPr>
          <w:snapToGrid w:val="0"/>
        </w:rPr>
      </w:pPr>
      <w:bookmarkStart w:id="183" w:name="_Toc455151502"/>
      <w:r>
        <w:rPr>
          <w:rStyle w:val="CharSectno"/>
        </w:rPr>
        <w:t>74</w:t>
      </w:r>
      <w:r>
        <w:rPr>
          <w:snapToGrid w:val="0"/>
        </w:rPr>
        <w:t>.</w:t>
      </w:r>
      <w:r>
        <w:rPr>
          <w:snapToGrid w:val="0"/>
        </w:rPr>
        <w:tab/>
        <w:t>Manner of mooring vessels</w:t>
      </w:r>
      <w:bookmarkEnd w:id="183"/>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184" w:name="_Toc455151503"/>
      <w:r>
        <w:rPr>
          <w:rStyle w:val="CharSectno"/>
        </w:rPr>
        <w:t>75</w:t>
      </w:r>
      <w:r>
        <w:rPr>
          <w:snapToGrid w:val="0"/>
        </w:rPr>
        <w:t>.</w:t>
      </w:r>
      <w:r>
        <w:rPr>
          <w:snapToGrid w:val="0"/>
        </w:rPr>
        <w:tab/>
        <w:t>Vessels not to remain at jetties longer than necessary</w:t>
      </w:r>
      <w:bookmarkEnd w:id="184"/>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185" w:name="_Toc455151504"/>
      <w:r>
        <w:rPr>
          <w:rStyle w:val="CharSectno"/>
        </w:rPr>
        <w:t>76</w:t>
      </w:r>
      <w:r>
        <w:rPr>
          <w:snapToGrid w:val="0"/>
        </w:rPr>
        <w:t>.</w:t>
      </w:r>
      <w:r>
        <w:rPr>
          <w:snapToGrid w:val="0"/>
        </w:rPr>
        <w:tab/>
        <w:t>Mooring of rafts and boathouses</w:t>
      </w:r>
      <w:bookmarkEnd w:id="185"/>
      <w:r>
        <w:rPr>
          <w:snapToGrid w:val="0"/>
        </w:rPr>
        <w:t xml:space="preserve"> </w:t>
      </w:r>
    </w:p>
    <w:p>
      <w:pPr>
        <w:pStyle w:val="Subsection"/>
        <w:rPr>
          <w:snapToGrid w:val="0"/>
        </w:rPr>
      </w:pPr>
      <w:r>
        <w:rPr>
          <w:snapToGrid w:val="0"/>
        </w:rPr>
        <w:tab/>
      </w:r>
      <w:r>
        <w:rPr>
          <w:snapToGrid w:val="0"/>
        </w:rPr>
        <w:tab/>
        <w:t>No raft or boathouse shall be moored within 91 m of any public jetty overnight; nor shall any raft or boathouse be moored in the fairway by day or by night, and any raft or boathouse moored overnight shall burn 2 bright lights from sunset to sunrise, one at each end, and fixed at least 2.4 m above water level.</w:t>
      </w:r>
    </w:p>
    <w:p>
      <w:pPr>
        <w:pStyle w:val="Footnotesection"/>
      </w:pPr>
      <w:r>
        <w:tab/>
        <w:t xml:space="preserve">[Regulation 76 amended in Gazette 15 Jun 1973 p. 2238; 19 May 1989 p. 1495; 24 Aug 2004 p. 3659.] </w:t>
      </w:r>
    </w:p>
    <w:p>
      <w:pPr>
        <w:pStyle w:val="Heading5"/>
        <w:rPr>
          <w:snapToGrid w:val="0"/>
        </w:rPr>
      </w:pPr>
      <w:bookmarkStart w:id="186" w:name="_Toc455151505"/>
      <w:r>
        <w:rPr>
          <w:rStyle w:val="CharSectno"/>
        </w:rPr>
        <w:t>77</w:t>
      </w:r>
      <w:r>
        <w:rPr>
          <w:snapToGrid w:val="0"/>
        </w:rPr>
        <w:t>.</w:t>
      </w:r>
      <w:r>
        <w:rPr>
          <w:snapToGrid w:val="0"/>
        </w:rPr>
        <w:tab/>
        <w:t>Vessels to be in charge of competent person</w:t>
      </w:r>
      <w:bookmarkEnd w:id="186"/>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187" w:name="_Toc455151506"/>
      <w:r>
        <w:rPr>
          <w:rStyle w:val="CharSectno"/>
        </w:rPr>
        <w:t>78</w:t>
      </w:r>
      <w:r>
        <w:rPr>
          <w:snapToGrid w:val="0"/>
        </w:rPr>
        <w:t>.</w:t>
      </w:r>
      <w:r>
        <w:rPr>
          <w:snapToGrid w:val="0"/>
        </w:rPr>
        <w:tab/>
        <w:t>Approaching jetties after sunset</w:t>
      </w:r>
      <w:bookmarkEnd w:id="187"/>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keepLines/>
        <w:rPr>
          <w:snapToGrid w:val="0"/>
        </w:rPr>
      </w:pPr>
      <w:bookmarkStart w:id="188" w:name="_Toc440457065"/>
      <w:bookmarkStart w:id="189" w:name="_Toc443638758"/>
      <w:bookmarkStart w:id="190" w:name="_Toc447619901"/>
      <w:bookmarkStart w:id="191" w:name="_Toc448479763"/>
      <w:bookmarkStart w:id="192" w:name="_Toc455066703"/>
      <w:bookmarkStart w:id="193" w:name="_Toc455066907"/>
      <w:bookmarkStart w:id="194" w:name="_Toc455151507"/>
      <w:r>
        <w:rPr>
          <w:rStyle w:val="CharDivNo"/>
        </w:rPr>
        <w:t>Division 4</w:t>
      </w:r>
      <w:r>
        <w:rPr>
          <w:snapToGrid w:val="0"/>
        </w:rPr>
        <w:t> — </w:t>
      </w:r>
      <w:r>
        <w:rPr>
          <w:rStyle w:val="CharDivText"/>
        </w:rPr>
        <w:t>Loading or discharging cargo</w:t>
      </w:r>
      <w:bookmarkEnd w:id="188"/>
      <w:bookmarkEnd w:id="189"/>
      <w:bookmarkEnd w:id="190"/>
      <w:bookmarkEnd w:id="191"/>
      <w:bookmarkEnd w:id="192"/>
      <w:bookmarkEnd w:id="193"/>
      <w:bookmarkEnd w:id="194"/>
      <w:r>
        <w:rPr>
          <w:rStyle w:val="CharDivText"/>
        </w:rPr>
        <w:t xml:space="preserve"> </w:t>
      </w:r>
    </w:p>
    <w:p>
      <w:pPr>
        <w:pStyle w:val="Footnoteheading"/>
        <w:keepNext/>
        <w:keepLines/>
      </w:pPr>
      <w:r>
        <w:tab/>
        <w:t xml:space="preserve">[Heading inserted in Gazette 19 May 1989 p. 1494.] </w:t>
      </w:r>
    </w:p>
    <w:p>
      <w:pPr>
        <w:pStyle w:val="Ednotesection"/>
        <w:keepNext/>
        <w:keepLines/>
      </w:pPr>
      <w:r>
        <w:t>[</w:t>
      </w:r>
      <w:r>
        <w:rPr>
          <w:b/>
        </w:rPr>
        <w:t>79.</w:t>
      </w:r>
      <w:r>
        <w:tab/>
        <w:t xml:space="preserve">Deleted in Gazette 30 Jun 1992 p. 2893.] </w:t>
      </w:r>
    </w:p>
    <w:p>
      <w:pPr>
        <w:pStyle w:val="Heading5"/>
        <w:rPr>
          <w:snapToGrid w:val="0"/>
        </w:rPr>
      </w:pPr>
      <w:bookmarkStart w:id="195" w:name="_Toc455151508"/>
      <w:r>
        <w:rPr>
          <w:rStyle w:val="CharSectno"/>
        </w:rPr>
        <w:t>80</w:t>
      </w:r>
      <w:r>
        <w:rPr>
          <w:snapToGrid w:val="0"/>
        </w:rPr>
        <w:t>.</w:t>
      </w:r>
      <w:r>
        <w:rPr>
          <w:snapToGrid w:val="0"/>
        </w:rPr>
        <w:tab/>
        <w:t>Vessels loading or discharging</w:t>
      </w:r>
      <w:bookmarkEnd w:id="195"/>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196" w:name="_Toc455151509"/>
      <w:r>
        <w:rPr>
          <w:rStyle w:val="CharSectno"/>
        </w:rPr>
        <w:t>81</w:t>
      </w:r>
      <w:r>
        <w:rPr>
          <w:snapToGrid w:val="0"/>
        </w:rPr>
        <w:t>.</w:t>
      </w:r>
      <w:r>
        <w:rPr>
          <w:snapToGrid w:val="0"/>
        </w:rPr>
        <w:tab/>
        <w:t>Cargo to be removed</w:t>
      </w:r>
      <w:bookmarkEnd w:id="196"/>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197" w:name="_Toc455151510"/>
      <w:r>
        <w:rPr>
          <w:rStyle w:val="CharSectno"/>
        </w:rPr>
        <w:t>82</w:t>
      </w:r>
      <w:r>
        <w:rPr>
          <w:snapToGrid w:val="0"/>
        </w:rPr>
        <w:t>.</w:t>
      </w:r>
      <w:r>
        <w:rPr>
          <w:snapToGrid w:val="0"/>
        </w:rPr>
        <w:tab/>
        <w:t>Cargo not to remain on jetties overnight</w:t>
      </w:r>
      <w:bookmarkEnd w:id="197"/>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198" w:name="_Toc455151511"/>
      <w:r>
        <w:rPr>
          <w:rStyle w:val="CharSectno"/>
        </w:rPr>
        <w:t>83</w:t>
      </w:r>
      <w:r>
        <w:rPr>
          <w:snapToGrid w:val="0"/>
        </w:rPr>
        <w:t>.</w:t>
      </w:r>
      <w:r>
        <w:rPr>
          <w:snapToGrid w:val="0"/>
        </w:rPr>
        <w:tab/>
        <w:t>Explosives not to be handled without permission</w:t>
      </w:r>
      <w:bookmarkEnd w:id="198"/>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199" w:name="_Toc455151512"/>
      <w:r>
        <w:rPr>
          <w:rStyle w:val="CharSectno"/>
        </w:rPr>
        <w:t>84</w:t>
      </w:r>
      <w:r>
        <w:rPr>
          <w:snapToGrid w:val="0"/>
        </w:rPr>
        <w:t>.</w:t>
      </w:r>
      <w:r>
        <w:rPr>
          <w:snapToGrid w:val="0"/>
        </w:rPr>
        <w:tab/>
        <w:t>Manner of handling cargo</w:t>
      </w:r>
      <w:bookmarkEnd w:id="199"/>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200" w:name="_Toc440457071"/>
      <w:bookmarkStart w:id="201" w:name="_Toc443638764"/>
      <w:bookmarkStart w:id="202" w:name="_Toc447619907"/>
      <w:bookmarkStart w:id="203" w:name="_Toc448479769"/>
      <w:bookmarkStart w:id="204" w:name="_Toc455066709"/>
      <w:bookmarkStart w:id="205" w:name="_Toc455066913"/>
      <w:bookmarkStart w:id="206" w:name="_Toc455151513"/>
      <w:r>
        <w:rPr>
          <w:rStyle w:val="CharDivNo"/>
        </w:rPr>
        <w:t>Division 5</w:t>
      </w:r>
      <w:r>
        <w:rPr>
          <w:snapToGrid w:val="0"/>
        </w:rPr>
        <w:t> — </w:t>
      </w:r>
      <w:r>
        <w:rPr>
          <w:rStyle w:val="CharDivText"/>
        </w:rPr>
        <w:t>Navigation of vessels</w:t>
      </w:r>
      <w:bookmarkEnd w:id="200"/>
      <w:bookmarkEnd w:id="201"/>
      <w:bookmarkEnd w:id="202"/>
      <w:bookmarkEnd w:id="203"/>
      <w:bookmarkEnd w:id="204"/>
      <w:bookmarkEnd w:id="205"/>
      <w:bookmarkEnd w:id="206"/>
      <w:r>
        <w:rPr>
          <w:rStyle w:val="CharDivText"/>
        </w:rPr>
        <w:t xml:space="preserve"> </w:t>
      </w:r>
    </w:p>
    <w:p>
      <w:pPr>
        <w:pStyle w:val="Footnoteheading"/>
      </w:pPr>
      <w:r>
        <w:tab/>
        <w:t xml:space="preserve">[Heading inserted in Gazette 19 May 1989 p. 1494.] </w:t>
      </w:r>
    </w:p>
    <w:p>
      <w:pPr>
        <w:pStyle w:val="Heading5"/>
        <w:rPr>
          <w:snapToGrid w:val="0"/>
        </w:rPr>
      </w:pPr>
      <w:bookmarkStart w:id="207" w:name="_Toc455151514"/>
      <w:r>
        <w:rPr>
          <w:rStyle w:val="CharSectno"/>
        </w:rPr>
        <w:t>85</w:t>
      </w:r>
      <w:r>
        <w:rPr>
          <w:snapToGrid w:val="0"/>
        </w:rPr>
        <w:t>.</w:t>
      </w:r>
      <w:r>
        <w:rPr>
          <w:snapToGrid w:val="0"/>
        </w:rPr>
        <w:tab/>
        <w:t>Power vessels approaching jetties</w:t>
      </w:r>
      <w:bookmarkEnd w:id="207"/>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208" w:name="_Toc440457073"/>
      <w:bookmarkStart w:id="209" w:name="_Toc443638766"/>
      <w:bookmarkStart w:id="210" w:name="_Toc447619909"/>
      <w:bookmarkStart w:id="211" w:name="_Toc448479771"/>
      <w:bookmarkStart w:id="212" w:name="_Toc455066711"/>
      <w:bookmarkStart w:id="213" w:name="_Toc455066915"/>
      <w:bookmarkStart w:id="214" w:name="_Toc455151515"/>
      <w:r>
        <w:rPr>
          <w:rStyle w:val="CharDivNo"/>
        </w:rPr>
        <w:t>Division 6</w:t>
      </w:r>
      <w:r>
        <w:rPr>
          <w:snapToGrid w:val="0"/>
        </w:rPr>
        <w:t> — </w:t>
      </w:r>
      <w:r>
        <w:rPr>
          <w:rStyle w:val="CharDivText"/>
        </w:rPr>
        <w:t>Miscellaneous</w:t>
      </w:r>
      <w:bookmarkEnd w:id="208"/>
      <w:bookmarkEnd w:id="209"/>
      <w:bookmarkEnd w:id="210"/>
      <w:bookmarkEnd w:id="211"/>
      <w:bookmarkEnd w:id="212"/>
      <w:bookmarkEnd w:id="213"/>
      <w:bookmarkEnd w:id="214"/>
      <w:r>
        <w:rPr>
          <w:rStyle w:val="CharDivText"/>
        </w:rPr>
        <w:t xml:space="preserve"> </w:t>
      </w:r>
    </w:p>
    <w:p>
      <w:pPr>
        <w:pStyle w:val="Footnoteheading"/>
      </w:pPr>
      <w:r>
        <w:tab/>
        <w:t xml:space="preserve">[Heading inserted in Gazette 19 May 1989 p. 1494.] </w:t>
      </w:r>
    </w:p>
    <w:p>
      <w:pPr>
        <w:pStyle w:val="Heading5"/>
        <w:rPr>
          <w:snapToGrid w:val="0"/>
        </w:rPr>
      </w:pPr>
      <w:bookmarkStart w:id="215" w:name="_Toc455151516"/>
      <w:r>
        <w:rPr>
          <w:rStyle w:val="CharSectno"/>
        </w:rPr>
        <w:t>86</w:t>
      </w:r>
      <w:r>
        <w:rPr>
          <w:snapToGrid w:val="0"/>
        </w:rPr>
        <w:t>.</w:t>
      </w:r>
      <w:r>
        <w:rPr>
          <w:snapToGrid w:val="0"/>
        </w:rPr>
        <w:tab/>
        <w:t>Bathing from jetties</w:t>
      </w:r>
      <w:bookmarkEnd w:id="215"/>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216" w:name="_Toc455151517"/>
      <w:r>
        <w:rPr>
          <w:rStyle w:val="CharSectno"/>
        </w:rPr>
        <w:t>87</w:t>
      </w:r>
      <w:r>
        <w:rPr>
          <w:snapToGrid w:val="0"/>
        </w:rPr>
        <w:t>.</w:t>
      </w:r>
      <w:r>
        <w:rPr>
          <w:snapToGrid w:val="0"/>
        </w:rPr>
        <w:tab/>
        <w:t>Damage to jetties</w:t>
      </w:r>
      <w:bookmarkEnd w:id="216"/>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217" w:name="_Toc455151518"/>
      <w:r>
        <w:rPr>
          <w:rStyle w:val="CharSectno"/>
        </w:rPr>
        <w:t>88</w:t>
      </w:r>
      <w:r>
        <w:rPr>
          <w:snapToGrid w:val="0"/>
        </w:rPr>
        <w:t>.</w:t>
      </w:r>
      <w:r>
        <w:rPr>
          <w:snapToGrid w:val="0"/>
        </w:rPr>
        <w:tab/>
        <w:t>Fishing from certain places prohibited</w:t>
      </w:r>
      <w:bookmarkEnd w:id="217"/>
      <w:r>
        <w:rPr>
          <w:snapToGrid w:val="0"/>
        </w:rPr>
        <w:t xml:space="preserve"> </w:t>
      </w:r>
    </w:p>
    <w:p>
      <w:pPr>
        <w:pStyle w:val="Subsection"/>
        <w:rPr>
          <w:snapToGrid w:val="0"/>
        </w:rPr>
      </w:pPr>
      <w:r>
        <w:rPr>
          <w:snapToGrid w:val="0"/>
        </w:rPr>
        <w:tab/>
      </w:r>
      <w:r>
        <w:rPr>
          <w:snapToGrid w:val="0"/>
        </w:rPr>
        <w:tab/>
        <w:t xml:space="preserve">No person shall fish from any portion of the road bridge over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Fremantle, or from the Canning bridge, or from the bridge or embankment across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w:t>
      </w:r>
      <w:smartTag w:uri="urn:schemas-microsoft-com:office:smarttags" w:element="City">
        <w:r>
          <w:rPr>
            <w:snapToGrid w:val="0"/>
          </w:rPr>
          <w:t>Perth</w:t>
        </w:r>
      </w:smartTag>
      <w:r>
        <w:rPr>
          <w:snapToGrid w:val="0"/>
        </w:rPr>
        <w:t xml:space="preserve">, known as the </w:t>
      </w:r>
      <w:smartTag w:uri="urn:schemas-microsoft-com:office:smarttags" w:element="place">
        <w:smartTag w:uri="urn:schemas-microsoft-com:office:smarttags" w:element="City">
          <w:r>
            <w:rPr>
              <w:snapToGrid w:val="0"/>
            </w:rPr>
            <w:t>Perth</w:t>
          </w:r>
        </w:smartTag>
      </w:smartTag>
      <w:r>
        <w:rPr>
          <w:snapToGrid w:val="0"/>
        </w:rPr>
        <w:t xml:space="preserve"> causeway.</w:t>
      </w:r>
    </w:p>
    <w:p>
      <w:pPr>
        <w:pStyle w:val="Footnotesection"/>
      </w:pPr>
      <w:r>
        <w:tab/>
        <w:t xml:space="preserve">[Regulation 88 amended in Gazette 19 May 1989 p. 1495.] </w:t>
      </w:r>
    </w:p>
    <w:p>
      <w:pPr>
        <w:pStyle w:val="Heading5"/>
        <w:rPr>
          <w:snapToGrid w:val="0"/>
        </w:rPr>
      </w:pPr>
      <w:bookmarkStart w:id="218" w:name="_Toc455151519"/>
      <w:r>
        <w:rPr>
          <w:rStyle w:val="CharSectno"/>
        </w:rPr>
        <w:t>89</w:t>
      </w:r>
      <w:r>
        <w:rPr>
          <w:snapToGrid w:val="0"/>
        </w:rPr>
        <w:t>.</w:t>
      </w:r>
      <w:r>
        <w:rPr>
          <w:snapToGrid w:val="0"/>
        </w:rPr>
        <w:tab/>
        <w:t>Fishing nets on jetties</w:t>
      </w:r>
      <w:bookmarkEnd w:id="218"/>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219" w:name="_Toc455151520"/>
      <w:r>
        <w:rPr>
          <w:rStyle w:val="CharSectno"/>
        </w:rPr>
        <w:t>90</w:t>
      </w:r>
      <w:r>
        <w:rPr>
          <w:snapToGrid w:val="0"/>
        </w:rPr>
        <w:t>.</w:t>
      </w:r>
      <w:r>
        <w:rPr>
          <w:snapToGrid w:val="0"/>
        </w:rPr>
        <w:tab/>
        <w:t>Gangways to be provided</w:t>
      </w:r>
      <w:bookmarkEnd w:id="219"/>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220" w:name="_Toc455151521"/>
      <w:r>
        <w:rPr>
          <w:rStyle w:val="CharSectno"/>
        </w:rPr>
        <w:t>91</w:t>
      </w:r>
      <w:r>
        <w:rPr>
          <w:snapToGrid w:val="0"/>
        </w:rPr>
        <w:t>.</w:t>
      </w:r>
      <w:r>
        <w:rPr>
          <w:snapToGrid w:val="0"/>
        </w:rPr>
        <w:tab/>
        <w:t>Interference with jetties or approaches</w:t>
      </w:r>
      <w:bookmarkEnd w:id="220"/>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221" w:name="_Toc455151522"/>
      <w:r>
        <w:rPr>
          <w:rStyle w:val="CharSectno"/>
        </w:rPr>
        <w:t>92</w:t>
      </w:r>
      <w:r>
        <w:rPr>
          <w:snapToGrid w:val="0"/>
        </w:rPr>
        <w:t>.</w:t>
      </w:r>
      <w:r>
        <w:rPr>
          <w:snapToGrid w:val="0"/>
        </w:rPr>
        <w:tab/>
        <w:t>Lifebuoys on jetties</w:t>
      </w:r>
      <w:bookmarkEnd w:id="221"/>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222" w:name="_Toc455151523"/>
      <w:r>
        <w:rPr>
          <w:rStyle w:val="CharSectno"/>
        </w:rPr>
        <w:t>93</w:t>
      </w:r>
      <w:r>
        <w:rPr>
          <w:snapToGrid w:val="0"/>
        </w:rPr>
        <w:t>.</w:t>
      </w:r>
      <w:r>
        <w:rPr>
          <w:snapToGrid w:val="0"/>
        </w:rPr>
        <w:tab/>
        <w:t>Obstruction of jetties or officers</w:t>
      </w:r>
      <w:bookmarkEnd w:id="222"/>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223" w:name="_Toc455151524"/>
      <w:r>
        <w:rPr>
          <w:rStyle w:val="CharSectno"/>
        </w:rPr>
        <w:t>94</w:t>
      </w:r>
      <w:r>
        <w:rPr>
          <w:snapToGrid w:val="0"/>
        </w:rPr>
        <w:t>.</w:t>
      </w:r>
      <w:r>
        <w:rPr>
          <w:snapToGrid w:val="0"/>
        </w:rPr>
        <w:tab/>
        <w:t>Rubbish not to be thrown in river etc.</w:t>
      </w:r>
      <w:bookmarkEnd w:id="223"/>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224" w:name="_Toc440457083"/>
      <w:bookmarkStart w:id="225" w:name="_Toc443638776"/>
      <w:bookmarkStart w:id="226" w:name="_Toc447619919"/>
      <w:bookmarkStart w:id="227" w:name="_Toc448479781"/>
      <w:bookmarkStart w:id="228" w:name="_Toc455066721"/>
      <w:bookmarkStart w:id="229" w:name="_Toc455066925"/>
      <w:bookmarkStart w:id="230" w:name="_Toc455151525"/>
      <w:r>
        <w:rPr>
          <w:rStyle w:val="CharPartNo"/>
        </w:rPr>
        <w:t>Part 2A</w:t>
      </w:r>
      <w:r>
        <w:rPr>
          <w:rStyle w:val="CharDivNo"/>
        </w:rPr>
        <w:t> </w:t>
      </w:r>
      <w:r>
        <w:t>—</w:t>
      </w:r>
      <w:r>
        <w:rPr>
          <w:rStyle w:val="CharDivText"/>
        </w:rPr>
        <w:t> </w:t>
      </w:r>
      <w:r>
        <w:rPr>
          <w:rStyle w:val="CharPartText"/>
        </w:rPr>
        <w:t xml:space="preserve">Mooring and berthing other than 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224"/>
      <w:bookmarkEnd w:id="225"/>
      <w:bookmarkEnd w:id="226"/>
      <w:bookmarkEnd w:id="227"/>
      <w:bookmarkEnd w:id="228"/>
      <w:bookmarkEnd w:id="229"/>
      <w:bookmarkEnd w:id="230"/>
      <w:r>
        <w:rPr>
          <w:rStyle w:val="CharPartText"/>
        </w:rPr>
        <w:t xml:space="preserve"> </w:t>
      </w:r>
    </w:p>
    <w:p>
      <w:pPr>
        <w:pStyle w:val="Footnoteheading"/>
      </w:pPr>
      <w:r>
        <w:tab/>
        <w:t>[Heading inserted in Gazette 1 Aug 1990 p. 3633</w:t>
      </w:r>
      <w:r>
        <w:noBreakHyphen/>
        <w:t xml:space="preserve">4.] </w:t>
      </w:r>
    </w:p>
    <w:p>
      <w:pPr>
        <w:pStyle w:val="Heading5"/>
      </w:pPr>
      <w:bookmarkStart w:id="231" w:name="_Toc455151526"/>
      <w:r>
        <w:rPr>
          <w:rStyle w:val="CharSectno"/>
        </w:rPr>
        <w:t>94A</w:t>
      </w:r>
      <w:r>
        <w:t>.</w:t>
      </w:r>
      <w:r>
        <w:tab/>
        <w:t>Charges for pen rentals and services</w:t>
      </w:r>
      <w:bookmarkEnd w:id="231"/>
    </w:p>
    <w:p>
      <w:pPr>
        <w:pStyle w:val="Subsection"/>
      </w:pPr>
      <w:r>
        <w:tab/>
      </w:r>
      <w:r>
        <w:tab/>
        <w:t xml:space="preserve">The charges payable for pen rentals and services in particular ports and harbours (other than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are as set out in Schedule 1.</w:t>
      </w:r>
    </w:p>
    <w:p>
      <w:pPr>
        <w:pStyle w:val="Footnotesection"/>
      </w:pPr>
      <w:r>
        <w:tab/>
        <w:t>[Regulation 94A inserted in Gazette 14 Jun 2002 p. 2800; amended in Gazette 24 Jun 2005 p. 2817; 22 Jun 2007 p. 2909; 25 Jul 2014 p. 2612.]</w:t>
      </w:r>
    </w:p>
    <w:p>
      <w:pPr>
        <w:pStyle w:val="Heading5"/>
        <w:rPr>
          <w:snapToGrid w:val="0"/>
        </w:rPr>
      </w:pPr>
      <w:bookmarkStart w:id="232" w:name="_Toc455151527"/>
      <w:r>
        <w:rPr>
          <w:rStyle w:val="CharSectno"/>
        </w:rPr>
        <w:t>94B</w:t>
      </w:r>
      <w:r>
        <w:rPr>
          <w:snapToGrid w:val="0"/>
        </w:rPr>
        <w:t>.</w:t>
      </w:r>
      <w:r>
        <w:rPr>
          <w:snapToGrid w:val="0"/>
        </w:rPr>
        <w:tab/>
        <w:t>Charges for pile mooring</w:t>
      </w:r>
      <w:bookmarkEnd w:id="232"/>
    </w:p>
    <w:p>
      <w:pPr>
        <w:pStyle w:val="Subsection"/>
        <w:rPr>
          <w:snapToGrid w:val="0"/>
        </w:rPr>
      </w:pPr>
      <w:r>
        <w:rPr>
          <w:snapToGrid w:val="0"/>
        </w:rPr>
        <w:tab/>
      </w:r>
      <w:r>
        <w:rPr>
          <w:snapToGrid w:val="0"/>
        </w:rPr>
        <w:tab/>
        <w:t xml:space="preserve">The </w:t>
      </w:r>
      <w:r>
        <w:t xml:space="preserve">charges </w:t>
      </w:r>
      <w:r>
        <w:rPr>
          <w:snapToGrid w:val="0"/>
        </w:rPr>
        <w:t xml:space="preserve">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 xml:space="preserve">4; amended in Gazette 25 Jun 1996 p. 2981; 24 Jun 2005 p. 2817; 22 Jun 2007 p. 2909; 25 Jul 2014 p. 2612.] </w:t>
      </w:r>
    </w:p>
    <w:p>
      <w:pPr>
        <w:pStyle w:val="Heading5"/>
        <w:rPr>
          <w:snapToGrid w:val="0"/>
        </w:rPr>
      </w:pPr>
      <w:bookmarkStart w:id="233" w:name="_Toc455151528"/>
      <w:r>
        <w:rPr>
          <w:rStyle w:val="CharSectno"/>
        </w:rPr>
        <w:t>94C</w:t>
      </w:r>
      <w:r>
        <w:rPr>
          <w:snapToGrid w:val="0"/>
        </w:rPr>
        <w:t>.</w:t>
      </w:r>
      <w:r>
        <w:rPr>
          <w:snapToGrid w:val="0"/>
        </w:rPr>
        <w:tab/>
        <w:t>Dues or charges for berthing or mooring on casual basis</w:t>
      </w:r>
      <w:bookmarkEnd w:id="233"/>
    </w:p>
    <w:p>
      <w:pPr>
        <w:pStyle w:val="Subsection"/>
        <w:rPr>
          <w:snapToGrid w:val="0"/>
        </w:rPr>
      </w:pPr>
      <w:r>
        <w:rPr>
          <w:snapToGrid w:val="0"/>
        </w:rPr>
        <w:tab/>
      </w:r>
      <w:r>
        <w:rPr>
          <w:snapToGrid w:val="0"/>
        </w:rPr>
        <w:tab/>
        <w:t xml:space="preserve">Where no other </w:t>
      </w:r>
      <w:r>
        <w:t xml:space="preserve">due or charge </w:t>
      </w:r>
      <w:r>
        <w:rPr>
          <w:snapToGrid w:val="0"/>
        </w:rPr>
        <w:t xml:space="preserve">is prescribed for berthing or mooring at a wharf or public jetty, the </w:t>
      </w:r>
      <w:r>
        <w:t xml:space="preserve">due or charge </w:t>
      </w:r>
      <w:r>
        <w:rPr>
          <w:snapToGrid w:val="0"/>
        </w:rPr>
        <w:t xml:space="preserve">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25 Jul 2014 p. 2613.] </w:t>
      </w:r>
    </w:p>
    <w:p>
      <w:pPr>
        <w:pStyle w:val="Heading5"/>
      </w:pPr>
      <w:bookmarkStart w:id="234" w:name="_Toc455151529"/>
      <w:r>
        <w:rPr>
          <w:rStyle w:val="CharSectno"/>
        </w:rPr>
        <w:t>94D</w:t>
      </w:r>
      <w:r>
        <w:t>.</w:t>
      </w:r>
      <w:r>
        <w:tab/>
        <w:t>Waiving charges in emergencies</w:t>
      </w:r>
      <w:bookmarkEnd w:id="234"/>
    </w:p>
    <w:p>
      <w:pPr>
        <w:pStyle w:val="Subsection"/>
      </w:pPr>
      <w:r>
        <w:tab/>
      </w:r>
      <w:r>
        <w:tab/>
        <w:t>The chief executive officer of the Department may waive a charge payable under this Division for the use of an alongside berth at a service jetty by a vessel in need of emergency repair.</w:t>
      </w:r>
    </w:p>
    <w:p>
      <w:pPr>
        <w:pStyle w:val="Footnotesection"/>
      </w:pPr>
      <w:r>
        <w:tab/>
        <w:t>[Regulation 94D inserted in Gazette 22 Jun 2007 p. 2910; amended in Gazette 25 Jul 2014 p. 2613.]</w:t>
      </w:r>
    </w:p>
    <w:p>
      <w:pPr>
        <w:pStyle w:val="Heading5"/>
      </w:pPr>
      <w:bookmarkStart w:id="235" w:name="_Toc455151530"/>
      <w:r>
        <w:rPr>
          <w:rStyle w:val="CharSectno"/>
        </w:rPr>
        <w:t>94E</w:t>
      </w:r>
      <w:r>
        <w:t>.</w:t>
      </w:r>
      <w:r>
        <w:tab/>
        <w:t>Controlling short term use</w:t>
      </w:r>
      <w:bookmarkEnd w:id="235"/>
    </w:p>
    <w:p>
      <w:pPr>
        <w:pStyle w:val="Subsection"/>
      </w:pPr>
      <w:r>
        <w:tab/>
      </w:r>
      <w:r>
        <w:tab/>
        <w:t>Where several vessels have applied for short term access to a service wharf or jetty, an officer of the Department may direct that, in particular circumstances, a particular type of vessel, or a specified type of short term use, has precedence.</w:t>
      </w:r>
    </w:p>
    <w:p>
      <w:pPr>
        <w:pStyle w:val="Footnotesection"/>
      </w:pPr>
      <w:r>
        <w:tab/>
        <w:t>[Regulation 94E inserted in Gazette 22 Jul 2015 p. 2954.]</w:t>
      </w:r>
    </w:p>
    <w:p>
      <w:pPr>
        <w:pStyle w:val="Heading2"/>
      </w:pPr>
      <w:bookmarkStart w:id="236" w:name="_Toc440457089"/>
      <w:bookmarkStart w:id="237" w:name="_Toc443638782"/>
      <w:bookmarkStart w:id="238" w:name="_Toc447619925"/>
      <w:bookmarkStart w:id="239" w:name="_Toc448479787"/>
      <w:bookmarkStart w:id="240" w:name="_Toc455066727"/>
      <w:bookmarkStart w:id="241" w:name="_Toc455066931"/>
      <w:bookmarkStart w:id="242" w:name="_Toc455151531"/>
      <w:r>
        <w:rPr>
          <w:rStyle w:val="CharPartNo"/>
        </w:rPr>
        <w:t>Part 3</w:t>
      </w:r>
      <w:r>
        <w:t> — </w:t>
      </w:r>
      <w:r>
        <w:rPr>
          <w:rStyle w:val="CharPartText"/>
        </w:rPr>
        <w:t>Special provisions applying at particular ports</w:t>
      </w:r>
      <w:bookmarkEnd w:id="236"/>
      <w:bookmarkEnd w:id="237"/>
      <w:bookmarkEnd w:id="238"/>
      <w:bookmarkEnd w:id="239"/>
      <w:bookmarkEnd w:id="240"/>
      <w:bookmarkEnd w:id="241"/>
      <w:bookmarkEnd w:id="242"/>
      <w:r>
        <w:rPr>
          <w:rStyle w:val="CharPartText"/>
        </w:rPr>
        <w:t xml:space="preserve"> </w:t>
      </w:r>
    </w:p>
    <w:p>
      <w:pPr>
        <w:pStyle w:val="Footnoteheading"/>
      </w:pPr>
      <w:r>
        <w:tab/>
        <w:t xml:space="preserve">[Heading inserted in Gazette 19 May 1989 p. 1494.] </w:t>
      </w:r>
    </w:p>
    <w:p>
      <w:pPr>
        <w:pStyle w:val="Heading3"/>
        <w:rPr>
          <w:snapToGrid w:val="0"/>
        </w:rPr>
      </w:pPr>
      <w:bookmarkStart w:id="243" w:name="_Toc440457090"/>
      <w:bookmarkStart w:id="244" w:name="_Toc443638783"/>
      <w:bookmarkStart w:id="245" w:name="_Toc447619926"/>
      <w:bookmarkStart w:id="246" w:name="_Toc448479788"/>
      <w:bookmarkStart w:id="247" w:name="_Toc455066728"/>
      <w:bookmarkStart w:id="248" w:name="_Toc455066932"/>
      <w:bookmarkStart w:id="249" w:name="_Toc455151532"/>
      <w:r>
        <w:rPr>
          <w:rStyle w:val="CharDivNo"/>
        </w:rPr>
        <w:t>Division 1</w:t>
      </w:r>
      <w:r>
        <w:rPr>
          <w:snapToGrid w:val="0"/>
        </w:rPr>
        <w:t> — </w:t>
      </w:r>
      <w:r>
        <w:rPr>
          <w:rStyle w:val="CharDivText"/>
        </w:rPr>
        <w:t>Use of slipways</w:t>
      </w:r>
      <w:bookmarkEnd w:id="243"/>
      <w:bookmarkEnd w:id="244"/>
      <w:bookmarkEnd w:id="245"/>
      <w:bookmarkEnd w:id="246"/>
      <w:bookmarkEnd w:id="247"/>
      <w:bookmarkEnd w:id="248"/>
      <w:bookmarkEnd w:id="249"/>
      <w:r>
        <w:rPr>
          <w:rStyle w:val="CharDivText"/>
        </w:rPr>
        <w:t xml:space="preserve"> </w:t>
      </w:r>
    </w:p>
    <w:p>
      <w:pPr>
        <w:pStyle w:val="Footnoteheading"/>
      </w:pPr>
      <w:r>
        <w:tab/>
        <w:t xml:space="preserve">[Heading inserted in Gazette 19 May 1989 p. 1494.] </w:t>
      </w:r>
    </w:p>
    <w:p>
      <w:pPr>
        <w:pStyle w:val="Heading5"/>
      </w:pPr>
      <w:bookmarkStart w:id="250" w:name="_Toc455151533"/>
      <w:r>
        <w:rPr>
          <w:rStyle w:val="CharSectno"/>
        </w:rPr>
        <w:t>95</w:t>
      </w:r>
      <w:r>
        <w:t>.</w:t>
      </w:r>
      <w:r>
        <w:tab/>
        <w:t>Management and control of departmental slipways</w:t>
      </w:r>
      <w:bookmarkEnd w:id="250"/>
    </w:p>
    <w:p>
      <w:pPr>
        <w:pStyle w:val="Subsection"/>
      </w:pPr>
      <w:r>
        <w:tab/>
        <w:t>(1)</w:t>
      </w:r>
      <w:r>
        <w:tab/>
        <w:t>Part 3 Division 1 applies to slipways under the direct control of the Department.</w:t>
      </w:r>
    </w:p>
    <w:p>
      <w:pPr>
        <w:pStyle w:val="Subsection"/>
      </w:pPr>
      <w:r>
        <w:tab/>
        <w:t>(2)</w:t>
      </w:r>
      <w:r>
        <w:tab/>
        <w:t>The officer appointed by the Director General as being in charge of a region in which any slipways under the control of the Department are situated shall have the management and control of those slipways.</w:t>
      </w:r>
    </w:p>
    <w:p>
      <w:pPr>
        <w:pStyle w:val="Footnotesection"/>
      </w:pPr>
      <w:r>
        <w:tab/>
        <w:t>[Regulation 95 inserted in Gazette 20 Jun 2000 p. 3044; amended in Gazette 4 Nov 2014 p. 4204.]</w:t>
      </w:r>
    </w:p>
    <w:p>
      <w:pPr>
        <w:pStyle w:val="Heading5"/>
      </w:pPr>
      <w:bookmarkStart w:id="251" w:name="_Toc455151534"/>
      <w:r>
        <w:rPr>
          <w:rStyle w:val="CharSectno"/>
        </w:rPr>
        <w:t>95A</w:t>
      </w:r>
      <w:r>
        <w:t>.</w:t>
      </w:r>
      <w:r>
        <w:tab/>
        <w:t>Use of slipway</w:t>
      </w:r>
      <w:bookmarkEnd w:id="251"/>
    </w:p>
    <w:p>
      <w:pPr>
        <w:pStyle w:val="Subsection"/>
      </w:pPr>
      <w:r>
        <w:tab/>
        <w:t>(1)</w:t>
      </w:r>
      <w:r>
        <w:tab/>
        <w:t>An owner or master of a vessel wanting to use a slipway may apply to the officer in charge of the region in which the slipway is situated to permit that use.</w:t>
      </w:r>
    </w:p>
    <w:p>
      <w:pPr>
        <w:pStyle w:val="Subsection"/>
      </w:pPr>
      <w:r>
        <w:tab/>
        <w:t>(2)</w:t>
      </w:r>
      <w:r>
        <w:tab/>
        <w:t>The application must be in the form of Schedule 3 Form 3.</w:t>
      </w:r>
    </w:p>
    <w:p>
      <w:pPr>
        <w:pStyle w:val="Footnotesection"/>
      </w:pPr>
      <w:r>
        <w:tab/>
        <w:t>[Regulation 95A inserted in Gazette 4 Nov 2014 p. 4204.]</w:t>
      </w:r>
    </w:p>
    <w:p>
      <w:pPr>
        <w:pStyle w:val="Heading5"/>
        <w:rPr>
          <w:snapToGrid w:val="0"/>
        </w:rPr>
      </w:pPr>
      <w:bookmarkStart w:id="252" w:name="_Toc455151535"/>
      <w:r>
        <w:rPr>
          <w:rStyle w:val="CharSectno"/>
        </w:rPr>
        <w:t>96</w:t>
      </w:r>
      <w:r>
        <w:rPr>
          <w:snapToGrid w:val="0"/>
        </w:rPr>
        <w:t>.</w:t>
      </w:r>
      <w:r>
        <w:rPr>
          <w:snapToGrid w:val="0"/>
        </w:rPr>
        <w:tab/>
        <w:t>Charges for use of slipway</w:t>
      </w:r>
      <w:bookmarkEnd w:id="252"/>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w:t>
      </w:r>
      <w:r>
        <w:t xml:space="preserve">charges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r>
        <w:t xml:space="preserve">officer in charge of the region in which the slipway is situated.  </w:t>
      </w:r>
      <w:r>
        <w:rPr>
          <w:snapToGrid w:val="0"/>
        </w:rPr>
        <w:t>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25 Jul 2014 p. 2613; 4 Nov 2014 p. 4204.] </w:t>
      </w:r>
    </w:p>
    <w:p>
      <w:pPr>
        <w:pStyle w:val="Heading5"/>
        <w:rPr>
          <w:snapToGrid w:val="0"/>
        </w:rPr>
      </w:pPr>
      <w:bookmarkStart w:id="253" w:name="_Toc455151536"/>
      <w:r>
        <w:rPr>
          <w:rStyle w:val="CharSectno"/>
        </w:rPr>
        <w:t>97</w:t>
      </w:r>
      <w:r>
        <w:rPr>
          <w:snapToGrid w:val="0"/>
        </w:rPr>
        <w:t>.</w:t>
      </w:r>
      <w:r>
        <w:rPr>
          <w:snapToGrid w:val="0"/>
        </w:rPr>
        <w:tab/>
        <w:t>Government vessels may take precedence</w:t>
      </w:r>
      <w:bookmarkEnd w:id="253"/>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254" w:name="_Toc455151537"/>
      <w:r>
        <w:rPr>
          <w:rStyle w:val="CharSectno"/>
        </w:rPr>
        <w:t>98</w:t>
      </w:r>
      <w:r>
        <w:rPr>
          <w:snapToGrid w:val="0"/>
        </w:rPr>
        <w:t>.</w:t>
      </w:r>
      <w:r>
        <w:rPr>
          <w:snapToGrid w:val="0"/>
        </w:rPr>
        <w:tab/>
        <w:t>Vessels may forfeit their turn</w:t>
      </w:r>
      <w:bookmarkEnd w:id="254"/>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255" w:name="_Toc455151538"/>
      <w:r>
        <w:rPr>
          <w:rStyle w:val="CharSectno"/>
        </w:rPr>
        <w:t>99</w:t>
      </w:r>
      <w:r>
        <w:rPr>
          <w:snapToGrid w:val="0"/>
        </w:rPr>
        <w:t>.</w:t>
      </w:r>
      <w:r>
        <w:rPr>
          <w:snapToGrid w:val="0"/>
        </w:rPr>
        <w:tab/>
        <w:t>Department will not undertake repairs etc.</w:t>
      </w:r>
      <w:bookmarkEnd w:id="255"/>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256" w:name="_Toc455151539"/>
      <w:r>
        <w:rPr>
          <w:rStyle w:val="CharSectno"/>
        </w:rPr>
        <w:t>100</w:t>
      </w:r>
      <w:r>
        <w:rPr>
          <w:snapToGrid w:val="0"/>
        </w:rPr>
        <w:t>.</w:t>
      </w:r>
      <w:r>
        <w:rPr>
          <w:snapToGrid w:val="0"/>
        </w:rPr>
        <w:tab/>
        <w:t>Department not responsible for damage to vessel when in use of slip</w:t>
      </w:r>
      <w:bookmarkEnd w:id="256"/>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spacing w:before="180"/>
        <w:rPr>
          <w:snapToGrid w:val="0"/>
        </w:rPr>
      </w:pPr>
      <w:bookmarkStart w:id="257" w:name="_Toc455151540"/>
      <w:r>
        <w:rPr>
          <w:rStyle w:val="CharSectno"/>
        </w:rPr>
        <w:t>101</w:t>
      </w:r>
      <w:r>
        <w:rPr>
          <w:snapToGrid w:val="0"/>
        </w:rPr>
        <w:t>.</w:t>
      </w:r>
      <w:r>
        <w:rPr>
          <w:snapToGrid w:val="0"/>
        </w:rPr>
        <w:tab/>
        <w:t>Duties of owner or master using slipway</w:t>
      </w:r>
      <w:bookmarkEnd w:id="257"/>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keep it in a clean and tidy condition to the satisfaction of the</w:t>
      </w:r>
      <w:r>
        <w:t xml:space="preserve"> officer in charge of the region in which the slipway is situated;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4 Nov 2014 p. 4205.] </w:t>
      </w:r>
    </w:p>
    <w:p>
      <w:pPr>
        <w:pStyle w:val="Heading5"/>
        <w:spacing w:before="180"/>
        <w:rPr>
          <w:snapToGrid w:val="0"/>
        </w:rPr>
      </w:pPr>
      <w:bookmarkStart w:id="258" w:name="_Toc455151541"/>
      <w:r>
        <w:rPr>
          <w:rStyle w:val="CharSectno"/>
        </w:rPr>
        <w:t>101A</w:t>
      </w:r>
      <w:r>
        <w:rPr>
          <w:snapToGrid w:val="0"/>
        </w:rPr>
        <w:t>.</w:t>
      </w:r>
      <w:r>
        <w:rPr>
          <w:snapToGrid w:val="0"/>
        </w:rPr>
        <w:tab/>
        <w:t>Slipping of more than one vessel at a time</w:t>
      </w:r>
      <w:bookmarkEnd w:id="258"/>
      <w:r>
        <w:rPr>
          <w:snapToGrid w:val="0"/>
        </w:rPr>
        <w:t xml:space="preserve"> </w:t>
      </w:r>
    </w:p>
    <w:p>
      <w:pPr>
        <w:pStyle w:val="Subsection"/>
        <w:rPr>
          <w:snapToGrid w:val="0"/>
        </w:rPr>
      </w:pPr>
      <w:r>
        <w:rPr>
          <w:snapToGrid w:val="0"/>
        </w:rPr>
        <w:tab/>
      </w:r>
      <w:r>
        <w:rPr>
          <w:snapToGrid w:val="0"/>
        </w:rPr>
        <w:tab/>
        <w:t xml:space="preserve">The </w:t>
      </w:r>
      <w:r>
        <w:t xml:space="preserve">officer in charge of a region </w:t>
      </w:r>
      <w:r>
        <w:rPr>
          <w:snapToGrid w:val="0"/>
        </w:rPr>
        <w:t>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4 Nov 2014 p. 4205.] </w:t>
      </w:r>
    </w:p>
    <w:p>
      <w:pPr>
        <w:pStyle w:val="Heading5"/>
        <w:keepNext w:val="0"/>
        <w:keepLines w:val="0"/>
        <w:spacing w:before="180"/>
        <w:rPr>
          <w:snapToGrid w:val="0"/>
        </w:rPr>
      </w:pPr>
      <w:bookmarkStart w:id="259" w:name="_Toc455151542"/>
      <w:r>
        <w:rPr>
          <w:rStyle w:val="CharSectno"/>
        </w:rPr>
        <w:t>101B</w:t>
      </w:r>
      <w:r>
        <w:rPr>
          <w:snapToGrid w:val="0"/>
        </w:rPr>
        <w:t>.</w:t>
      </w:r>
      <w:r>
        <w:rPr>
          <w:snapToGrid w:val="0"/>
        </w:rPr>
        <w:tab/>
        <w:t>Dispute procedure</w:t>
      </w:r>
      <w:bookmarkEnd w:id="259"/>
      <w:r>
        <w:rPr>
          <w:snapToGrid w:val="0"/>
        </w:rPr>
        <w:t xml:space="preserve"> </w:t>
      </w:r>
    </w:p>
    <w:p>
      <w:pPr>
        <w:pStyle w:val="Subsection"/>
        <w:spacing w:before="120"/>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spacing w:before="180"/>
        <w:ind w:left="890" w:hanging="890"/>
      </w:pPr>
      <w:r>
        <w:t>[</w:t>
      </w:r>
      <w:r>
        <w:rPr>
          <w:b/>
        </w:rPr>
        <w:t>102-105.</w:t>
      </w:r>
      <w:r>
        <w:tab/>
        <w:t>Deleted in Gazette 24 Nov 1972 p. 4488.]</w:t>
      </w:r>
    </w:p>
    <w:p>
      <w:pPr>
        <w:pStyle w:val="Heading3"/>
        <w:rPr>
          <w:snapToGrid w:val="0"/>
        </w:rPr>
      </w:pPr>
      <w:bookmarkStart w:id="260" w:name="_Toc440457101"/>
      <w:bookmarkStart w:id="261" w:name="_Toc443638794"/>
      <w:bookmarkStart w:id="262" w:name="_Toc447619937"/>
      <w:bookmarkStart w:id="263" w:name="_Toc448479799"/>
      <w:bookmarkStart w:id="264" w:name="_Toc455066739"/>
      <w:bookmarkStart w:id="265" w:name="_Toc455066943"/>
      <w:bookmarkStart w:id="266" w:name="_Toc455151543"/>
      <w:r>
        <w:rPr>
          <w:rStyle w:val="CharDivNo"/>
        </w:rPr>
        <w:t>Division 2</w:t>
      </w:r>
      <w:r>
        <w:rPr>
          <w:snapToGrid w:val="0"/>
        </w:rPr>
        <w:t> — </w:t>
      </w:r>
      <w:r>
        <w:rPr>
          <w:rStyle w:val="CharDivText"/>
        </w:rPr>
        <w:t>Use of mooring springs</w:t>
      </w:r>
      <w:bookmarkEnd w:id="260"/>
      <w:bookmarkEnd w:id="261"/>
      <w:bookmarkEnd w:id="262"/>
      <w:bookmarkEnd w:id="263"/>
      <w:bookmarkEnd w:id="264"/>
      <w:bookmarkEnd w:id="265"/>
      <w:bookmarkEnd w:id="266"/>
      <w:r>
        <w:rPr>
          <w:snapToGrid w:val="0"/>
        </w:rPr>
        <w:t xml:space="preserve"> </w:t>
      </w:r>
    </w:p>
    <w:p>
      <w:pPr>
        <w:pStyle w:val="Footnoteheading"/>
      </w:pPr>
      <w:r>
        <w:tab/>
        <w:t xml:space="preserve">[Heading inserted in Gazette 19 May 1989 p. 1494.] </w:t>
      </w:r>
    </w:p>
    <w:p>
      <w:pPr>
        <w:pStyle w:val="Ednotesection"/>
        <w:spacing w:before="180"/>
      </w:pPr>
      <w:r>
        <w:t>[</w:t>
      </w:r>
      <w:r>
        <w:rPr>
          <w:b/>
        </w:rPr>
        <w:t>105A</w:t>
      </w:r>
      <w:r>
        <w:rPr>
          <w:b/>
        </w:rPr>
        <w:noBreakHyphen/>
        <w:t>105E.</w:t>
      </w:r>
      <w:r>
        <w:tab/>
        <w:t>Deleted in Gazette 30 Jun 1995 p. 2700.]</w:t>
      </w:r>
    </w:p>
    <w:p>
      <w:pPr>
        <w:pStyle w:val="Heading5"/>
        <w:spacing w:before="180"/>
        <w:rPr>
          <w:snapToGrid w:val="0"/>
        </w:rPr>
      </w:pPr>
      <w:bookmarkStart w:id="267" w:name="_Toc455151544"/>
      <w:r>
        <w:rPr>
          <w:rStyle w:val="CharSectno"/>
        </w:rPr>
        <w:t>105F</w:t>
      </w:r>
      <w:r>
        <w:rPr>
          <w:snapToGrid w:val="0"/>
        </w:rPr>
        <w:t>.</w:t>
      </w:r>
      <w:r>
        <w:rPr>
          <w:snapToGrid w:val="0"/>
        </w:rPr>
        <w:tab/>
        <w:t>Approaching bollard or jetty to which mooring spring or rope fastened</w:t>
      </w:r>
      <w:bookmarkEnd w:id="267"/>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spacing w:before="180"/>
        <w:ind w:left="890" w:hanging="890"/>
      </w:pPr>
      <w:r>
        <w:t>[</w:t>
      </w:r>
      <w:r>
        <w:rPr>
          <w:b/>
        </w:rPr>
        <w:t>105G, 105H, 105HA, 105HB.</w:t>
      </w:r>
      <w:r>
        <w:tab/>
        <w:t>Deleted in Gazette 30 Jun 1995 p. 2700.]</w:t>
      </w:r>
    </w:p>
    <w:p>
      <w:pPr>
        <w:pStyle w:val="Ednotedivision"/>
        <w:spacing w:before="180"/>
      </w:pPr>
      <w:r>
        <w:t>[Division 3 (r. 105HC) deleted in Gazette 30 Jun 1995 p. 2700.]</w:t>
      </w:r>
    </w:p>
    <w:p>
      <w:pPr>
        <w:pStyle w:val="Heading3"/>
        <w:rPr>
          <w:snapToGrid w:val="0"/>
        </w:rPr>
      </w:pPr>
      <w:bookmarkStart w:id="268" w:name="_Toc440457103"/>
      <w:bookmarkStart w:id="269" w:name="_Toc443638796"/>
      <w:bookmarkStart w:id="270" w:name="_Toc447619939"/>
      <w:bookmarkStart w:id="271" w:name="_Toc448479801"/>
      <w:bookmarkStart w:id="272" w:name="_Toc455066741"/>
      <w:bookmarkStart w:id="273" w:name="_Toc455066945"/>
      <w:bookmarkStart w:id="274" w:name="_Toc455151545"/>
      <w:r>
        <w:rPr>
          <w:rStyle w:val="CharDivNo"/>
        </w:rPr>
        <w:t>Division 4</w:t>
      </w:r>
      <w:r>
        <w:rPr>
          <w:snapToGrid w:val="0"/>
        </w:rPr>
        <w:t> — </w:t>
      </w:r>
      <w:r>
        <w:rPr>
          <w:rStyle w:val="CharDivText"/>
        </w:rPr>
        <w:t>Use of weighbridges at Wyndham</w:t>
      </w:r>
      <w:bookmarkEnd w:id="268"/>
      <w:bookmarkEnd w:id="269"/>
      <w:bookmarkEnd w:id="270"/>
      <w:bookmarkEnd w:id="271"/>
      <w:bookmarkEnd w:id="272"/>
      <w:bookmarkEnd w:id="273"/>
      <w:bookmarkEnd w:id="274"/>
    </w:p>
    <w:p>
      <w:pPr>
        <w:pStyle w:val="Footnoteheading"/>
      </w:pPr>
      <w:r>
        <w:tab/>
        <w:t xml:space="preserve">[Heading inserted in Gazette 19 May 1989 p. 1494; amended in Gazette 20 Jun 2000 p. 3044.] </w:t>
      </w:r>
    </w:p>
    <w:p>
      <w:pPr>
        <w:pStyle w:val="Heading5"/>
        <w:rPr>
          <w:snapToGrid w:val="0"/>
        </w:rPr>
      </w:pPr>
      <w:bookmarkStart w:id="275" w:name="_Toc455151546"/>
      <w:r>
        <w:rPr>
          <w:rStyle w:val="CharSectno"/>
        </w:rPr>
        <w:t>105I</w:t>
      </w:r>
      <w:r>
        <w:rPr>
          <w:snapToGrid w:val="0"/>
        </w:rPr>
        <w:t>.</w:t>
      </w:r>
      <w:r>
        <w:rPr>
          <w:snapToGrid w:val="0"/>
        </w:rPr>
        <w:tab/>
        <w:t>Weighbridge charges</w:t>
      </w:r>
      <w:bookmarkEnd w:id="275"/>
    </w:p>
    <w:p>
      <w:pPr>
        <w:pStyle w:val="Subsection"/>
        <w:rPr>
          <w:snapToGrid w:val="0"/>
        </w:rPr>
      </w:pPr>
      <w:r>
        <w:rPr>
          <w:snapToGrid w:val="0"/>
        </w:rPr>
        <w:tab/>
        <w:t>(1)</w:t>
      </w:r>
      <w:r>
        <w:rPr>
          <w:snapToGrid w:val="0"/>
        </w:rPr>
        <w:tab/>
        <w:t xml:space="preserve">A person making use of the 50 t weighbridges at Wyndham shall pay the </w:t>
      </w:r>
      <w:r>
        <w:t xml:space="preserve">charge </w:t>
      </w:r>
      <w:r>
        <w:rPr>
          <w:snapToGrid w:val="0"/>
        </w:rPr>
        <w:t xml:space="preserve">set out in </w:t>
      </w:r>
      <w:r>
        <w:t>Schedule 1.</w:t>
      </w:r>
    </w:p>
    <w:p>
      <w:pPr>
        <w:pStyle w:val="Subsection"/>
        <w:rPr>
          <w:snapToGrid w:val="0"/>
        </w:rPr>
      </w:pPr>
      <w:r>
        <w:rPr>
          <w:snapToGrid w:val="0"/>
        </w:rPr>
        <w:tab/>
        <w:t>(2)</w:t>
      </w:r>
      <w:r>
        <w:rPr>
          <w:snapToGrid w:val="0"/>
        </w:rPr>
        <w:tab/>
        <w:t xml:space="preserve">A person making use of the weighbridge outside of normal working hours shall pay the wages of the operator, in addition to the </w:t>
      </w:r>
      <w:r>
        <w:t xml:space="preserve">charges </w:t>
      </w:r>
      <w:r>
        <w:rPr>
          <w:snapToGrid w:val="0"/>
        </w:rPr>
        <w:t>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25 Jul 2014 p. 2614.] </w:t>
      </w:r>
    </w:p>
    <w:p>
      <w:pPr>
        <w:pStyle w:val="Ednotedivision"/>
      </w:pPr>
      <w:r>
        <w:t>[Division 5 (r. 105J) deleted in Gazette 30 Jun 1992 p. 2893.]</w:t>
      </w:r>
    </w:p>
    <w:p>
      <w:pPr>
        <w:pStyle w:val="Heading2"/>
      </w:pPr>
      <w:bookmarkStart w:id="276" w:name="_Toc440457105"/>
      <w:bookmarkStart w:id="277" w:name="_Toc443638798"/>
      <w:bookmarkStart w:id="278" w:name="_Toc447619941"/>
      <w:bookmarkStart w:id="279" w:name="_Toc448479803"/>
      <w:bookmarkStart w:id="280" w:name="_Toc455066743"/>
      <w:bookmarkStart w:id="281" w:name="_Toc455066947"/>
      <w:bookmarkStart w:id="282" w:name="_Toc455151547"/>
      <w:r>
        <w:rPr>
          <w:rStyle w:val="CharPartNo"/>
        </w:rPr>
        <w:t>Part 4</w:t>
      </w:r>
      <w:r>
        <w:rPr>
          <w:rStyle w:val="CharDivNo"/>
        </w:rPr>
        <w:t> </w:t>
      </w:r>
      <w:r>
        <w:t>—</w:t>
      </w:r>
      <w:r>
        <w:rPr>
          <w:rStyle w:val="CharDivText"/>
        </w:rPr>
        <w:t> </w:t>
      </w:r>
      <w:r>
        <w:rPr>
          <w:rStyle w:val="CharPartText"/>
        </w:rPr>
        <w:t>Breach of regulations and penalties</w:t>
      </w:r>
      <w:bookmarkEnd w:id="276"/>
      <w:bookmarkEnd w:id="277"/>
      <w:bookmarkEnd w:id="278"/>
      <w:bookmarkEnd w:id="279"/>
      <w:bookmarkEnd w:id="280"/>
      <w:bookmarkEnd w:id="281"/>
      <w:bookmarkEnd w:id="282"/>
    </w:p>
    <w:p>
      <w:pPr>
        <w:pStyle w:val="Footnoteheading"/>
      </w:pPr>
      <w:r>
        <w:tab/>
        <w:t xml:space="preserve">[Heading inserted in Gazette 19 May 1989 p. 1494.] </w:t>
      </w:r>
    </w:p>
    <w:p>
      <w:pPr>
        <w:pStyle w:val="Heading5"/>
        <w:rPr>
          <w:snapToGrid w:val="0"/>
        </w:rPr>
      </w:pPr>
      <w:bookmarkStart w:id="283" w:name="_Toc455151548"/>
      <w:r>
        <w:rPr>
          <w:rStyle w:val="CharSectno"/>
        </w:rPr>
        <w:t>106</w:t>
      </w:r>
      <w:r>
        <w:rPr>
          <w:snapToGrid w:val="0"/>
        </w:rPr>
        <w:t>.</w:t>
      </w:r>
      <w:r>
        <w:rPr>
          <w:snapToGrid w:val="0"/>
        </w:rPr>
        <w:tab/>
        <w:t>Powers of officer of Department</w:t>
      </w:r>
      <w:bookmarkEnd w:id="283"/>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284" w:name="_Toc455151549"/>
      <w:r>
        <w:rPr>
          <w:rStyle w:val="CharSectno"/>
        </w:rPr>
        <w:t>107</w:t>
      </w:r>
      <w:r>
        <w:rPr>
          <w:snapToGrid w:val="0"/>
        </w:rPr>
        <w:t>.</w:t>
      </w:r>
      <w:r>
        <w:rPr>
          <w:snapToGrid w:val="0"/>
        </w:rPr>
        <w:tab/>
        <w:t>Recovery of expenses incurred by breaches of regulations</w:t>
      </w:r>
      <w:bookmarkEnd w:id="284"/>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285" w:name="_Toc455151550"/>
      <w:r>
        <w:rPr>
          <w:rStyle w:val="CharSectno"/>
        </w:rPr>
        <w:t>107A</w:t>
      </w:r>
      <w:r>
        <w:rPr>
          <w:snapToGrid w:val="0"/>
        </w:rPr>
        <w:t>.</w:t>
      </w:r>
      <w:r>
        <w:rPr>
          <w:snapToGrid w:val="0"/>
        </w:rPr>
        <w:tab/>
        <w:t>Police have authority to enforce regulations</w:t>
      </w:r>
      <w:bookmarkEnd w:id="285"/>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286" w:name="_Toc455151551"/>
      <w:r>
        <w:rPr>
          <w:rStyle w:val="CharSectno"/>
        </w:rPr>
        <w:t>108</w:t>
      </w:r>
      <w:r>
        <w:rPr>
          <w:snapToGrid w:val="0"/>
        </w:rPr>
        <w:t>.</w:t>
      </w:r>
      <w:r>
        <w:rPr>
          <w:snapToGrid w:val="0"/>
        </w:rPr>
        <w:tab/>
        <w:t>Penalty for offences</w:t>
      </w:r>
      <w:bookmarkEnd w:id="286"/>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by Act No. 113 of 1965 s. 8(1); amended in Gazette 17 Sep 1976 p. 3463; 19 May 1989 p. 1496.] </w:t>
      </w:r>
    </w:p>
    <w:p>
      <w:pPr>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287" w:name="_Toc440457110"/>
      <w:bookmarkStart w:id="288" w:name="_Toc443638803"/>
      <w:bookmarkStart w:id="289" w:name="_Toc447619946"/>
      <w:bookmarkStart w:id="290" w:name="_Toc448479808"/>
      <w:bookmarkStart w:id="291" w:name="_Toc455066748"/>
      <w:bookmarkStart w:id="292" w:name="_Toc455066952"/>
      <w:bookmarkStart w:id="293" w:name="_Toc455151552"/>
      <w:r>
        <w:rPr>
          <w:rStyle w:val="CharSchNo"/>
        </w:rPr>
        <w:t>Schedule 1</w:t>
      </w:r>
      <w:r>
        <w:t> — </w:t>
      </w:r>
      <w:r>
        <w:rPr>
          <w:rStyle w:val="CharSchText"/>
        </w:rPr>
        <w:t>Dues and charges generally</w:t>
      </w:r>
      <w:bookmarkEnd w:id="287"/>
      <w:bookmarkEnd w:id="288"/>
      <w:bookmarkEnd w:id="289"/>
      <w:bookmarkEnd w:id="290"/>
      <w:bookmarkEnd w:id="291"/>
      <w:bookmarkEnd w:id="292"/>
      <w:bookmarkEnd w:id="293"/>
    </w:p>
    <w:p>
      <w:pPr>
        <w:pStyle w:val="yShoulderClause"/>
      </w:pPr>
      <w:r>
        <w:t>[r. 6, 10A, 11, 25, 42A, 53A, 94A, 94B, 94C, 96 and 105I]</w:t>
      </w:r>
    </w:p>
    <w:p>
      <w:pPr>
        <w:pStyle w:val="yFootnoteheading"/>
      </w:pPr>
      <w:r>
        <w:tab/>
        <w:t>[Heading inserted in Gazette 22 Jul 2015 p. 2954.]</w:t>
      </w:r>
    </w:p>
    <w:p>
      <w:pPr>
        <w:pStyle w:val="yHeading3"/>
        <w:rPr>
          <w:b w:val="0"/>
        </w:rPr>
      </w:pPr>
      <w:bookmarkStart w:id="294" w:name="_Toc440457111"/>
      <w:bookmarkStart w:id="295" w:name="_Toc443638804"/>
      <w:bookmarkStart w:id="296" w:name="_Toc447619947"/>
      <w:bookmarkStart w:id="297" w:name="_Toc448479809"/>
      <w:bookmarkStart w:id="298" w:name="_Toc455066749"/>
      <w:bookmarkStart w:id="299" w:name="_Toc455066953"/>
      <w:bookmarkStart w:id="300" w:name="_Toc455151553"/>
      <w:r>
        <w:rPr>
          <w:rStyle w:val="CharSDivNo"/>
        </w:rPr>
        <w:t>Division 1A</w:t>
      </w:r>
      <w:r>
        <w:rPr>
          <w:b w:val="0"/>
        </w:rPr>
        <w:t> — </w:t>
      </w:r>
      <w:r>
        <w:rPr>
          <w:rStyle w:val="CharSDivText"/>
        </w:rPr>
        <w:t>Standard rates</w:t>
      </w:r>
      <w:bookmarkEnd w:id="294"/>
      <w:bookmarkEnd w:id="295"/>
      <w:bookmarkEnd w:id="296"/>
      <w:bookmarkEnd w:id="297"/>
      <w:bookmarkEnd w:id="298"/>
      <w:bookmarkEnd w:id="299"/>
      <w:bookmarkEnd w:id="300"/>
    </w:p>
    <w:p>
      <w:pPr>
        <w:pStyle w:val="yFootnoteheading"/>
        <w:rPr>
          <w:rStyle w:val="CharSDivNo"/>
        </w:rPr>
      </w:pPr>
      <w:r>
        <w:tab/>
        <w:t>[Heading inserted in Gazette 22 Jul 2015 p. 2954.]</w:t>
      </w:r>
    </w:p>
    <w:p>
      <w:pPr>
        <w:pStyle w:val="yHeading5"/>
      </w:pPr>
      <w:bookmarkStart w:id="301" w:name="_Toc455151554"/>
      <w:r>
        <w:rPr>
          <w:rStyle w:val="CharSClsNo"/>
        </w:rPr>
        <w:t>1A</w:t>
      </w:r>
      <w:r>
        <w:t>.</w:t>
      </w:r>
      <w:r>
        <w:tab/>
        <w:t>Standard rates for this Schedule</w:t>
      </w:r>
      <w:bookmarkEnd w:id="301"/>
    </w:p>
    <w:p>
      <w:pPr>
        <w:pStyle w:val="ySubsection"/>
      </w:pPr>
      <w:r>
        <w:tab/>
      </w:r>
      <w:r>
        <w:tab/>
        <w:t xml:space="preserve">In this Schedule, the following rates are standard rates — </w:t>
      </w:r>
    </w:p>
    <w:p>
      <w:pPr>
        <w:pStyle w:val="ySubsection"/>
        <w:rPr>
          <w:b/>
        </w:rPr>
      </w:pPr>
      <w:r>
        <w:rPr>
          <w:b/>
        </w:rPr>
        <w:tab/>
      </w:r>
      <w:r>
        <w:rPr>
          <w:b/>
        </w:rPr>
        <w:tab/>
        <w:t xml:space="preserve">Rate 1: a casual daily rate of </w:t>
      </w:r>
      <w:r>
        <w:rPr>
          <w:b/>
          <w:szCs w:val="22"/>
        </w:rPr>
        <w:t>$7.30</w:t>
      </w:r>
      <w:r>
        <w:rPr>
          <w:b/>
        </w:rPr>
        <w:t xml:space="preserve"> per metre of the vessel’s length</w:t>
      </w:r>
    </w:p>
    <w:p>
      <w:pPr>
        <w:pStyle w:val="ySubsection"/>
      </w:pPr>
      <w:r>
        <w:tab/>
      </w:r>
      <w:r>
        <w:tab/>
        <w:t>Typically used to calculate the standard daily rate for casual use of a pen or alongside berth (whether or not the alongside berth is on a service wharf or jetty) for a commercial vessel.</w:t>
      </w:r>
    </w:p>
    <w:p>
      <w:pPr>
        <w:pStyle w:val="ySubsection"/>
        <w:rPr>
          <w:b/>
        </w:rPr>
      </w:pPr>
      <w:r>
        <w:rPr>
          <w:b/>
        </w:rPr>
        <w:tab/>
      </w:r>
      <w:r>
        <w:rPr>
          <w:b/>
        </w:rPr>
        <w:tab/>
        <w:t xml:space="preserve">Rate 2: a casual daily rate of </w:t>
      </w:r>
      <w:r>
        <w:rPr>
          <w:b/>
          <w:szCs w:val="22"/>
        </w:rPr>
        <w:t>$51.15</w:t>
      </w:r>
    </w:p>
    <w:p>
      <w:pPr>
        <w:pStyle w:val="ySubsection"/>
      </w:pPr>
      <w:r>
        <w:tab/>
      </w:r>
      <w:r>
        <w:tab/>
        <w:t>Typically used to calculate the standard daily rate for casual use of a pen or alongside berth for a recreational vessel.</w:t>
      </w:r>
    </w:p>
    <w:p>
      <w:pPr>
        <w:pStyle w:val="ySubsection"/>
        <w:rPr>
          <w:b/>
        </w:rPr>
      </w:pPr>
      <w:r>
        <w:rPr>
          <w:b/>
        </w:rPr>
        <w:tab/>
      </w:r>
      <w:r>
        <w:rPr>
          <w:b/>
        </w:rPr>
        <w:tab/>
        <w:t xml:space="preserve">Rate 3: an annual rate of </w:t>
      </w:r>
      <w:r>
        <w:rPr>
          <w:b/>
          <w:szCs w:val="22"/>
        </w:rPr>
        <w:t>$82.00</w:t>
      </w:r>
      <w:r>
        <w:rPr>
          <w:b/>
        </w:rPr>
        <w:t xml:space="preserve"> per metre of the vessel’s length</w:t>
      </w:r>
    </w:p>
    <w:p>
      <w:pPr>
        <w:pStyle w:val="ySubsection"/>
      </w:pPr>
      <w:r>
        <w:tab/>
      </w:r>
      <w:r>
        <w:tab/>
        <w:t>Typically used to calculate the standard annual rate for short term use of a service wharf or jetty for a vessel (other than service vessels at certain places).</w:t>
      </w:r>
    </w:p>
    <w:p>
      <w:pPr>
        <w:pStyle w:val="yFootnotesection"/>
      </w:pPr>
      <w:r>
        <w:tab/>
        <w:t>[Clause 1A inserted in Gazette 22 Jul 2015 p. 2954</w:t>
      </w:r>
      <w:r>
        <w:noBreakHyphen/>
        <w:t>5; amended in Gazette 15 Apr 2016 p. 1173.]</w:t>
      </w:r>
    </w:p>
    <w:p>
      <w:pPr>
        <w:pStyle w:val="yHeading5"/>
      </w:pPr>
      <w:bookmarkStart w:id="302" w:name="_Toc455151555"/>
      <w:r>
        <w:rPr>
          <w:rStyle w:val="CharSClsNo"/>
        </w:rPr>
        <w:t>1B</w:t>
      </w:r>
      <w:r>
        <w:t>.</w:t>
      </w:r>
      <w:r>
        <w:tab/>
        <w:t>Transferability of annual payments</w:t>
      </w:r>
      <w:bookmarkEnd w:id="302"/>
    </w:p>
    <w:p>
      <w:pPr>
        <w:pStyle w:val="ySubsection"/>
      </w:pPr>
      <w:r>
        <w:tab/>
        <w:t>(1)</w:t>
      </w:r>
      <w:r>
        <w:tab/>
        <w:t>A vessel for which there has been paid an annual amount for short term use of a service wharf or jetty at one of the specified places in a Schedule, may use the service wharf or jetty for up to an hour in a day at any of the other specified places.</w:t>
      </w:r>
    </w:p>
    <w:p>
      <w:pPr>
        <w:pStyle w:val="ySubsection"/>
      </w:pPr>
      <w:r>
        <w:tab/>
        <w:t>(2)</w:t>
      </w:r>
      <w:r>
        <w:tab/>
        <w:t>A vessel for which there has been paid an amount to the Department for annual use of a pen, alongside berth or mooring at a specified place in a Schedule, may use the service wharf or jetty for up to an hour in a day at any of the other specified places.</w:t>
      </w:r>
    </w:p>
    <w:p>
      <w:pPr>
        <w:pStyle w:val="yFootnotesection"/>
      </w:pPr>
      <w:r>
        <w:tab/>
        <w:t>[Clause 1B inserted in Gazette 22 Jul 2015 p. 2955.]</w:t>
      </w:r>
    </w:p>
    <w:p>
      <w:pPr>
        <w:pStyle w:val="yHeading5"/>
      </w:pPr>
      <w:bookmarkStart w:id="303" w:name="_Toc455151556"/>
      <w:r>
        <w:rPr>
          <w:rStyle w:val="CharSClsNo"/>
        </w:rPr>
        <w:t>1C</w:t>
      </w:r>
      <w:r>
        <w:t>.</w:t>
      </w:r>
      <w:r>
        <w:tab/>
        <w:t>Service wharf or jetty entitlements</w:t>
      </w:r>
      <w:bookmarkEnd w:id="303"/>
    </w:p>
    <w:p>
      <w:pPr>
        <w:pStyle w:val="ySubsection"/>
        <w:spacing w:before="180"/>
      </w:pPr>
      <w:r>
        <w:tab/>
      </w:r>
      <w:r>
        <w:tab/>
        <w:t>A vessel for which there has been paid an amount to the Department for use of a pen, alongside berth or mooring at a specified place in a Schedule may have access to the service wharf or jetty for up to an hour in a day for the duration of that stay at that specified place.</w:t>
      </w:r>
    </w:p>
    <w:p>
      <w:pPr>
        <w:pStyle w:val="yFootnotesection"/>
      </w:pPr>
      <w:r>
        <w:tab/>
        <w:t>[Clause 1C inserted in Gazette 22 Jul 2015 p. 2955.]</w:t>
      </w:r>
    </w:p>
    <w:p>
      <w:pPr>
        <w:pStyle w:val="yHeading5"/>
      </w:pPr>
      <w:bookmarkStart w:id="304" w:name="_Toc455151557"/>
      <w:bookmarkStart w:id="305" w:name="_Toc440457115"/>
      <w:bookmarkStart w:id="306" w:name="_Toc443638808"/>
      <w:r>
        <w:rPr>
          <w:rStyle w:val="CharSClsNo"/>
        </w:rPr>
        <w:t>1D</w:t>
      </w:r>
      <w:r>
        <w:t>.</w:t>
      </w:r>
      <w:r>
        <w:tab/>
        <w:t>Active loading and unloading</w:t>
      </w:r>
      <w:bookmarkEnd w:id="304"/>
    </w:p>
    <w:p>
      <w:pPr>
        <w:pStyle w:val="ySubsection"/>
      </w:pPr>
      <w:r>
        <w:tab/>
      </w:r>
      <w:r>
        <w:tab/>
        <w:t xml:space="preserve">A fishing vessel for which there has been paid an amount in accordance with clause 1B or 1C may remain at a service wharf or jetty for longer than the one hour allowed under those clauses,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1D inserted in Gazette 5 Apr 2016 p. 1022.]</w:t>
      </w:r>
    </w:p>
    <w:p>
      <w:pPr>
        <w:pStyle w:val="yHeading5"/>
      </w:pPr>
      <w:bookmarkStart w:id="307" w:name="_Toc455151558"/>
      <w:r>
        <w:rPr>
          <w:rStyle w:val="CharSClsNo"/>
        </w:rPr>
        <w:t>1E</w:t>
      </w:r>
      <w:r>
        <w:t>.</w:t>
      </w:r>
      <w:r>
        <w:tab/>
        <w:t>Wyndham excluded</w:t>
      </w:r>
      <w:bookmarkEnd w:id="307"/>
    </w:p>
    <w:p>
      <w:pPr>
        <w:pStyle w:val="ySubsection"/>
      </w:pPr>
      <w:r>
        <w:tab/>
      </w:r>
      <w:r>
        <w:tab/>
        <w:t>Clauses 1A, 1B, 1C and 1D do not apply to a vessel in the Port of Wyndham.</w:t>
      </w:r>
    </w:p>
    <w:p>
      <w:pPr>
        <w:pStyle w:val="yFootnotesection"/>
      </w:pPr>
      <w:r>
        <w:tab/>
        <w:t>[Clause 1E inserted in Gazette 5 Apr 2016 p. 1022.]</w:t>
      </w:r>
    </w:p>
    <w:p>
      <w:pPr>
        <w:pStyle w:val="yHeading3"/>
      </w:pPr>
      <w:bookmarkStart w:id="308" w:name="_Toc447619953"/>
      <w:bookmarkStart w:id="309" w:name="_Toc448479815"/>
      <w:bookmarkStart w:id="310" w:name="_Toc455066755"/>
      <w:bookmarkStart w:id="311" w:name="_Toc455066959"/>
      <w:bookmarkStart w:id="312" w:name="_Toc455151559"/>
      <w:r>
        <w:rPr>
          <w:rStyle w:val="CharSDivNo"/>
        </w:rPr>
        <w:t>Division 1</w:t>
      </w:r>
      <w:r>
        <w:rPr>
          <w:b w:val="0"/>
        </w:rPr>
        <w:t> — </w:t>
      </w:r>
      <w:r>
        <w:rPr>
          <w:rStyle w:val="CharSDivText"/>
        </w:rPr>
        <w:t>Specified places</w:t>
      </w:r>
      <w:bookmarkEnd w:id="305"/>
      <w:bookmarkEnd w:id="306"/>
      <w:bookmarkEnd w:id="308"/>
      <w:bookmarkEnd w:id="309"/>
      <w:bookmarkEnd w:id="310"/>
      <w:bookmarkEnd w:id="311"/>
      <w:bookmarkEnd w:id="312"/>
    </w:p>
    <w:p>
      <w:pPr>
        <w:pStyle w:val="yFootnoteheading"/>
      </w:pPr>
      <w:r>
        <w:tab/>
        <w:t>[Heading inserted in Gazette 22 Jul 2015 p. 2955.]</w:t>
      </w:r>
    </w:p>
    <w:p>
      <w:pPr>
        <w:pStyle w:val="yHeading5"/>
        <w:spacing w:before="240"/>
      </w:pPr>
      <w:bookmarkStart w:id="313" w:name="_Toc455151560"/>
      <w:r>
        <w:rPr>
          <w:rStyle w:val="CharSClsNo"/>
        </w:rPr>
        <w:t>1</w:t>
      </w:r>
      <w:r>
        <w:t>.</w:t>
      </w:r>
      <w:r>
        <w:tab/>
      </w:r>
      <w:smartTag w:uri="urn:schemas-microsoft-com:office:smarttags" w:element="City">
        <w:r>
          <w:t>Albany</w:t>
        </w:r>
      </w:smartTag>
      <w:r>
        <w:t xml:space="preserve">, </w:t>
      </w:r>
      <w:smartTag w:uri="urn:schemas-microsoft-com:office:smarttags" w:element="City">
        <w:r>
          <w:t>Albany</w:t>
        </w:r>
      </w:smartTag>
      <w:r>
        <w:t xml:space="preserve"> Waterfront </w:t>
      </w:r>
      <w:smartTag w:uri="urn:schemas-microsoft-com:office:smarttags" w:element="place">
        <w:smartTag w:uri="urn:schemas-microsoft-com:office:smarttags" w:element="City">
          <w:r>
            <w:t>Marina</w:t>
          </w:r>
        </w:smartTag>
      </w:smartTag>
      <w:bookmarkEnd w:id="313"/>
    </w:p>
    <w:p>
      <w:pPr>
        <w:pStyle w:val="ySubsection"/>
        <w:spacing w:before="180"/>
      </w:pPr>
      <w:r>
        <w:tab/>
        <w:t>(1)</w:t>
      </w:r>
      <w:r>
        <w:tab/>
        <w:t xml:space="preserve">This clause applies to the Albany Waterfront Marina at </w:t>
      </w:r>
      <w:smartTag w:uri="urn:schemas-microsoft-com:office:smarttags" w:element="place">
        <w:smartTag w:uri="urn:schemas-microsoft-com:office:smarttags" w:element="City">
          <w:r>
            <w:t>Albany</w:t>
          </w:r>
        </w:smartTag>
      </w:smartTag>
      <w:r>
        <w:t>.</w:t>
      </w:r>
    </w:p>
    <w:p>
      <w:pPr>
        <w:pStyle w:val="ySubsection"/>
        <w:spacing w:before="180"/>
      </w:pPr>
      <w:r>
        <w:tab/>
        <w:t>(2)</w:t>
      </w:r>
      <w:r>
        <w:tab/>
        <w:t>The dues and charges to be paid under these regulations are set out in Table 1.1.</w:t>
      </w:r>
    </w:p>
    <w:p>
      <w:pPr>
        <w:pStyle w:val="yTHeadingNAm"/>
        <w:spacing w:before="180" w:after="80"/>
      </w:pPr>
      <w:r>
        <w:t>Table 1.1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Borders>
              <w:top w:val="single" w:sz="4" w:space="0" w:color="auto"/>
            </w:tcBorders>
          </w:tcPr>
          <w:p>
            <w:pPr>
              <w:pStyle w:val="yTableNAm"/>
            </w:pPr>
            <w:r>
              <w:t>1.</w:t>
            </w:r>
          </w:p>
        </w:tc>
        <w:tc>
          <w:tcPr>
            <w:tcW w:w="4146" w:type="dxa"/>
            <w:tcBorders>
              <w:top w:val="single" w:sz="4" w:space="0" w:color="auto"/>
            </w:tcBorders>
          </w:tcPr>
          <w:p>
            <w:pPr>
              <w:pStyle w:val="yTableNAm"/>
            </w:pPr>
            <w:r>
              <w:t>For the use, other than casual daily use, of a pen, an amount calculated per metre of the pen’s length using the annual rate of</w:t>
            </w:r>
          </w:p>
        </w:tc>
        <w:tc>
          <w:tcPr>
            <w:tcW w:w="1276" w:type="dxa"/>
            <w:tcBorders>
              <w:top w:val="single" w:sz="4" w:space="0" w:color="auto"/>
            </w:tcBorders>
          </w:tcPr>
          <w:p>
            <w:pPr>
              <w:pStyle w:val="yTableNAm"/>
              <w:jc w:val="center"/>
            </w:pPr>
            <w:r>
              <w:br/>
            </w:r>
            <w:r>
              <w:br/>
            </w:r>
            <w:r>
              <w:rPr>
                <w:szCs w:val="22"/>
              </w:rPr>
              <w:t>418.00</w:t>
            </w:r>
          </w:p>
        </w:tc>
      </w:tr>
      <w:tr>
        <w:trPr>
          <w:cantSplit/>
        </w:trPr>
        <w:tc>
          <w:tcPr>
            <w:tcW w:w="714" w:type="dxa"/>
          </w:tcPr>
          <w:p>
            <w:pPr>
              <w:pStyle w:val="yTableNAm"/>
            </w:pPr>
            <w:r>
              <w:t>2.</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418.00</w:t>
            </w:r>
          </w:p>
        </w:tc>
      </w:tr>
      <w:tr>
        <w:trPr>
          <w:cantSplit/>
        </w:trPr>
        <w:tc>
          <w:tcPr>
            <w:tcW w:w="714"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r>
              <w:br/>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keepNext/>
            </w:pPr>
            <w:r>
              <w:t>4.</w:t>
            </w:r>
          </w:p>
        </w:tc>
        <w:tc>
          <w:tcPr>
            <w:tcW w:w="4146" w:type="dxa"/>
            <w:tcBorders>
              <w:bottom w:val="single" w:sz="4" w:space="0" w:color="auto"/>
            </w:tcBorders>
          </w:tcPr>
          <w:p>
            <w:pPr>
              <w:pStyle w:val="yTableNAm"/>
              <w:keepNext/>
            </w:pPr>
            <w:r>
              <w:t>For the short term use of a service jetty by a vessel, an amount calculated using standard Rate 3</w:t>
            </w:r>
          </w:p>
        </w:tc>
        <w:tc>
          <w:tcPr>
            <w:tcW w:w="1276" w:type="dxa"/>
            <w:tcBorders>
              <w:bottom w:val="single" w:sz="4" w:space="0" w:color="auto"/>
            </w:tcBorders>
          </w:tcPr>
          <w:p>
            <w:pPr>
              <w:pStyle w:val="yTableNAm"/>
              <w:keepNext/>
              <w:jc w:val="center"/>
            </w:pPr>
          </w:p>
        </w:tc>
      </w:tr>
    </w:tbl>
    <w:p>
      <w:pPr>
        <w:pStyle w:val="yFootnotesection"/>
      </w:pPr>
      <w:r>
        <w:tab/>
        <w:t>[Clause 1 inserted in Gazette 22 Jul 2015 p. 2955</w:t>
      </w:r>
      <w:r>
        <w:noBreakHyphen/>
        <w:t>6; amended in Gazette 15 Apr 2016 p. 1173-4.]</w:t>
      </w:r>
    </w:p>
    <w:p>
      <w:pPr>
        <w:pStyle w:val="yHeading5"/>
        <w:spacing w:before="240"/>
      </w:pPr>
      <w:bookmarkStart w:id="314" w:name="_Toc455151561"/>
      <w:r>
        <w:rPr>
          <w:rStyle w:val="CharSClsNo"/>
        </w:rPr>
        <w:t>2</w:t>
      </w:r>
      <w:r>
        <w:t>.</w:t>
      </w:r>
      <w:r>
        <w:tab/>
        <w:t xml:space="preserve">Albany, </w:t>
      </w:r>
      <w:smartTag w:uri="urn:schemas-microsoft-com:office:smarttags" w:element="place">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14"/>
    </w:p>
    <w:p>
      <w:pPr>
        <w:pStyle w:val="ySubsection"/>
      </w:pPr>
      <w:r>
        <w:tab/>
        <w:t>(1)</w:t>
      </w:r>
      <w:r>
        <w:tab/>
        <w:t xml:space="preserve">This clause applies to the </w:t>
      </w:r>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r>
        <w:t xml:space="preserve"> at </w:t>
      </w:r>
      <w:smartTag w:uri="urn:schemas-microsoft-com:office:smarttags" w:element="place">
        <w:smartTag w:uri="urn:schemas-microsoft-com:office:smarttags" w:element="City">
          <w:r>
            <w:t>Albany</w:t>
          </w:r>
        </w:smartTag>
      </w:smartTag>
      <w:r>
        <w:t>.</w:t>
      </w:r>
    </w:p>
    <w:p>
      <w:pPr>
        <w:pStyle w:val="ySubsection"/>
      </w:pPr>
      <w:r>
        <w:tab/>
        <w:t>(2)</w:t>
      </w:r>
      <w:r>
        <w:tab/>
        <w:t>The dues and charges to be paid under these regulations are set out in Table 2.1.</w:t>
      </w:r>
    </w:p>
    <w:p>
      <w:pPr>
        <w:pStyle w:val="yTHeadingNAm"/>
        <w:spacing w:after="80"/>
        <w:ind w:left="992"/>
      </w:pPr>
      <w:r>
        <w:t>Table 2.1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28"/>
        <w:gridCol w:w="4146"/>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46"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220.00</w:t>
            </w:r>
          </w:p>
        </w:tc>
      </w:tr>
      <w:tr>
        <w:trPr>
          <w:cantSplit/>
        </w:trPr>
        <w:tc>
          <w:tcPr>
            <w:tcW w:w="728" w:type="dxa"/>
          </w:tcPr>
          <w:p>
            <w:pPr>
              <w:pStyle w:val="yTableNAm"/>
            </w:pPr>
            <w:r>
              <w:t>2.</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264.00</w:t>
            </w:r>
          </w:p>
        </w:tc>
      </w:tr>
      <w:tr>
        <w:trPr>
          <w:cantSplit/>
        </w:trPr>
        <w:tc>
          <w:tcPr>
            <w:tcW w:w="728"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tabs>
                <w:tab w:val="clear" w:pos="567"/>
              </w:tabs>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tabs>
                <w:tab w:val="clear" w:pos="567"/>
              </w:tabs>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 inserted in Gazette 22 Jul 2015 p. 2956</w:t>
      </w:r>
      <w:r>
        <w:noBreakHyphen/>
        <w:t>7; amended in Gazette 15 Apr 2016 p. 1174.]</w:t>
      </w:r>
    </w:p>
    <w:p>
      <w:pPr>
        <w:pStyle w:val="yHeading5"/>
      </w:pPr>
      <w:bookmarkStart w:id="315" w:name="_Toc455151562"/>
      <w:r>
        <w:rPr>
          <w:rStyle w:val="CharSClsNo"/>
        </w:rPr>
        <w:t>3</w:t>
      </w:r>
      <w:r>
        <w:t>.</w:t>
      </w:r>
      <w:r>
        <w:tab/>
        <w:t>Augusta Boat Harbour</w:t>
      </w:r>
      <w:bookmarkEnd w:id="315"/>
    </w:p>
    <w:p>
      <w:pPr>
        <w:pStyle w:val="ySubsection"/>
      </w:pPr>
      <w:r>
        <w:tab/>
        <w:t>(1)</w:t>
      </w:r>
      <w:r>
        <w:tab/>
        <w:t>This clause applies to the Augusta Boat Harbour.</w:t>
      </w:r>
    </w:p>
    <w:p>
      <w:pPr>
        <w:pStyle w:val="ySubsection"/>
      </w:pPr>
      <w:r>
        <w:tab/>
        <w:t>(2)</w:t>
      </w:r>
      <w:r>
        <w:tab/>
        <w:t>The dues and charges to be paid under these regulations are set out in Table 3.1.</w:t>
      </w:r>
    </w:p>
    <w:p>
      <w:pPr>
        <w:pStyle w:val="yTHeadingNAm"/>
        <w:spacing w:before="180" w:after="80"/>
        <w:ind w:left="992"/>
      </w:pPr>
      <w:r>
        <w:t>Table 3.1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418.00</w:t>
            </w:r>
          </w:p>
        </w:tc>
      </w:tr>
      <w:tr>
        <w:trPr>
          <w:cantSplit/>
        </w:trPr>
        <w:tc>
          <w:tcPr>
            <w:tcW w:w="700" w:type="dxa"/>
          </w:tcPr>
          <w:p>
            <w:pPr>
              <w:pStyle w:val="yTableNAm"/>
            </w:pPr>
            <w:r>
              <w:t>2.</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418.00</w:t>
            </w:r>
          </w:p>
        </w:tc>
      </w:tr>
      <w:tr>
        <w:trPr>
          <w:cantSplit/>
        </w:trPr>
        <w:tc>
          <w:tcPr>
            <w:tcW w:w="700" w:type="dxa"/>
          </w:tcPr>
          <w:p>
            <w:pPr>
              <w:pStyle w:val="yTableNAm"/>
            </w:pPr>
            <w:r>
              <w:t>3.</w:t>
            </w:r>
          </w:p>
        </w:tc>
        <w:tc>
          <w:tcPr>
            <w:tcW w:w="4160"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4.</w:t>
            </w:r>
          </w:p>
        </w:tc>
        <w:tc>
          <w:tcPr>
            <w:tcW w:w="4160"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3 inserted in Gazette 22 Jul 2015 p. 2957</w:t>
      </w:r>
      <w:r>
        <w:noBreakHyphen/>
        <w:t>8; amended in Gazette 15 Apr 2016 p. 1174.]</w:t>
      </w:r>
    </w:p>
    <w:p>
      <w:pPr>
        <w:pStyle w:val="yHeading5"/>
        <w:spacing w:before="240"/>
      </w:pPr>
      <w:bookmarkStart w:id="316" w:name="_Toc455151563"/>
      <w:r>
        <w:rPr>
          <w:rStyle w:val="CharSClsNo"/>
        </w:rPr>
        <w:t>4</w:t>
      </w:r>
      <w:r>
        <w:t>.</w:t>
      </w:r>
      <w:r>
        <w:tab/>
        <w:t>Augusta (Ellis Street) Maritime Facility</w:t>
      </w:r>
      <w:bookmarkEnd w:id="316"/>
    </w:p>
    <w:p>
      <w:pPr>
        <w:pStyle w:val="ySubsection"/>
      </w:pPr>
      <w:r>
        <w:tab/>
        <w:t>(1)</w:t>
      </w:r>
      <w:r>
        <w:tab/>
        <w:t>This clause applies to the Augusta (Ellis Street) Maritime Facility.</w:t>
      </w:r>
    </w:p>
    <w:p>
      <w:pPr>
        <w:pStyle w:val="ySubsection"/>
      </w:pPr>
      <w:r>
        <w:tab/>
        <w:t>(2)</w:t>
      </w:r>
      <w:r>
        <w:tab/>
        <w:t>The dues and charges to be paid under these regulations are set out in Table 4.1.</w:t>
      </w:r>
    </w:p>
    <w:p>
      <w:pPr>
        <w:pStyle w:val="yTHeadingNAm"/>
        <w:ind w:left="993"/>
      </w:pPr>
      <w:r>
        <w:t>Table 4.1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264.00</w:t>
            </w:r>
          </w:p>
        </w:tc>
      </w:tr>
      <w:tr>
        <w:trPr>
          <w:cantSplit/>
        </w:trPr>
        <w:tc>
          <w:tcPr>
            <w:tcW w:w="700" w:type="dxa"/>
          </w:tcPr>
          <w:p>
            <w:pPr>
              <w:pStyle w:val="yTableNAm"/>
            </w:pPr>
            <w:r>
              <w:t>2.</w:t>
            </w:r>
          </w:p>
        </w:tc>
        <w:tc>
          <w:tcPr>
            <w:tcW w:w="4160" w:type="dxa"/>
          </w:tcPr>
          <w:p>
            <w:pPr>
              <w:pStyle w:val="yTableNAm"/>
            </w:pPr>
            <w:r>
              <w:t xml:space="preserve">For the casual daily use of an alongside berth — </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3.</w:t>
            </w:r>
          </w:p>
        </w:tc>
        <w:tc>
          <w:tcPr>
            <w:tcW w:w="4160"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4 inserted in Gazette 22 Jul 2015 p. 2958; amended in Gazette 15 Apr 2016 p. 1174.]</w:t>
      </w:r>
    </w:p>
    <w:p>
      <w:pPr>
        <w:pStyle w:val="yHeading5"/>
      </w:pPr>
      <w:bookmarkStart w:id="317" w:name="_Toc455151564"/>
      <w:r>
        <w:rPr>
          <w:rStyle w:val="CharSClsNo"/>
        </w:rPr>
        <w:t>5</w:t>
      </w:r>
      <w:r>
        <w:t>.</w:t>
      </w:r>
      <w:r>
        <w:tab/>
      </w:r>
      <w:smartTag w:uri="urn:schemas-microsoft-com:office:smarttags" w:element="place">
        <w:smartTag w:uri="urn:schemas-microsoft-com:office:smarttags" w:element="PlaceName">
          <w:r>
            <w:t>Bremer</w:t>
          </w:r>
        </w:smartTag>
        <w:r>
          <w:t xml:space="preserve"> Bay</w:t>
        </w:r>
      </w:smartTag>
      <w:bookmarkEnd w:id="317"/>
    </w:p>
    <w:p>
      <w:pPr>
        <w:pStyle w:val="ySubsection"/>
      </w:pPr>
      <w:r>
        <w:tab/>
        <w:t>(1)</w:t>
      </w:r>
      <w:r>
        <w:tab/>
        <w:t xml:space="preserve">This clause applies to </w:t>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r>
        <w:t>.</w:t>
      </w:r>
    </w:p>
    <w:p>
      <w:pPr>
        <w:pStyle w:val="ySubsection"/>
      </w:pPr>
      <w:r>
        <w:tab/>
        <w:t>(2)</w:t>
      </w:r>
      <w:r>
        <w:tab/>
        <w:t>The berthing dues to be paid under these regulations are set out in Table 5.1.</w:t>
      </w:r>
    </w:p>
    <w:p>
      <w:pPr>
        <w:pStyle w:val="yTHeadingNAm"/>
        <w:ind w:left="993"/>
      </w:pPr>
      <w:r>
        <w:t>Table 5.1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686"/>
        <w:gridCol w:w="4174"/>
        <w:gridCol w:w="1276"/>
      </w:tblGrid>
      <w:tr>
        <w:trPr>
          <w:cantSplit/>
          <w:tblHeader/>
        </w:trPr>
        <w:tc>
          <w:tcPr>
            <w:tcW w:w="686"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86" w:type="dxa"/>
          </w:tcPr>
          <w:p>
            <w:pPr>
              <w:pStyle w:val="yTableNAm"/>
            </w:pPr>
            <w:r>
              <w:t>1.</w:t>
            </w:r>
          </w:p>
        </w:tc>
        <w:tc>
          <w:tcPr>
            <w:tcW w:w="4174" w:type="dxa"/>
          </w:tcPr>
          <w:p>
            <w:pPr>
              <w:pStyle w:val="yTableNAm"/>
            </w:pPr>
            <w:r>
              <w:t xml:space="preserve">For the casual daily use of an alongside berth — </w:t>
            </w:r>
          </w:p>
        </w:tc>
        <w:tc>
          <w:tcPr>
            <w:tcW w:w="1276" w:type="dxa"/>
          </w:tcPr>
          <w:p>
            <w:pPr>
              <w:pStyle w:val="yTableNAm"/>
              <w:jc w:val="center"/>
            </w:pPr>
          </w:p>
        </w:tc>
      </w:tr>
      <w:tr>
        <w:trPr>
          <w:cantSplit/>
        </w:trPr>
        <w:tc>
          <w:tcPr>
            <w:tcW w:w="686" w:type="dxa"/>
          </w:tcPr>
          <w:p>
            <w:pPr>
              <w:pStyle w:val="zyTableNAm"/>
            </w:pPr>
          </w:p>
        </w:tc>
        <w:tc>
          <w:tcPr>
            <w:tcW w:w="4174"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686" w:type="dxa"/>
          </w:tcPr>
          <w:p>
            <w:pPr>
              <w:pStyle w:val="zyTableNAm"/>
            </w:pPr>
          </w:p>
        </w:tc>
        <w:tc>
          <w:tcPr>
            <w:tcW w:w="4174"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686" w:type="dxa"/>
            <w:tcBorders>
              <w:bottom w:val="single" w:sz="4" w:space="0" w:color="auto"/>
            </w:tcBorders>
          </w:tcPr>
          <w:p>
            <w:pPr>
              <w:pStyle w:val="yTableNAm"/>
            </w:pPr>
            <w:r>
              <w:t>2.</w:t>
            </w:r>
          </w:p>
        </w:tc>
        <w:tc>
          <w:tcPr>
            <w:tcW w:w="4174" w:type="dxa"/>
            <w:tcBorders>
              <w:bottom w:val="single" w:sz="4" w:space="0" w:color="auto"/>
            </w:tcBorders>
          </w:tcPr>
          <w:p>
            <w:pPr>
              <w:pStyle w:val="yTableNAm"/>
            </w:pPr>
            <w:r>
              <w:t>For the short term use of a service wharf or jetty by a vessel for which a swing mooring fee has not been paid,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5 inserted in Gazette 22 Jul 2015 p. 2959.]</w:t>
      </w:r>
    </w:p>
    <w:p>
      <w:pPr>
        <w:pStyle w:val="yHeading5"/>
        <w:spacing w:before="180"/>
      </w:pPr>
      <w:bookmarkStart w:id="318" w:name="_Toc455151565"/>
      <w:r>
        <w:rPr>
          <w:rStyle w:val="CharSClsNo"/>
        </w:rPr>
        <w:t>6</w:t>
      </w:r>
      <w:r>
        <w:t>.</w:t>
      </w:r>
      <w:r>
        <w:tab/>
        <w:t xml:space="preserve">Bunbury, </w:t>
      </w:r>
      <w:smartTag w:uri="urn:schemas-microsoft-com:office:smarttags" w:element="PlaceName">
        <w:r>
          <w:t>Casuarina</w:t>
        </w:r>
      </w:smartTag>
      <w:r>
        <w:t xml:space="preserve"> </w:t>
      </w:r>
      <w:smartTag w:uri="urn:schemas-microsoft-com:office:smarttags" w:element="PlaceName">
        <w:r>
          <w:t>Boat</w:t>
        </w:r>
      </w:smartTag>
      <w:r>
        <w:t xml:space="preserve"> Harbour</w:t>
      </w:r>
      <w:bookmarkEnd w:id="318"/>
    </w:p>
    <w:p>
      <w:pPr>
        <w:pStyle w:val="ySubsection"/>
        <w:spacing w:before="120"/>
      </w:pPr>
      <w:r>
        <w:tab/>
        <w:t>(1)</w:t>
      </w:r>
      <w:r>
        <w:tab/>
        <w:t xml:space="preserve">This clause applies to the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Bunbury.</w:t>
      </w:r>
    </w:p>
    <w:p>
      <w:pPr>
        <w:pStyle w:val="ySubsection"/>
        <w:spacing w:before="120"/>
      </w:pPr>
      <w:r>
        <w:tab/>
        <w:t>(2)</w:t>
      </w:r>
      <w:r>
        <w:tab/>
        <w:t>The dues and charges to be paid under these regulations are set out in Table 6.1.</w:t>
      </w:r>
    </w:p>
    <w:p>
      <w:pPr>
        <w:pStyle w:val="yTHeadingNAm"/>
        <w:spacing w:before="100"/>
        <w:ind w:left="992"/>
      </w:pPr>
      <w:r>
        <w:t>Table 6.1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00"/>
        <w:gridCol w:w="4174"/>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74"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341.00</w:t>
            </w:r>
          </w:p>
        </w:tc>
      </w:tr>
      <w:tr>
        <w:trPr>
          <w:cantSplit/>
        </w:trPr>
        <w:tc>
          <w:tcPr>
            <w:tcW w:w="700" w:type="dxa"/>
          </w:tcPr>
          <w:p>
            <w:pPr>
              <w:pStyle w:val="yTableNAm"/>
            </w:pPr>
            <w:r>
              <w:t>2.</w:t>
            </w:r>
          </w:p>
        </w:tc>
        <w:tc>
          <w:tcPr>
            <w:tcW w:w="4174"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341.00</w:t>
            </w:r>
          </w:p>
        </w:tc>
      </w:tr>
      <w:tr>
        <w:trPr>
          <w:cantSplit/>
        </w:trPr>
        <w:tc>
          <w:tcPr>
            <w:tcW w:w="700" w:type="dxa"/>
          </w:tcPr>
          <w:p>
            <w:pPr>
              <w:pStyle w:val="yTableNAm"/>
            </w:pPr>
            <w:r>
              <w:t>3.</w:t>
            </w:r>
          </w:p>
        </w:tc>
        <w:tc>
          <w:tcPr>
            <w:tcW w:w="4174"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4.</w:t>
            </w:r>
          </w:p>
        </w:tc>
        <w:tc>
          <w:tcPr>
            <w:tcW w:w="4174" w:type="dxa"/>
          </w:tcPr>
          <w:p>
            <w:pPr>
              <w:pStyle w:val="yTableNAm"/>
            </w:pPr>
            <w:r>
              <w:t>For the casual daily use of a pen or alongside berth 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5.</w:t>
            </w:r>
          </w:p>
        </w:tc>
        <w:tc>
          <w:tcPr>
            <w:tcW w:w="4174"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6 inserted in Gazette 22 Jul 2015 p. 2959</w:t>
      </w:r>
      <w:r>
        <w:noBreakHyphen/>
        <w:t>60; amended in Gazette 15 Apr 2016 p. 1174.]</w:t>
      </w:r>
    </w:p>
    <w:p>
      <w:pPr>
        <w:pStyle w:val="yHeading5"/>
      </w:pPr>
      <w:bookmarkStart w:id="319" w:name="_Toc455151566"/>
      <w:r>
        <w:rPr>
          <w:rStyle w:val="CharSClsNo"/>
        </w:rPr>
        <w:t>7</w:t>
      </w:r>
      <w:r>
        <w:t>.</w:t>
      </w:r>
      <w:r>
        <w:tab/>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19"/>
    </w:p>
    <w:p>
      <w:pPr>
        <w:pStyle w:val="ySubsection"/>
      </w:pPr>
      <w:r>
        <w:tab/>
        <w:t>(1)</w:t>
      </w:r>
      <w:r>
        <w:tab/>
        <w:t xml:space="preserve">This clause applies to the </w:t>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7.1.</w:t>
      </w:r>
    </w:p>
    <w:p>
      <w:pPr>
        <w:pStyle w:val="yTHeadingNAm"/>
        <w:ind w:left="993"/>
      </w:pPr>
      <w:r>
        <w:t>Table 7.1 (Pen use, alongside berthing and mooring)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pen with a walkway, an amount calculated per metre of the pen’s length using the annual rate of</w:t>
            </w:r>
          </w:p>
        </w:tc>
        <w:tc>
          <w:tcPr>
            <w:tcW w:w="1276" w:type="dxa"/>
          </w:tcPr>
          <w:p>
            <w:pPr>
              <w:pStyle w:val="yTableNAm"/>
              <w:jc w:val="center"/>
            </w:pPr>
            <w:r>
              <w:br/>
            </w:r>
            <w:r>
              <w:br/>
            </w:r>
            <w:r>
              <w:br/>
            </w:r>
            <w:r>
              <w:rPr>
                <w:szCs w:val="22"/>
              </w:rPr>
              <w:t>253.00</w:t>
            </w:r>
          </w:p>
        </w:tc>
      </w:tr>
      <w:tr>
        <w:trPr>
          <w:cantSplit/>
        </w:trPr>
        <w:tc>
          <w:tcPr>
            <w:tcW w:w="700" w:type="dxa"/>
          </w:tcPr>
          <w:p>
            <w:pPr>
              <w:pStyle w:val="yTableNAm"/>
            </w:pPr>
            <w:r>
              <w:t>2.</w:t>
            </w:r>
          </w:p>
        </w:tc>
        <w:tc>
          <w:tcPr>
            <w:tcW w:w="4160" w:type="dxa"/>
          </w:tcPr>
          <w:p>
            <w:pPr>
              <w:pStyle w:val="yTableNAm"/>
            </w:pPr>
            <w:r>
              <w:t>For the use, other than casual daily use, of a pen without a walkway, an amount calculated per metre of the pen’s length using the annual rate of</w:t>
            </w:r>
          </w:p>
        </w:tc>
        <w:tc>
          <w:tcPr>
            <w:tcW w:w="1276" w:type="dxa"/>
          </w:tcPr>
          <w:p>
            <w:pPr>
              <w:pStyle w:val="yTableNAm"/>
              <w:jc w:val="center"/>
            </w:pPr>
            <w:r>
              <w:br/>
            </w:r>
            <w:r>
              <w:br/>
            </w:r>
            <w:r>
              <w:br/>
            </w:r>
            <w:r>
              <w:rPr>
                <w:szCs w:val="22"/>
              </w:rPr>
              <w:t>231.00</w:t>
            </w:r>
          </w:p>
        </w:tc>
      </w:tr>
      <w:tr>
        <w:trPr>
          <w:cantSplit/>
        </w:trPr>
        <w:tc>
          <w:tcPr>
            <w:tcW w:w="700" w:type="dxa"/>
          </w:tcPr>
          <w:p>
            <w:pPr>
              <w:pStyle w:val="yTableNAm"/>
            </w:pPr>
            <w:r>
              <w:t>3.</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302.50</w:t>
            </w:r>
          </w:p>
        </w:tc>
      </w:tr>
      <w:tr>
        <w:trPr>
          <w:cantSplit/>
        </w:trPr>
        <w:tc>
          <w:tcPr>
            <w:tcW w:w="700" w:type="dxa"/>
          </w:tcPr>
          <w:p>
            <w:pPr>
              <w:pStyle w:val="yTableNAm"/>
            </w:pPr>
            <w:r>
              <w:t>4.</w:t>
            </w:r>
          </w:p>
        </w:tc>
        <w:tc>
          <w:tcPr>
            <w:tcW w:w="4160" w:type="dxa"/>
          </w:tcPr>
          <w:p>
            <w:pPr>
              <w:pStyle w:val="yTableNAm"/>
            </w:pPr>
            <w:r>
              <w:t>For the use of the T</w:t>
            </w:r>
            <w:r>
              <w:noBreakHyphen/>
              <w:t>jetty, T</w:t>
            </w:r>
            <w:r>
              <w:noBreakHyphen/>
              <w:t>jetty pen and land</w:t>
            </w:r>
            <w:r>
              <w:noBreakHyphen/>
              <w:t>backed wharf by a commercial vessel, an amount calculated per metre of the vessel’s length using the annual rate of</w:t>
            </w:r>
          </w:p>
        </w:tc>
        <w:tc>
          <w:tcPr>
            <w:tcW w:w="1276" w:type="dxa"/>
          </w:tcPr>
          <w:p>
            <w:pPr>
              <w:pStyle w:val="yTableNAm"/>
              <w:jc w:val="center"/>
            </w:pPr>
            <w:r>
              <w:br/>
            </w:r>
            <w:r>
              <w:br/>
            </w:r>
            <w:r>
              <w:br/>
            </w:r>
            <w:r>
              <w:rPr>
                <w:szCs w:val="22"/>
              </w:rPr>
              <w:t>302.50</w:t>
            </w:r>
          </w:p>
        </w:tc>
      </w:tr>
      <w:tr>
        <w:trPr>
          <w:cantSplit/>
        </w:trPr>
        <w:tc>
          <w:tcPr>
            <w:tcW w:w="700" w:type="dxa"/>
          </w:tcPr>
          <w:p>
            <w:pPr>
              <w:pStyle w:val="yTableNAm"/>
            </w:pPr>
            <w:r>
              <w:t>5.</w:t>
            </w:r>
          </w:p>
        </w:tc>
        <w:tc>
          <w:tcPr>
            <w:tcW w:w="4160" w:type="dxa"/>
          </w:tcPr>
          <w:p>
            <w:pPr>
              <w:pStyle w:val="yTableNAm"/>
            </w:pPr>
            <w:r>
              <w:t>For the casual daily use of the T</w:t>
            </w:r>
            <w:r>
              <w:noBreakHyphen/>
              <w:t>jetty, T</w:t>
            </w:r>
            <w:r>
              <w:noBreakHyphen/>
              <w:t>jetty pen and land</w:t>
            </w:r>
            <w:r>
              <w:noBreakHyphen/>
              <w:t>backed wharf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6.</w:t>
            </w:r>
          </w:p>
        </w:tc>
        <w:tc>
          <w:tcPr>
            <w:tcW w:w="4160" w:type="dxa"/>
          </w:tcPr>
          <w:p>
            <w:pPr>
              <w:pStyle w:val="yTableNAm"/>
            </w:pPr>
            <w:r>
              <w:t>For the casual daily use of the snapper jetty, attached partly serviced pen and low level landing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7.</w:t>
            </w:r>
          </w:p>
        </w:tc>
        <w:tc>
          <w:tcPr>
            <w:tcW w:w="4160"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700" w:type="dxa"/>
          </w:tcPr>
          <w:p>
            <w:pPr>
              <w:pStyle w:val="yTableNAm"/>
            </w:pPr>
            <w:r>
              <w:t>8.</w:t>
            </w:r>
          </w:p>
        </w:tc>
        <w:tc>
          <w:tcPr>
            <w:tcW w:w="4160" w:type="dxa"/>
          </w:tcPr>
          <w:p>
            <w:pPr>
              <w:pStyle w:val="yTableNAm"/>
            </w:pPr>
            <w:r>
              <w:t>For the casual daily use of any pen not described in item 5 or 6 or pile mooring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9.</w:t>
            </w:r>
          </w:p>
        </w:tc>
        <w:tc>
          <w:tcPr>
            <w:tcW w:w="4160" w:type="dxa"/>
          </w:tcPr>
          <w:p>
            <w:pPr>
              <w:pStyle w:val="yTableNAm"/>
            </w:pPr>
            <w:r>
              <w:t>For the casual daily use of any pen or alongside berth 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10.</w:t>
            </w:r>
          </w:p>
        </w:tc>
        <w:tc>
          <w:tcPr>
            <w:tcW w:w="4160" w:type="dxa"/>
            <w:tcBorders>
              <w:bottom w:val="single" w:sz="4" w:space="0" w:color="auto"/>
            </w:tcBorders>
          </w:tcPr>
          <w:p>
            <w:pPr>
              <w:pStyle w:val="yTableNAm"/>
            </w:pPr>
            <w:r>
              <w:t>For the use of a pile mooring, an amount calculated per metre of the vessel’s length using the annual rate of</w:t>
            </w:r>
          </w:p>
        </w:tc>
        <w:tc>
          <w:tcPr>
            <w:tcW w:w="1276" w:type="dxa"/>
            <w:tcBorders>
              <w:bottom w:val="single" w:sz="4" w:space="0" w:color="auto"/>
            </w:tcBorders>
          </w:tcPr>
          <w:p>
            <w:pPr>
              <w:pStyle w:val="yTableNAm"/>
              <w:jc w:val="center"/>
            </w:pPr>
            <w:r>
              <w:br/>
            </w:r>
            <w:r>
              <w:br/>
            </w:r>
            <w:r>
              <w:rPr>
                <w:szCs w:val="22"/>
              </w:rPr>
              <w:t>143.00</w:t>
            </w:r>
          </w:p>
        </w:tc>
      </w:tr>
    </w:tbl>
    <w:p>
      <w:pPr>
        <w:pStyle w:val="yFootnotesection"/>
      </w:pPr>
      <w:r>
        <w:tab/>
        <w:t>[Clause 7 inserted in Gazette 22 Jul 2015 p. 2960</w:t>
      </w:r>
      <w:r>
        <w:noBreakHyphen/>
        <w:t>1; amended in Gazette 5 Apr 2016 p. 1023; 15 Apr 2016 p. 1174.]</w:t>
      </w:r>
    </w:p>
    <w:p>
      <w:pPr>
        <w:pStyle w:val="yHeading5"/>
      </w:pPr>
      <w:bookmarkStart w:id="320" w:name="_Toc455151567"/>
      <w:r>
        <w:rPr>
          <w:rStyle w:val="CharSClsNo"/>
        </w:rPr>
        <w:t>8</w:t>
      </w:r>
      <w:r>
        <w:t>.</w:t>
      </w:r>
      <w:r>
        <w:tab/>
        <w:t>Cervantes</w:t>
      </w:r>
      <w:bookmarkEnd w:id="320"/>
    </w:p>
    <w:p>
      <w:pPr>
        <w:pStyle w:val="ySubsection"/>
      </w:pPr>
      <w:r>
        <w:tab/>
        <w:t>(1)</w:t>
      </w:r>
      <w:r>
        <w:tab/>
        <w:t>This clause applies to Cervantes.</w:t>
      </w:r>
    </w:p>
    <w:p>
      <w:pPr>
        <w:pStyle w:val="ySubsection"/>
      </w:pPr>
      <w:r>
        <w:tab/>
        <w:t>(2)</w:t>
      </w:r>
      <w:r>
        <w:tab/>
        <w:t>The berthing dues to be paid under these regulations are set out in Table 8.1.</w:t>
      </w:r>
    </w:p>
    <w:p>
      <w:pPr>
        <w:pStyle w:val="yTHeadingNAm"/>
        <w:ind w:left="993"/>
      </w:pPr>
      <w:r>
        <w:t>Table 8.1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keepNext/>
            </w:pPr>
            <w:r>
              <w:rPr>
                <w:b/>
              </w:rPr>
              <w:t>Item</w:t>
            </w:r>
          </w:p>
        </w:tc>
        <w:tc>
          <w:tcPr>
            <w:tcW w:w="4160"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00" w:type="dxa"/>
          </w:tcPr>
          <w:p>
            <w:pPr>
              <w:pStyle w:val="yTableNAm"/>
            </w:pPr>
            <w:r>
              <w:t>1.</w:t>
            </w:r>
          </w:p>
        </w:tc>
        <w:tc>
          <w:tcPr>
            <w:tcW w:w="4160" w:type="dxa"/>
          </w:tcPr>
          <w:p>
            <w:pPr>
              <w:pStyle w:val="yTableNAm"/>
            </w:pPr>
            <w:r>
              <w:t>For the short term use of a service wharf or jetty by a vessel, an amount calculated using standard Rate 3</w:t>
            </w:r>
          </w:p>
        </w:tc>
        <w:tc>
          <w:tcPr>
            <w:tcW w:w="1276" w:type="dxa"/>
            <w:vAlign w:val="bottom"/>
          </w:tcPr>
          <w:p>
            <w:pPr>
              <w:pStyle w:val="yTableNAm"/>
              <w:jc w:val="center"/>
            </w:pPr>
          </w:p>
        </w:tc>
      </w:tr>
      <w:tr>
        <w:trPr>
          <w:cantSplit/>
        </w:trPr>
        <w:tc>
          <w:tcPr>
            <w:tcW w:w="700" w:type="dxa"/>
          </w:tcPr>
          <w:p>
            <w:pPr>
              <w:pStyle w:val="yTableNAm"/>
            </w:pPr>
            <w:r>
              <w:t>2.</w:t>
            </w:r>
          </w:p>
        </w:tc>
        <w:tc>
          <w:tcPr>
            <w:tcW w:w="4160" w:type="dxa"/>
          </w:tcPr>
          <w:p>
            <w:pPr>
              <w:pStyle w:val="yTableNAm"/>
            </w:pPr>
            <w:r>
              <w:t>For the use of an alongside berth by a commercial vessel, an amount calculated using standard Rate 1</w:t>
            </w:r>
          </w:p>
        </w:tc>
        <w:tc>
          <w:tcPr>
            <w:tcW w:w="1276" w:type="dxa"/>
          </w:tcPr>
          <w:p>
            <w:pPr>
              <w:pStyle w:val="yTableNAm"/>
              <w:jc w:val="center"/>
            </w:pPr>
          </w:p>
        </w:tc>
      </w:tr>
      <w:tr>
        <w:trPr>
          <w:cantSplit/>
        </w:trPr>
        <w:tc>
          <w:tcPr>
            <w:tcW w:w="700" w:type="dxa"/>
            <w:tcBorders>
              <w:bottom w:val="single" w:sz="4" w:space="0" w:color="auto"/>
            </w:tcBorders>
          </w:tcPr>
          <w:p>
            <w:pPr>
              <w:pStyle w:val="yTableNAm"/>
            </w:pPr>
            <w:r>
              <w:t>3.</w:t>
            </w:r>
          </w:p>
        </w:tc>
        <w:tc>
          <w:tcPr>
            <w:tcW w:w="4160" w:type="dxa"/>
            <w:tcBorders>
              <w:bottom w:val="single" w:sz="4" w:space="0" w:color="auto"/>
            </w:tcBorders>
          </w:tcPr>
          <w:p>
            <w:pPr>
              <w:pStyle w:val="yTableNAm"/>
            </w:pPr>
            <w:r>
              <w:t>For the use of an alongside berth by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r>
        <w:tab/>
        <w:t>[Clause 8 inserted in Gazette 22 Jul 2015 p. 2961</w:t>
      </w:r>
      <w:r>
        <w:noBreakHyphen/>
        <w:t>2.]</w:t>
      </w:r>
    </w:p>
    <w:p>
      <w:pPr>
        <w:pStyle w:val="yHeading5"/>
      </w:pPr>
      <w:bookmarkStart w:id="321" w:name="_Toc455151568"/>
      <w:r>
        <w:rPr>
          <w:rStyle w:val="CharSClsNo"/>
        </w:rPr>
        <w:t>9</w:t>
      </w:r>
      <w:r>
        <w:t>.</w:t>
      </w:r>
      <w:r>
        <w:tab/>
        <w:t>Coral Bay Maritime Facility</w:t>
      </w:r>
      <w:bookmarkEnd w:id="321"/>
    </w:p>
    <w:p>
      <w:pPr>
        <w:pStyle w:val="ySubsection"/>
      </w:pPr>
      <w:r>
        <w:tab/>
        <w:t>(1)</w:t>
      </w:r>
      <w:r>
        <w:tab/>
        <w:t>This clause applies to the Coral Bay Maritime Facility.</w:t>
      </w:r>
    </w:p>
    <w:p>
      <w:pPr>
        <w:pStyle w:val="ySubsection"/>
      </w:pPr>
      <w:r>
        <w:tab/>
        <w:t>(2)</w:t>
      </w:r>
      <w:r>
        <w:tab/>
        <w:t>The berthing dues to be paid under these regulations are set out in Table 9.1.</w:t>
      </w:r>
    </w:p>
    <w:p>
      <w:pPr>
        <w:pStyle w:val="yTHeadingNAm"/>
        <w:ind w:left="993"/>
      </w:pPr>
      <w:r>
        <w:t>Table 9.1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 xml:space="preserve">For the use by a vessel of an alongside berth — </w:t>
            </w:r>
          </w:p>
        </w:tc>
        <w:tc>
          <w:tcPr>
            <w:tcW w:w="1276" w:type="dxa"/>
          </w:tcPr>
          <w:p>
            <w:pPr>
              <w:pStyle w:val="yTableNAm"/>
              <w:jc w:val="center"/>
            </w:pPr>
            <w:r>
              <w:br/>
            </w:r>
          </w:p>
        </w:tc>
      </w:tr>
      <w:tr>
        <w:trPr>
          <w:cantSplit/>
        </w:trPr>
        <w:tc>
          <w:tcPr>
            <w:tcW w:w="700" w:type="dxa"/>
          </w:tcPr>
          <w:p>
            <w:pPr>
              <w:pStyle w:val="zyTableNAm"/>
            </w:pPr>
          </w:p>
        </w:tc>
        <w:tc>
          <w:tcPr>
            <w:tcW w:w="4160" w:type="dxa"/>
          </w:tcPr>
          <w:p>
            <w:pPr>
              <w:pStyle w:val="yTableNAm"/>
              <w:tabs>
                <w:tab w:val="clear" w:pos="567"/>
              </w:tabs>
              <w:ind w:left="226" w:hanging="226"/>
            </w:pPr>
            <w:r>
              <w:t>•</w:t>
            </w:r>
            <w:r>
              <w:tab/>
              <w:t>for short term use, an amount calculated using standard Rate 3</w:t>
            </w:r>
          </w:p>
        </w:tc>
        <w:tc>
          <w:tcPr>
            <w:tcW w:w="1276" w:type="dxa"/>
            <w:vAlign w:val="bottom"/>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for casual daily use, an amount calculated using standard Rate 1</w:t>
            </w:r>
          </w:p>
        </w:tc>
        <w:tc>
          <w:tcPr>
            <w:tcW w:w="1276" w:type="dxa"/>
          </w:tcPr>
          <w:p>
            <w:pPr>
              <w:pStyle w:val="yTableNAm"/>
              <w:jc w:val="center"/>
            </w:pPr>
          </w:p>
        </w:tc>
      </w:tr>
      <w:tr>
        <w:trPr>
          <w:cantSplit/>
        </w:trPr>
        <w:tc>
          <w:tcPr>
            <w:tcW w:w="700" w:type="dxa"/>
            <w:tcBorders>
              <w:bottom w:val="single" w:sz="4" w:space="0" w:color="auto"/>
            </w:tcBorders>
          </w:tcPr>
          <w:p>
            <w:pPr>
              <w:pStyle w:val="yTableNAm"/>
            </w:pPr>
            <w:r>
              <w:t>2.</w:t>
            </w:r>
          </w:p>
        </w:tc>
        <w:tc>
          <w:tcPr>
            <w:tcW w:w="4160" w:type="dxa"/>
            <w:tcBorders>
              <w:bottom w:val="single" w:sz="4" w:space="0" w:color="auto"/>
            </w:tcBorders>
          </w:tcPr>
          <w:p>
            <w:pPr>
              <w:pStyle w:val="yTableNAm"/>
            </w:pPr>
            <w:r>
              <w:t>For the casual daily use of any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r>
        <w:tab/>
        <w:t>[Clause 9 inserted in Gazette 22 Jul 2015 p. 2962.]</w:t>
      </w:r>
    </w:p>
    <w:p>
      <w:pPr>
        <w:pStyle w:val="yHeading5"/>
      </w:pPr>
      <w:bookmarkStart w:id="322" w:name="_Toc455151569"/>
      <w:r>
        <w:rPr>
          <w:rStyle w:val="CharSClsNo"/>
        </w:rPr>
        <w:t>10</w:t>
      </w:r>
      <w:r>
        <w:t>.</w:t>
      </w:r>
      <w:r>
        <w:tab/>
        <w:t>Denham Maritime Facility</w:t>
      </w:r>
      <w:bookmarkEnd w:id="322"/>
    </w:p>
    <w:p>
      <w:pPr>
        <w:pStyle w:val="ySubsection"/>
      </w:pPr>
      <w:r>
        <w:tab/>
        <w:t>(1)</w:t>
      </w:r>
      <w:r>
        <w:tab/>
        <w:t>This clause applies to the Denham Maritime Facility.</w:t>
      </w:r>
    </w:p>
    <w:p>
      <w:pPr>
        <w:pStyle w:val="ySubsection"/>
      </w:pPr>
      <w:r>
        <w:tab/>
        <w:t>(2)</w:t>
      </w:r>
      <w:r>
        <w:tab/>
        <w:t>The dues and charges to be paid under these regulations are set out in Table 10.1.</w:t>
      </w:r>
    </w:p>
    <w:p>
      <w:pPr>
        <w:pStyle w:val="yTHeadingNAm"/>
        <w:ind w:left="993"/>
      </w:pPr>
      <w:r>
        <w:t>Table 10.1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28"/>
        <w:gridCol w:w="4146"/>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46"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286.00</w:t>
            </w:r>
          </w:p>
        </w:tc>
      </w:tr>
      <w:tr>
        <w:trPr>
          <w:cantSplit/>
        </w:trPr>
        <w:tc>
          <w:tcPr>
            <w:tcW w:w="728" w:type="dxa"/>
          </w:tcPr>
          <w:p>
            <w:pPr>
              <w:pStyle w:val="yTableNAm"/>
            </w:pPr>
            <w:r>
              <w:t>2.</w:t>
            </w:r>
          </w:p>
        </w:tc>
        <w:tc>
          <w:tcPr>
            <w:tcW w:w="4146"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728" w:type="dxa"/>
          </w:tcPr>
          <w:p>
            <w:pPr>
              <w:pStyle w:val="yTableNAm"/>
            </w:pPr>
            <w:r>
              <w:t>3.</w:t>
            </w:r>
          </w:p>
        </w:tc>
        <w:tc>
          <w:tcPr>
            <w:tcW w:w="4146"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casual daily use of a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r>
        <w:tab/>
        <w:t>[Clause 10 inserted in Gazette 22 Jul 2015 p. 2962</w:t>
      </w:r>
      <w:r>
        <w:noBreakHyphen/>
        <w:t>3; amended in Gazette 15 Apr 2016 p. 1174.]</w:t>
      </w:r>
    </w:p>
    <w:p>
      <w:pPr>
        <w:pStyle w:val="yHeading5"/>
      </w:pPr>
      <w:bookmarkStart w:id="323" w:name="_Toc455151570"/>
      <w:r>
        <w:rPr>
          <w:rStyle w:val="CharSClsNo"/>
        </w:rPr>
        <w:t>11</w:t>
      </w:r>
      <w:r>
        <w:t>.</w:t>
      </w:r>
      <w:r>
        <w:tab/>
        <w:t xml:space="preserve">Esperance,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Harbour</w:t>
        </w:r>
      </w:smartTag>
      <w:bookmarkEnd w:id="323"/>
    </w:p>
    <w:p>
      <w:pPr>
        <w:pStyle w:val="ySubsection"/>
      </w:pPr>
      <w:r>
        <w:tab/>
        <w:t>(1)</w:t>
      </w:r>
      <w:r>
        <w:tab/>
        <w:t xml:space="preserve">This clause applies to the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Esperance.</w:t>
      </w:r>
    </w:p>
    <w:p>
      <w:pPr>
        <w:pStyle w:val="ySubsection"/>
      </w:pPr>
      <w:r>
        <w:tab/>
        <w:t>(2)</w:t>
      </w:r>
      <w:r>
        <w:tab/>
        <w:t>The dues and charges to be paid under these regulations are set out in Table 11.1.</w:t>
      </w:r>
    </w:p>
    <w:p>
      <w:pPr>
        <w:pStyle w:val="yTHeadingNAm"/>
        <w:ind w:left="993"/>
      </w:pPr>
      <w:r>
        <w:t>Table 11.1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46" w:type="dxa"/>
          </w:tcPr>
          <w:p>
            <w:pPr>
              <w:pStyle w:val="yTableNAm"/>
            </w:pPr>
            <w:r>
              <w:t>For the use, other than casual daily use, of a pen with a walkway, an amount calculated per metre of the pen’s length using the annual rate of</w:t>
            </w:r>
          </w:p>
        </w:tc>
        <w:tc>
          <w:tcPr>
            <w:tcW w:w="1276" w:type="dxa"/>
          </w:tcPr>
          <w:p>
            <w:pPr>
              <w:pStyle w:val="yTableNAm"/>
              <w:jc w:val="center"/>
            </w:pPr>
            <w:r>
              <w:br/>
            </w:r>
            <w:r>
              <w:br/>
            </w:r>
            <w:r>
              <w:br/>
            </w:r>
            <w:r>
              <w:rPr>
                <w:szCs w:val="22"/>
              </w:rPr>
              <w:t>308.00</w:t>
            </w:r>
          </w:p>
        </w:tc>
      </w:tr>
      <w:tr>
        <w:trPr>
          <w:cantSplit/>
        </w:trPr>
        <w:tc>
          <w:tcPr>
            <w:tcW w:w="714" w:type="dxa"/>
          </w:tcPr>
          <w:p>
            <w:pPr>
              <w:pStyle w:val="yTableNAm"/>
            </w:pPr>
            <w:r>
              <w:t>2.</w:t>
            </w:r>
          </w:p>
        </w:tc>
        <w:tc>
          <w:tcPr>
            <w:tcW w:w="4146" w:type="dxa"/>
          </w:tcPr>
          <w:p>
            <w:pPr>
              <w:pStyle w:val="yTableNAm"/>
            </w:pPr>
            <w:r>
              <w:t>For the use, other than casual daily use, of a pen without a walkway, an amount calculated per metre of the pen’s length using the annual rate of</w:t>
            </w:r>
          </w:p>
        </w:tc>
        <w:tc>
          <w:tcPr>
            <w:tcW w:w="1276" w:type="dxa"/>
          </w:tcPr>
          <w:p>
            <w:pPr>
              <w:pStyle w:val="yTableNAm"/>
              <w:jc w:val="center"/>
            </w:pPr>
            <w:r>
              <w:br/>
            </w:r>
            <w:r>
              <w:br/>
            </w:r>
            <w:r>
              <w:br/>
            </w:r>
            <w:r>
              <w:rPr>
                <w:szCs w:val="22"/>
              </w:rPr>
              <w:t>214.50</w:t>
            </w:r>
          </w:p>
        </w:tc>
      </w:tr>
      <w:tr>
        <w:trPr>
          <w:cantSplit/>
        </w:trPr>
        <w:tc>
          <w:tcPr>
            <w:tcW w:w="714" w:type="dxa"/>
          </w:tcPr>
          <w:p>
            <w:pPr>
              <w:pStyle w:val="yTableNAm"/>
            </w:pPr>
            <w:r>
              <w:t>3.</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308.00</w:t>
            </w:r>
          </w:p>
        </w:tc>
      </w:tr>
      <w:tr>
        <w:trPr>
          <w:cantSplit/>
        </w:trPr>
        <w:tc>
          <w:tcPr>
            <w:tcW w:w="714" w:type="dxa"/>
          </w:tcPr>
          <w:p>
            <w:pPr>
              <w:pStyle w:val="yTableNAm"/>
            </w:pPr>
            <w:r>
              <w:t>4.</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Pr>
          <w:p>
            <w:pPr>
              <w:pStyle w:val="yTableNAm"/>
            </w:pPr>
            <w:r>
              <w:t>5.</w:t>
            </w:r>
          </w:p>
        </w:tc>
        <w:tc>
          <w:tcPr>
            <w:tcW w:w="4146" w:type="dxa"/>
          </w:tcPr>
          <w:p>
            <w:pPr>
              <w:pStyle w:val="yTableNAm"/>
            </w:pPr>
            <w:r>
              <w:t>For the short term use of a service wharf or jetty, an amount calculated using standard Rate 3</w:t>
            </w:r>
          </w:p>
        </w:tc>
        <w:tc>
          <w:tcPr>
            <w:tcW w:w="1276" w:type="dxa"/>
            <w:vAlign w:val="bottom"/>
          </w:tcPr>
          <w:p>
            <w:pPr>
              <w:pStyle w:val="yTableNAm"/>
              <w:jc w:val="center"/>
            </w:pPr>
          </w:p>
        </w:tc>
      </w:tr>
      <w:tr>
        <w:trPr>
          <w:cantSplit/>
        </w:trPr>
        <w:tc>
          <w:tcPr>
            <w:tcW w:w="714" w:type="dxa"/>
            <w:tcBorders>
              <w:bottom w:val="single" w:sz="4" w:space="0" w:color="auto"/>
            </w:tcBorders>
          </w:tcPr>
          <w:p>
            <w:pPr>
              <w:pStyle w:val="yTableNAm"/>
            </w:pPr>
            <w:r>
              <w:t>6.</w:t>
            </w:r>
          </w:p>
        </w:tc>
        <w:tc>
          <w:tcPr>
            <w:tcW w:w="4146" w:type="dxa"/>
            <w:tcBorders>
              <w:bottom w:val="single" w:sz="4" w:space="0" w:color="auto"/>
            </w:tcBorders>
          </w:tcPr>
          <w:p>
            <w:pPr>
              <w:pStyle w:val="yTableNAm"/>
            </w:pPr>
            <w:r>
              <w:t>For the use of a jetty or hardstand controlled by the Department to lift a vessel to or from the harbour, an amount per lift of</w:t>
            </w:r>
          </w:p>
        </w:tc>
        <w:tc>
          <w:tcPr>
            <w:tcW w:w="1276" w:type="dxa"/>
            <w:tcBorders>
              <w:bottom w:val="single" w:sz="4" w:space="0" w:color="auto"/>
            </w:tcBorders>
            <w:vAlign w:val="bottom"/>
          </w:tcPr>
          <w:p>
            <w:pPr>
              <w:pStyle w:val="yTableNAm"/>
              <w:jc w:val="center"/>
            </w:pPr>
            <w:r>
              <w:rPr>
                <w:szCs w:val="22"/>
              </w:rPr>
              <w:t>264.00</w:t>
            </w:r>
          </w:p>
        </w:tc>
      </w:tr>
    </w:tbl>
    <w:p>
      <w:pPr>
        <w:pStyle w:val="yFootnotesection"/>
      </w:pPr>
      <w:r>
        <w:tab/>
        <w:t>[Clause 11 inserted in Gazette 22 Jul 2015 p. 2963</w:t>
      </w:r>
      <w:r>
        <w:noBreakHyphen/>
        <w:t>4; amended in Gazette 15 Apr 2016 p. 1174-5.]</w:t>
      </w:r>
    </w:p>
    <w:p>
      <w:pPr>
        <w:pStyle w:val="yHeading5"/>
      </w:pPr>
      <w:bookmarkStart w:id="324" w:name="_Toc455151571"/>
      <w:r>
        <w:rPr>
          <w:rStyle w:val="CharSClsNo"/>
        </w:rPr>
        <w:t>12</w:t>
      </w:r>
      <w:r>
        <w:t>.</w:t>
      </w:r>
      <w:r>
        <w:tab/>
        <w:t>Exmouth</w:t>
      </w:r>
      <w:bookmarkEnd w:id="324"/>
    </w:p>
    <w:p>
      <w:pPr>
        <w:pStyle w:val="ySubsection"/>
      </w:pPr>
      <w:r>
        <w:tab/>
        <w:t>(1)</w:t>
      </w:r>
      <w:r>
        <w:tab/>
        <w:t>This clause applies to Exmouth.</w:t>
      </w:r>
    </w:p>
    <w:p>
      <w:pPr>
        <w:pStyle w:val="ySubsection"/>
      </w:pPr>
      <w:r>
        <w:tab/>
        <w:t>(2)</w:t>
      </w:r>
      <w:r>
        <w:tab/>
        <w:t xml:space="preserve">In this clause a reference to a </w:t>
      </w:r>
      <w:r>
        <w:rPr>
          <w:rStyle w:val="CharDefText"/>
        </w:rPr>
        <w:t>service vessel</w:t>
      </w:r>
      <w:r>
        <w:t xml:space="preserve"> is a reference to any vessel other than a recreational vessel, Government vessel, tourism vessel or fishing vessel.</w:t>
      </w:r>
    </w:p>
    <w:p>
      <w:pPr>
        <w:pStyle w:val="ySubsection"/>
      </w:pPr>
      <w:r>
        <w:tab/>
        <w:t>(3)</w:t>
      </w:r>
      <w:r>
        <w:tab/>
        <w:t>The dues and charges to be paid under these regulations are set out in Table 12.1.</w:t>
      </w:r>
    </w:p>
    <w:p>
      <w:pPr>
        <w:pStyle w:val="yTHeadingNAm"/>
        <w:ind w:left="993"/>
      </w:pPr>
      <w:r>
        <w:t>Table 12.1 (Pen use, alongside berthing and mooring)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46" w:type="dxa"/>
          </w:tcPr>
          <w:p>
            <w:pPr>
              <w:pStyle w:val="yTableNAm"/>
            </w:pPr>
            <w:r>
              <w:t>For the use, other than casual daily use, of a pen (not in the Pen B system) by a recreational vessel, Government vessel, tourism vessel or fishing vessel, an amount calculated per metre of the pen’s length using the annual rate of</w:t>
            </w:r>
          </w:p>
        </w:tc>
        <w:tc>
          <w:tcPr>
            <w:tcW w:w="1276" w:type="dxa"/>
          </w:tcPr>
          <w:p>
            <w:pPr>
              <w:pStyle w:val="yTableNAm"/>
              <w:jc w:val="center"/>
            </w:pPr>
            <w:r>
              <w:br/>
            </w:r>
            <w:r>
              <w:br/>
            </w:r>
            <w:r>
              <w:br/>
            </w:r>
            <w:r>
              <w:br/>
            </w:r>
            <w:r>
              <w:br/>
            </w:r>
            <w:r>
              <w:rPr>
                <w:szCs w:val="22"/>
              </w:rPr>
              <w:t>434.50</w:t>
            </w:r>
          </w:p>
        </w:tc>
      </w:tr>
      <w:tr>
        <w:trPr>
          <w:cantSplit/>
        </w:trPr>
        <w:tc>
          <w:tcPr>
            <w:tcW w:w="714" w:type="dxa"/>
          </w:tcPr>
          <w:p>
            <w:pPr>
              <w:pStyle w:val="yTableNAm"/>
            </w:pPr>
            <w:r>
              <w:t>2.</w:t>
            </w:r>
          </w:p>
        </w:tc>
        <w:tc>
          <w:tcPr>
            <w:tcW w:w="4146" w:type="dxa"/>
          </w:tcPr>
          <w:p>
            <w:pPr>
              <w:pStyle w:val="yTableNAm"/>
            </w:pPr>
            <w:r>
              <w:t>For the use, other than casual daily use, of a pen (not in the Pen B system) by a service vessel, an amount calculated per metre of the pen’s length using the annual rate of</w:t>
            </w:r>
          </w:p>
        </w:tc>
        <w:tc>
          <w:tcPr>
            <w:tcW w:w="1276" w:type="dxa"/>
          </w:tcPr>
          <w:p>
            <w:pPr>
              <w:pStyle w:val="yTableNAm"/>
              <w:jc w:val="center"/>
            </w:pPr>
            <w:r>
              <w:br/>
            </w:r>
            <w:r>
              <w:br/>
            </w:r>
            <w:r>
              <w:br/>
            </w:r>
            <w:r>
              <w:rPr>
                <w:szCs w:val="22"/>
              </w:rPr>
              <w:t>577.50</w:t>
            </w:r>
          </w:p>
        </w:tc>
      </w:tr>
      <w:tr>
        <w:trPr>
          <w:cantSplit/>
        </w:trPr>
        <w:tc>
          <w:tcPr>
            <w:tcW w:w="714" w:type="dxa"/>
          </w:tcPr>
          <w:p>
            <w:pPr>
              <w:pStyle w:val="yTableNAm"/>
            </w:pPr>
            <w:r>
              <w:t>3.</w:t>
            </w:r>
          </w:p>
        </w:tc>
        <w:tc>
          <w:tcPr>
            <w:tcW w:w="4146" w:type="dxa"/>
          </w:tcPr>
          <w:p>
            <w:pPr>
              <w:pStyle w:val="yTableNAm"/>
            </w:pPr>
            <w:r>
              <w:t>For the use, other than casual daily use, of an alongside berth (not in the Pen B system)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br/>
            </w:r>
            <w:r>
              <w:rPr>
                <w:szCs w:val="22"/>
              </w:rPr>
              <w:t>434.50</w:t>
            </w:r>
          </w:p>
        </w:tc>
      </w:tr>
      <w:tr>
        <w:trPr>
          <w:cantSplit/>
        </w:trPr>
        <w:tc>
          <w:tcPr>
            <w:tcW w:w="714" w:type="dxa"/>
          </w:tcPr>
          <w:p>
            <w:pPr>
              <w:pStyle w:val="yTableNAm"/>
            </w:pPr>
            <w:r>
              <w:t>4.</w:t>
            </w:r>
          </w:p>
        </w:tc>
        <w:tc>
          <w:tcPr>
            <w:tcW w:w="4146" w:type="dxa"/>
          </w:tcPr>
          <w:p>
            <w:pPr>
              <w:pStyle w:val="yTableNAm"/>
            </w:pPr>
            <w:r>
              <w:t>For the use, other than casual daily use, of an alongside berth (not in the Pen B system) by a service vessel, an amount calculated per metre of the vessel’s length using the annual rate of</w:t>
            </w:r>
          </w:p>
        </w:tc>
        <w:tc>
          <w:tcPr>
            <w:tcW w:w="1276" w:type="dxa"/>
          </w:tcPr>
          <w:p>
            <w:pPr>
              <w:pStyle w:val="yTableNAm"/>
              <w:jc w:val="center"/>
            </w:pPr>
            <w:r>
              <w:br/>
            </w:r>
            <w:r>
              <w:br/>
            </w:r>
            <w:r>
              <w:br/>
            </w:r>
            <w:r>
              <w:br/>
            </w:r>
            <w:r>
              <w:rPr>
                <w:szCs w:val="22"/>
              </w:rPr>
              <w:t>577.50</w:t>
            </w:r>
          </w:p>
        </w:tc>
      </w:tr>
      <w:tr>
        <w:trPr>
          <w:cantSplit/>
        </w:trPr>
        <w:tc>
          <w:tcPr>
            <w:tcW w:w="714" w:type="dxa"/>
          </w:tcPr>
          <w:p>
            <w:pPr>
              <w:pStyle w:val="yTableNAm"/>
            </w:pPr>
            <w:r>
              <w:t>5.</w:t>
            </w:r>
          </w:p>
        </w:tc>
        <w:tc>
          <w:tcPr>
            <w:tcW w:w="4146" w:type="dxa"/>
          </w:tcPr>
          <w:p>
            <w:pPr>
              <w:pStyle w:val="yTableNAm"/>
            </w:pPr>
            <w:r>
              <w:t>For the use, other than casual daily use, of a pen (in the Pen B system) no longer than 20 m by a recreational vessel, Government vessel, tourism vessel or fishing vessel, an amount calculated per metre of the pen’s length using the annual rate of</w:t>
            </w:r>
          </w:p>
        </w:tc>
        <w:tc>
          <w:tcPr>
            <w:tcW w:w="1276" w:type="dxa"/>
          </w:tcPr>
          <w:p>
            <w:pPr>
              <w:pStyle w:val="yTableNAm"/>
              <w:jc w:val="center"/>
            </w:pPr>
            <w:r>
              <w:br/>
            </w:r>
            <w:r>
              <w:br/>
            </w:r>
            <w:r>
              <w:br/>
            </w:r>
            <w:r>
              <w:br/>
            </w:r>
            <w:r>
              <w:br/>
            </w:r>
            <w:r>
              <w:rPr>
                <w:szCs w:val="22"/>
              </w:rPr>
              <w:t>616.00</w:t>
            </w:r>
          </w:p>
        </w:tc>
      </w:tr>
      <w:tr>
        <w:trPr>
          <w:cantSplit/>
        </w:trPr>
        <w:tc>
          <w:tcPr>
            <w:tcW w:w="714" w:type="dxa"/>
          </w:tcPr>
          <w:p>
            <w:pPr>
              <w:pStyle w:val="yTableNAm"/>
            </w:pPr>
            <w:r>
              <w:t>6.</w:t>
            </w:r>
          </w:p>
        </w:tc>
        <w:tc>
          <w:tcPr>
            <w:tcW w:w="4146" w:type="dxa"/>
          </w:tcPr>
          <w:p>
            <w:pPr>
              <w:pStyle w:val="yTableNAm"/>
            </w:pPr>
            <w:r>
              <w:t>For the use, other than casual daily use, of a pen (in the Pen B system) no longer than 20 m by a service vessel, an amount calculated per metre of the pen’s length using the annual rate of</w:t>
            </w:r>
          </w:p>
        </w:tc>
        <w:tc>
          <w:tcPr>
            <w:tcW w:w="1276" w:type="dxa"/>
          </w:tcPr>
          <w:p>
            <w:pPr>
              <w:pStyle w:val="yTableNAm"/>
              <w:jc w:val="center"/>
            </w:pPr>
            <w:r>
              <w:br/>
            </w:r>
            <w:r>
              <w:br/>
            </w:r>
            <w:r>
              <w:br/>
            </w:r>
            <w:r>
              <w:br/>
            </w:r>
            <w:r>
              <w:rPr>
                <w:szCs w:val="22"/>
              </w:rPr>
              <w:t>836.00</w:t>
            </w:r>
          </w:p>
        </w:tc>
      </w:tr>
      <w:tr>
        <w:trPr>
          <w:cantSplit/>
        </w:trPr>
        <w:tc>
          <w:tcPr>
            <w:tcW w:w="714" w:type="dxa"/>
          </w:tcPr>
          <w:p>
            <w:pPr>
              <w:pStyle w:val="yTableNAm"/>
            </w:pPr>
            <w:r>
              <w:t>7.</w:t>
            </w:r>
          </w:p>
        </w:tc>
        <w:tc>
          <w:tcPr>
            <w:tcW w:w="4146" w:type="dxa"/>
          </w:tcPr>
          <w:p>
            <w:pPr>
              <w:pStyle w:val="yTableNAm"/>
            </w:pPr>
            <w:r>
              <w:t>For the use, other than casual daily use, of a pen (in the Pen B system) longer than 20 m by a vessel, an amount calculated per metre of the pen’s length using the annual rate of</w:t>
            </w:r>
          </w:p>
        </w:tc>
        <w:tc>
          <w:tcPr>
            <w:tcW w:w="1276" w:type="dxa"/>
          </w:tcPr>
          <w:p>
            <w:pPr>
              <w:pStyle w:val="yTableNAm"/>
              <w:jc w:val="center"/>
            </w:pPr>
            <w:r>
              <w:br/>
            </w:r>
            <w:r>
              <w:br/>
            </w:r>
            <w:r>
              <w:br/>
            </w:r>
            <w:r>
              <w:rPr>
                <w:szCs w:val="22"/>
              </w:rPr>
              <w:t>1 050.50</w:t>
            </w:r>
          </w:p>
        </w:tc>
      </w:tr>
      <w:tr>
        <w:trPr>
          <w:cantSplit/>
        </w:trPr>
        <w:tc>
          <w:tcPr>
            <w:tcW w:w="714" w:type="dxa"/>
          </w:tcPr>
          <w:p>
            <w:pPr>
              <w:pStyle w:val="yTableNAm"/>
            </w:pPr>
            <w:r>
              <w:t>8.</w:t>
            </w:r>
          </w:p>
        </w:tc>
        <w:tc>
          <w:tcPr>
            <w:tcW w:w="4146" w:type="dxa"/>
          </w:tcPr>
          <w:p>
            <w:pPr>
              <w:pStyle w:val="yTableNAm"/>
            </w:pPr>
            <w:r>
              <w:t>For the use, other than casual daily use, of an alongside berth (in the Pen B system)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br/>
            </w:r>
            <w:r>
              <w:rPr>
                <w:szCs w:val="22"/>
              </w:rPr>
              <w:t>616.00</w:t>
            </w:r>
          </w:p>
        </w:tc>
      </w:tr>
      <w:tr>
        <w:trPr>
          <w:cantSplit/>
        </w:trPr>
        <w:tc>
          <w:tcPr>
            <w:tcW w:w="714" w:type="dxa"/>
          </w:tcPr>
          <w:p>
            <w:pPr>
              <w:pStyle w:val="yTableNAm"/>
            </w:pPr>
            <w:r>
              <w:t>9.</w:t>
            </w:r>
          </w:p>
        </w:tc>
        <w:tc>
          <w:tcPr>
            <w:tcW w:w="4146" w:type="dxa"/>
          </w:tcPr>
          <w:p>
            <w:pPr>
              <w:pStyle w:val="yTableNAm"/>
            </w:pPr>
            <w:r>
              <w:t>For the use, other than casual daily use, of an alongside berth (in the Pen B system) by a service vessel, an amount calculated per metre of the vessel’s length using the annual rate of</w:t>
            </w:r>
          </w:p>
        </w:tc>
        <w:tc>
          <w:tcPr>
            <w:tcW w:w="1276" w:type="dxa"/>
          </w:tcPr>
          <w:p>
            <w:pPr>
              <w:pStyle w:val="yTableNAm"/>
              <w:jc w:val="center"/>
            </w:pPr>
            <w:r>
              <w:br/>
            </w:r>
            <w:r>
              <w:br/>
            </w:r>
            <w:r>
              <w:br/>
            </w:r>
            <w:r>
              <w:br/>
            </w:r>
            <w:r>
              <w:rPr>
                <w:szCs w:val="22"/>
              </w:rPr>
              <w:t>836.00</w:t>
            </w:r>
          </w:p>
        </w:tc>
      </w:tr>
      <w:tr>
        <w:trPr>
          <w:cantSplit/>
        </w:trPr>
        <w:tc>
          <w:tcPr>
            <w:tcW w:w="714" w:type="dxa"/>
          </w:tcPr>
          <w:p>
            <w:pPr>
              <w:pStyle w:val="yTableNAm"/>
            </w:pPr>
            <w:r>
              <w:t>10.</w:t>
            </w:r>
          </w:p>
        </w:tc>
        <w:tc>
          <w:tcPr>
            <w:tcW w:w="4146" w:type="dxa"/>
          </w:tcPr>
          <w:p>
            <w:pPr>
              <w:pStyle w:val="yTableNAm"/>
            </w:pPr>
            <w:r>
              <w:t>For the use, other than casual daily use, of a piled mooring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rPr>
                <w:szCs w:val="22"/>
              </w:rPr>
              <w:t>352.00</w:t>
            </w:r>
          </w:p>
        </w:tc>
      </w:tr>
      <w:tr>
        <w:trPr>
          <w:cantSplit/>
        </w:trPr>
        <w:tc>
          <w:tcPr>
            <w:tcW w:w="714" w:type="dxa"/>
          </w:tcPr>
          <w:p>
            <w:pPr>
              <w:pStyle w:val="yTableNAm"/>
            </w:pPr>
            <w:r>
              <w:t>11.</w:t>
            </w:r>
          </w:p>
        </w:tc>
        <w:tc>
          <w:tcPr>
            <w:tcW w:w="4146" w:type="dxa"/>
          </w:tcPr>
          <w:p>
            <w:pPr>
              <w:pStyle w:val="yTableNAm"/>
            </w:pPr>
            <w:r>
              <w:t>For the use, other than casual daily use, of a piled mooring by a service vessel, an amount calculated per metre of the vessel’s length using the annual rate of</w:t>
            </w:r>
          </w:p>
        </w:tc>
        <w:tc>
          <w:tcPr>
            <w:tcW w:w="1276" w:type="dxa"/>
          </w:tcPr>
          <w:p>
            <w:pPr>
              <w:pStyle w:val="yTableNAm"/>
              <w:jc w:val="center"/>
            </w:pPr>
            <w:r>
              <w:br/>
            </w:r>
            <w:r>
              <w:br/>
            </w:r>
            <w:r>
              <w:br/>
            </w:r>
            <w:r>
              <w:rPr>
                <w:szCs w:val="22"/>
              </w:rPr>
              <w:t>577.50</w:t>
            </w:r>
          </w:p>
        </w:tc>
      </w:tr>
      <w:tr>
        <w:trPr>
          <w:cantSplit/>
        </w:trPr>
        <w:tc>
          <w:tcPr>
            <w:tcW w:w="714" w:type="dxa"/>
          </w:tcPr>
          <w:p>
            <w:pPr>
              <w:pStyle w:val="yTableNAm"/>
            </w:pPr>
            <w:r>
              <w:t>12.</w:t>
            </w:r>
          </w:p>
        </w:tc>
        <w:tc>
          <w:tcPr>
            <w:tcW w:w="4146" w:type="dxa"/>
          </w:tcPr>
          <w:p>
            <w:pPr>
              <w:pStyle w:val="yTableNAm"/>
            </w:pPr>
            <w:r>
              <w:t>For the casual daily use of a pen, alongside berth or piled mooring by a recreational vessel, an amount calculated using standard Rate 2</w:t>
            </w:r>
          </w:p>
        </w:tc>
        <w:tc>
          <w:tcPr>
            <w:tcW w:w="1276" w:type="dxa"/>
          </w:tcPr>
          <w:p>
            <w:pPr>
              <w:pStyle w:val="yTableNAm"/>
              <w:jc w:val="center"/>
            </w:pPr>
          </w:p>
        </w:tc>
      </w:tr>
      <w:tr>
        <w:trPr>
          <w:cantSplit/>
        </w:trPr>
        <w:tc>
          <w:tcPr>
            <w:tcW w:w="714" w:type="dxa"/>
          </w:tcPr>
          <w:p>
            <w:pPr>
              <w:pStyle w:val="yTableNAm"/>
            </w:pPr>
            <w:r>
              <w:t>13.</w:t>
            </w:r>
          </w:p>
        </w:tc>
        <w:tc>
          <w:tcPr>
            <w:tcW w:w="4146" w:type="dxa"/>
          </w:tcPr>
          <w:p>
            <w:pPr>
              <w:pStyle w:val="yTableNAm"/>
            </w:pPr>
            <w:r>
              <w:t>For the casual daily use of a pen, alongside berth or piled mooring by a tourism vessel or fishing vessel (but not a service vessel), an amount calculated using standard Rate 1</w:t>
            </w:r>
          </w:p>
        </w:tc>
        <w:tc>
          <w:tcPr>
            <w:tcW w:w="1276" w:type="dxa"/>
          </w:tcPr>
          <w:p>
            <w:pPr>
              <w:pStyle w:val="yTableNAm"/>
              <w:jc w:val="center"/>
            </w:pPr>
          </w:p>
        </w:tc>
      </w:tr>
      <w:tr>
        <w:trPr>
          <w:cantSplit/>
        </w:trPr>
        <w:tc>
          <w:tcPr>
            <w:tcW w:w="714" w:type="dxa"/>
          </w:tcPr>
          <w:p>
            <w:pPr>
              <w:pStyle w:val="yTableNAm"/>
            </w:pPr>
            <w:r>
              <w:t>14.</w:t>
            </w:r>
          </w:p>
        </w:tc>
        <w:tc>
          <w:tcPr>
            <w:tcW w:w="4146" w:type="dxa"/>
          </w:tcPr>
          <w:p>
            <w:pPr>
              <w:pStyle w:val="yTableNAm"/>
            </w:pPr>
            <w:r>
              <w:t>For the short term use of an alongside berth on the service wharf by a vessel (other than a service vessel), an amount calculated using standard Rate 3</w:t>
            </w:r>
          </w:p>
        </w:tc>
        <w:tc>
          <w:tcPr>
            <w:tcW w:w="1276" w:type="dxa"/>
          </w:tcPr>
          <w:p>
            <w:pPr>
              <w:pStyle w:val="yTableNAm"/>
              <w:jc w:val="center"/>
            </w:pPr>
          </w:p>
        </w:tc>
      </w:tr>
      <w:tr>
        <w:trPr>
          <w:cantSplit/>
        </w:trPr>
        <w:tc>
          <w:tcPr>
            <w:tcW w:w="714" w:type="dxa"/>
          </w:tcPr>
          <w:p>
            <w:pPr>
              <w:pStyle w:val="yTableNAm"/>
            </w:pPr>
            <w:r>
              <w:t>15.</w:t>
            </w:r>
          </w:p>
        </w:tc>
        <w:tc>
          <w:tcPr>
            <w:tcW w:w="4146" w:type="dxa"/>
          </w:tcPr>
          <w:p>
            <w:pPr>
              <w:pStyle w:val="yTableNAm"/>
            </w:pPr>
            <w:r>
              <w:t>For the casual daily use of a pen, alongside berth other than the service wharf or piled mooring by a service vessel, an amount calculated per metre of the vessel’s length at the daily rate of</w:t>
            </w:r>
          </w:p>
        </w:tc>
        <w:tc>
          <w:tcPr>
            <w:tcW w:w="1276" w:type="dxa"/>
          </w:tcPr>
          <w:p>
            <w:pPr>
              <w:pStyle w:val="yTableNAm"/>
              <w:jc w:val="center"/>
            </w:pPr>
            <w:r>
              <w:br/>
            </w:r>
            <w:r>
              <w:br/>
            </w:r>
            <w:r>
              <w:br/>
            </w:r>
            <w:r>
              <w:br/>
            </w:r>
            <w:r>
              <w:rPr>
                <w:szCs w:val="22"/>
              </w:rPr>
              <w:t>11.15</w:t>
            </w:r>
          </w:p>
        </w:tc>
      </w:tr>
      <w:tr>
        <w:trPr>
          <w:cantSplit/>
        </w:trPr>
        <w:tc>
          <w:tcPr>
            <w:tcW w:w="714" w:type="dxa"/>
          </w:tcPr>
          <w:p>
            <w:pPr>
              <w:pStyle w:val="yTableNAm"/>
            </w:pPr>
            <w:r>
              <w:t>16.</w:t>
            </w:r>
          </w:p>
        </w:tc>
        <w:tc>
          <w:tcPr>
            <w:tcW w:w="4146" w:type="dxa"/>
          </w:tcPr>
          <w:p>
            <w:pPr>
              <w:pStyle w:val="yTableNAm"/>
            </w:pPr>
            <w:r>
              <w:t>For the use of a service wharf, other than while refuelling, by a service vessel, an amount calculated per metre of the vessel’s length at the 12</w:t>
            </w:r>
            <w:r>
              <w:noBreakHyphen/>
              <w:t>hourly rate of</w:t>
            </w:r>
          </w:p>
        </w:tc>
        <w:tc>
          <w:tcPr>
            <w:tcW w:w="1276" w:type="dxa"/>
          </w:tcPr>
          <w:p>
            <w:pPr>
              <w:pStyle w:val="yTableNAm"/>
              <w:jc w:val="center"/>
            </w:pPr>
            <w:r>
              <w:br/>
            </w:r>
            <w:r>
              <w:br/>
            </w:r>
            <w:r>
              <w:br/>
            </w:r>
            <w:r>
              <w:rPr>
                <w:szCs w:val="22"/>
              </w:rPr>
              <w:t>17.20</w:t>
            </w:r>
          </w:p>
        </w:tc>
      </w:tr>
      <w:tr>
        <w:trPr>
          <w:cantSplit/>
        </w:trPr>
        <w:tc>
          <w:tcPr>
            <w:tcW w:w="714" w:type="dxa"/>
            <w:tcBorders>
              <w:bottom w:val="single" w:sz="4" w:space="0" w:color="auto"/>
            </w:tcBorders>
          </w:tcPr>
          <w:p>
            <w:pPr>
              <w:pStyle w:val="yTableNAm"/>
            </w:pPr>
            <w:r>
              <w:t>17.</w:t>
            </w:r>
          </w:p>
        </w:tc>
        <w:tc>
          <w:tcPr>
            <w:tcW w:w="4146"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tcBorders>
              <w:bottom w:val="single" w:sz="4" w:space="0" w:color="auto"/>
            </w:tcBorders>
          </w:tcPr>
          <w:p>
            <w:pPr>
              <w:pStyle w:val="yTableNAm"/>
              <w:jc w:val="center"/>
            </w:pPr>
            <w:r>
              <w:br/>
            </w:r>
            <w:r>
              <w:br/>
            </w:r>
            <w:r>
              <w:br/>
            </w:r>
            <w:r>
              <w:rPr>
                <w:szCs w:val="22"/>
              </w:rPr>
              <w:t>1.70</w:t>
            </w:r>
          </w:p>
        </w:tc>
      </w:tr>
    </w:tbl>
    <w:p>
      <w:pPr>
        <w:pStyle w:val="yFootnotesection"/>
      </w:pPr>
      <w:r>
        <w:tab/>
        <w:t>[Clause 12 inserted in Gazette 22 Jul 2015 p. 2964</w:t>
      </w:r>
      <w:r>
        <w:noBreakHyphen/>
        <w:t>7; amended in Gazette 5 Apr 2016 p. 1023; 15 Apr 2016 p. 1175.]</w:t>
      </w:r>
    </w:p>
    <w:p>
      <w:pPr>
        <w:pStyle w:val="yHeading5"/>
      </w:pPr>
      <w:bookmarkStart w:id="325" w:name="_Toc455151572"/>
      <w:r>
        <w:rPr>
          <w:rStyle w:val="CharSClsNo"/>
        </w:rPr>
        <w:t>13</w:t>
      </w:r>
      <w:r>
        <w:t>.</w:t>
      </w:r>
      <w:r>
        <w:tab/>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25"/>
    </w:p>
    <w:p>
      <w:pPr>
        <w:pStyle w:val="ySubsection"/>
      </w:pPr>
      <w:r>
        <w:tab/>
        <w:t>(1)</w:t>
      </w:r>
      <w:r>
        <w:tab/>
        <w:t xml:space="preserve">This clause applies to the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13.1.</w:t>
      </w:r>
    </w:p>
    <w:p>
      <w:pPr>
        <w:pStyle w:val="yTHeadingNAm"/>
        <w:ind w:left="993"/>
      </w:pPr>
      <w:r>
        <w:t>Table 13.1 (Pen or berth rental)</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14" w:type="dxa"/>
          </w:tcPr>
          <w:p>
            <w:pPr>
              <w:pStyle w:val="yTableNAm"/>
            </w:pPr>
            <w:r>
              <w:t>1.</w:t>
            </w:r>
          </w:p>
        </w:tc>
        <w:tc>
          <w:tcPr>
            <w:tcW w:w="4146" w:type="dxa"/>
          </w:tcPr>
          <w:p>
            <w:pPr>
              <w:pStyle w:val="yTableNAm"/>
            </w:pPr>
            <w:r>
              <w:t xml:space="preserve">For the use, other than casual daily use, of a pen (not within </w:t>
            </w:r>
            <w:r>
              <w:rPr>
                <w:szCs w:val="22"/>
              </w:rPr>
              <w:t xml:space="preserve">Jetty 1A, Jetty 2 </w:t>
            </w:r>
            <w:r>
              <w:t xml:space="preserve">and Jetty 2A) with a walkway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per metre of the pen’s length using the annual rate of</w:t>
            </w:r>
          </w:p>
        </w:tc>
        <w:tc>
          <w:tcPr>
            <w:tcW w:w="1276" w:type="dxa"/>
          </w:tcPr>
          <w:p>
            <w:pPr>
              <w:pStyle w:val="yTableNAm"/>
              <w:jc w:val="center"/>
            </w:pPr>
            <w:r>
              <w:br/>
            </w:r>
            <w:r>
              <w:br/>
            </w:r>
            <w:r>
              <w:rPr>
                <w:szCs w:val="22"/>
              </w:rPr>
              <w:t>346.50</w:t>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per metre of the pen’s length using the annual rate of</w:t>
            </w:r>
          </w:p>
        </w:tc>
        <w:tc>
          <w:tcPr>
            <w:tcW w:w="1276" w:type="dxa"/>
          </w:tcPr>
          <w:p>
            <w:pPr>
              <w:pStyle w:val="yTableNAm"/>
              <w:jc w:val="center"/>
            </w:pPr>
            <w:r>
              <w:br/>
            </w:r>
            <w:r>
              <w:br/>
            </w:r>
            <w:r>
              <w:rPr>
                <w:szCs w:val="22"/>
              </w:rPr>
              <w:t>462.00</w:t>
            </w:r>
          </w:p>
        </w:tc>
      </w:tr>
      <w:tr>
        <w:trPr>
          <w:cantSplit/>
        </w:trPr>
        <w:tc>
          <w:tcPr>
            <w:tcW w:w="714" w:type="dxa"/>
          </w:tcPr>
          <w:p>
            <w:pPr>
              <w:pStyle w:val="yTableNAm"/>
            </w:pPr>
            <w:r>
              <w:t>2.</w:t>
            </w:r>
          </w:p>
        </w:tc>
        <w:tc>
          <w:tcPr>
            <w:tcW w:w="4146" w:type="dxa"/>
          </w:tcPr>
          <w:p>
            <w:pPr>
              <w:pStyle w:val="yTableNAm"/>
            </w:pPr>
            <w:r>
              <w:t xml:space="preserve">For the use, other than casual daily use, of a pen (not within </w:t>
            </w:r>
            <w:r>
              <w:rPr>
                <w:szCs w:val="22"/>
              </w:rPr>
              <w:t xml:space="preserve">Jetty 1A, Jetty 2 </w:t>
            </w:r>
            <w:r>
              <w:t xml:space="preserve">and Jetty 2A) without a walkway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per metre of the pen’s length using the annual rate of</w:t>
            </w:r>
          </w:p>
        </w:tc>
        <w:tc>
          <w:tcPr>
            <w:tcW w:w="1276" w:type="dxa"/>
          </w:tcPr>
          <w:p>
            <w:pPr>
              <w:pStyle w:val="yTableNAm"/>
              <w:jc w:val="center"/>
            </w:pPr>
            <w:r>
              <w:br/>
            </w:r>
            <w:r>
              <w:br/>
            </w:r>
            <w:r>
              <w:rPr>
                <w:szCs w:val="22"/>
              </w:rPr>
              <w:t>319.00</w:t>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per metre of the pen’s length using the annual rate of</w:t>
            </w:r>
          </w:p>
        </w:tc>
        <w:tc>
          <w:tcPr>
            <w:tcW w:w="1276" w:type="dxa"/>
          </w:tcPr>
          <w:p>
            <w:pPr>
              <w:pStyle w:val="yTableNAm"/>
              <w:jc w:val="center"/>
            </w:pPr>
            <w:r>
              <w:br/>
            </w:r>
            <w:r>
              <w:br/>
            </w:r>
            <w:r>
              <w:rPr>
                <w:szCs w:val="22"/>
              </w:rPr>
              <w:t>429.00</w:t>
            </w:r>
          </w:p>
        </w:tc>
      </w:tr>
      <w:tr>
        <w:trPr>
          <w:cantSplit/>
        </w:trPr>
        <w:tc>
          <w:tcPr>
            <w:tcW w:w="714" w:type="dxa"/>
          </w:tcPr>
          <w:p>
            <w:pPr>
              <w:pStyle w:val="yTableNAm"/>
            </w:pPr>
            <w:r>
              <w:t>3.</w:t>
            </w:r>
          </w:p>
        </w:tc>
        <w:tc>
          <w:tcPr>
            <w:tcW w:w="4146" w:type="dxa"/>
          </w:tcPr>
          <w:p>
            <w:pPr>
              <w:pStyle w:val="yTableNAm"/>
            </w:pPr>
            <w:r>
              <w:t xml:space="preserve">For the use, other than casual daily use, of an alongside berth (not within </w:t>
            </w:r>
            <w:r>
              <w:rPr>
                <w:szCs w:val="22"/>
              </w:rPr>
              <w:t xml:space="preserve">Jetty 1A, Jetty 2 </w:t>
            </w:r>
            <w:r>
              <w:t xml:space="preserve">and Jetty 2A)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per metre of the vessel’s length using the annual rate of</w:t>
            </w:r>
          </w:p>
        </w:tc>
        <w:tc>
          <w:tcPr>
            <w:tcW w:w="1276" w:type="dxa"/>
          </w:tcPr>
          <w:p>
            <w:pPr>
              <w:pStyle w:val="yTableNAm"/>
              <w:jc w:val="center"/>
            </w:pPr>
            <w:r>
              <w:br/>
            </w:r>
            <w:r>
              <w:br/>
            </w:r>
            <w:r>
              <w:rPr>
                <w:szCs w:val="22"/>
              </w:rPr>
              <w:t>346.50</w:t>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per metre of the vessel’s length using the annual rate of</w:t>
            </w:r>
          </w:p>
        </w:tc>
        <w:tc>
          <w:tcPr>
            <w:tcW w:w="1276" w:type="dxa"/>
          </w:tcPr>
          <w:p>
            <w:pPr>
              <w:pStyle w:val="yTableNAm"/>
              <w:jc w:val="center"/>
            </w:pPr>
            <w:r>
              <w:br/>
            </w:r>
            <w:r>
              <w:br/>
            </w:r>
            <w:r>
              <w:rPr>
                <w:szCs w:val="22"/>
              </w:rPr>
              <w:t>462.00</w:t>
            </w:r>
          </w:p>
        </w:tc>
      </w:tr>
      <w:tr>
        <w:trPr>
          <w:cantSplit/>
        </w:trPr>
        <w:tc>
          <w:tcPr>
            <w:tcW w:w="714" w:type="dxa"/>
          </w:tcPr>
          <w:p>
            <w:pPr>
              <w:pStyle w:val="yTableNAm"/>
            </w:pPr>
            <w:r>
              <w:t>4.</w:t>
            </w:r>
          </w:p>
        </w:tc>
        <w:tc>
          <w:tcPr>
            <w:tcW w:w="4146" w:type="dxa"/>
          </w:tcPr>
          <w:p>
            <w:pPr>
              <w:pStyle w:val="yTableNAm"/>
            </w:pPr>
            <w:r>
              <w:t xml:space="preserve">For the use, other than casual daily use, of a pen (within </w:t>
            </w:r>
            <w:r>
              <w:rPr>
                <w:szCs w:val="22"/>
              </w:rPr>
              <w:t>Jetty 1A, Jetty 2</w:t>
            </w:r>
            <w:r>
              <w:t xml:space="preserve"> and Jetty 2A) by a vessel, an amount calculated per metre of the pen’s length using the annual rate of</w:t>
            </w:r>
          </w:p>
        </w:tc>
        <w:tc>
          <w:tcPr>
            <w:tcW w:w="1276" w:type="dxa"/>
          </w:tcPr>
          <w:p>
            <w:pPr>
              <w:pStyle w:val="yTableNAm"/>
              <w:jc w:val="center"/>
            </w:pPr>
            <w:r>
              <w:br/>
            </w:r>
            <w:r>
              <w:br/>
            </w:r>
            <w:r>
              <w:br/>
            </w:r>
            <w:r>
              <w:br/>
            </w:r>
            <w:r>
              <w:rPr>
                <w:szCs w:val="22"/>
              </w:rPr>
              <w:t>693.00</w:t>
            </w:r>
          </w:p>
        </w:tc>
      </w:tr>
      <w:tr>
        <w:trPr>
          <w:cantSplit/>
        </w:trPr>
        <w:tc>
          <w:tcPr>
            <w:tcW w:w="714" w:type="dxa"/>
          </w:tcPr>
          <w:p>
            <w:pPr>
              <w:pStyle w:val="yTableNAm"/>
            </w:pPr>
            <w:r>
              <w:t>5.</w:t>
            </w:r>
          </w:p>
        </w:tc>
        <w:tc>
          <w:tcPr>
            <w:tcW w:w="4146" w:type="dxa"/>
          </w:tcPr>
          <w:p>
            <w:pPr>
              <w:pStyle w:val="yTableNAm"/>
            </w:pPr>
            <w:r>
              <w:t xml:space="preserve">For the use, other than casual daily use, of an alongside berth (within </w:t>
            </w:r>
            <w:r>
              <w:rPr>
                <w:szCs w:val="22"/>
              </w:rPr>
              <w:t>Jetty 1A, Jetty 2</w:t>
            </w:r>
            <w:r>
              <w:t xml:space="preserve"> and Jetty 2A) by a vessel, an amount calculated per metre of the vessel’s length using the annual rate of</w:t>
            </w:r>
          </w:p>
        </w:tc>
        <w:tc>
          <w:tcPr>
            <w:tcW w:w="1276" w:type="dxa"/>
          </w:tcPr>
          <w:p>
            <w:pPr>
              <w:pStyle w:val="yTableNAm"/>
              <w:jc w:val="center"/>
            </w:pPr>
            <w:r>
              <w:br/>
            </w:r>
            <w:r>
              <w:br/>
            </w:r>
            <w:r>
              <w:br/>
            </w:r>
            <w:r>
              <w:br/>
            </w:r>
            <w:r>
              <w:rPr>
                <w:szCs w:val="22"/>
              </w:rPr>
              <w:t>693.00</w:t>
            </w:r>
          </w:p>
        </w:tc>
      </w:tr>
      <w:tr>
        <w:trPr>
          <w:cantSplit/>
        </w:trPr>
        <w:tc>
          <w:tcPr>
            <w:tcW w:w="714" w:type="dxa"/>
          </w:tcPr>
          <w:p>
            <w:pPr>
              <w:pStyle w:val="yTableNAm"/>
            </w:pPr>
            <w:r>
              <w:t>6.</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7.</w:t>
            </w:r>
          </w:p>
        </w:tc>
        <w:tc>
          <w:tcPr>
            <w:tcW w:w="4146"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vAlign w:val="bottom"/>
          </w:tcPr>
          <w:p>
            <w:pPr>
              <w:pStyle w:val="yTableNAm"/>
              <w:jc w:val="center"/>
            </w:pPr>
          </w:p>
        </w:tc>
      </w:tr>
    </w:tbl>
    <w:p>
      <w:pPr>
        <w:pStyle w:val="yFootnotesection"/>
      </w:pPr>
      <w:r>
        <w:tab/>
        <w:t>[Clause 13 inserted in Gazette 22 Jul 2015 p. 2967</w:t>
      </w:r>
      <w:r>
        <w:noBreakHyphen/>
        <w:t>9; amended in Gazette 15 Apr 2016 p. 1175-6.]</w:t>
      </w:r>
    </w:p>
    <w:p>
      <w:pPr>
        <w:pStyle w:val="yHeading5"/>
      </w:pPr>
      <w:bookmarkStart w:id="326" w:name="_Toc455151573"/>
      <w:r>
        <w:rPr>
          <w:rStyle w:val="CharSClsNo"/>
        </w:rPr>
        <w:t>14</w:t>
      </w:r>
      <w:r>
        <w:t>.</w:t>
      </w:r>
      <w:r>
        <w:tab/>
        <w:t xml:space="preserve">Geraldton,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26"/>
    </w:p>
    <w:p>
      <w:pPr>
        <w:pStyle w:val="ySubsection"/>
      </w:pPr>
      <w:r>
        <w:tab/>
        <w:t>(1)</w:t>
      </w:r>
      <w:r>
        <w:tab/>
        <w:t xml:space="preserve">This clause applies to the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Geraldton.</w:t>
      </w:r>
    </w:p>
    <w:p>
      <w:pPr>
        <w:pStyle w:val="ySubsection"/>
      </w:pPr>
      <w:r>
        <w:tab/>
        <w:t>(2)</w:t>
      </w:r>
      <w:r>
        <w:tab/>
        <w:t>The dues and charges to be paid under these regulations are set out in Table 14.1.</w:t>
      </w:r>
    </w:p>
    <w:p>
      <w:pPr>
        <w:pStyle w:val="yTHeadingNAm"/>
        <w:ind w:left="993"/>
      </w:pPr>
      <w:r>
        <w:t>Table 14.1 (Pen or berth rental)</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46" w:type="dxa"/>
          </w:tcPr>
          <w:p>
            <w:pPr>
              <w:pStyle w:val="yTableNAm"/>
            </w:pPr>
            <w:r>
              <w:t>For the use, other than casual daily use, of a pen by a vessel, an amount calculated per metre of the pen’s length using the annual rate of</w:t>
            </w:r>
          </w:p>
        </w:tc>
        <w:tc>
          <w:tcPr>
            <w:tcW w:w="1276" w:type="dxa"/>
          </w:tcPr>
          <w:p>
            <w:pPr>
              <w:pStyle w:val="yTableNAm"/>
              <w:jc w:val="center"/>
            </w:pPr>
            <w:r>
              <w:br/>
            </w:r>
            <w:r>
              <w:br/>
            </w:r>
            <w:r>
              <w:br/>
            </w:r>
            <w:r>
              <w:rPr>
                <w:szCs w:val="22"/>
              </w:rPr>
              <w:t>553.30</w:t>
            </w:r>
          </w:p>
        </w:tc>
      </w:tr>
      <w:tr>
        <w:trPr>
          <w:cantSplit/>
        </w:trPr>
        <w:tc>
          <w:tcPr>
            <w:tcW w:w="714" w:type="dxa"/>
          </w:tcPr>
          <w:p>
            <w:pPr>
              <w:pStyle w:val="yTableNAm"/>
            </w:pPr>
            <w:r>
              <w:t>2.</w:t>
            </w:r>
          </w:p>
        </w:tc>
        <w:tc>
          <w:tcPr>
            <w:tcW w:w="4146" w:type="dxa"/>
          </w:tcPr>
          <w:p>
            <w:pPr>
              <w:pStyle w:val="yTableNAm"/>
            </w:pPr>
            <w:r>
              <w:t>For the use, other than casual daily use, of an alongside berth by a vessel, an amount calculated per metre of the vessel’s length using the annual rate of</w:t>
            </w:r>
          </w:p>
        </w:tc>
        <w:tc>
          <w:tcPr>
            <w:tcW w:w="1276" w:type="dxa"/>
          </w:tcPr>
          <w:p>
            <w:pPr>
              <w:pStyle w:val="yTableNAm"/>
              <w:jc w:val="center"/>
            </w:pPr>
            <w:r>
              <w:br/>
            </w:r>
            <w:r>
              <w:br/>
            </w:r>
            <w:r>
              <w:br/>
            </w:r>
            <w:r>
              <w:rPr>
                <w:szCs w:val="22"/>
              </w:rPr>
              <w:t>553.30</w:t>
            </w:r>
          </w:p>
        </w:tc>
      </w:tr>
      <w:tr>
        <w:trPr>
          <w:cantSplit/>
        </w:trPr>
        <w:tc>
          <w:tcPr>
            <w:tcW w:w="714"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14 inserted in Gazette 22 Jul 2015 p. 2969</w:t>
      </w:r>
      <w:r>
        <w:noBreakHyphen/>
        <w:t>70; amended in Gazette 15 Apr 2016 p. 1176.]</w:t>
      </w:r>
    </w:p>
    <w:p>
      <w:pPr>
        <w:pStyle w:val="yHeading5"/>
      </w:pPr>
      <w:bookmarkStart w:id="327" w:name="_Toc455151574"/>
      <w:r>
        <w:rPr>
          <w:rStyle w:val="CharSClsNo"/>
        </w:rPr>
        <w:t>15</w:t>
      </w:r>
      <w:r>
        <w:t>.</w:t>
      </w:r>
      <w:r>
        <w:tab/>
        <w:t>Green Head</w:t>
      </w:r>
      <w:bookmarkEnd w:id="327"/>
    </w:p>
    <w:p>
      <w:pPr>
        <w:pStyle w:val="ySubsection"/>
      </w:pPr>
      <w:r>
        <w:tab/>
        <w:t>(1)</w:t>
      </w:r>
      <w:r>
        <w:tab/>
        <w:t>This clause applies to Green Head.</w:t>
      </w:r>
    </w:p>
    <w:p>
      <w:pPr>
        <w:pStyle w:val="ySubsection"/>
      </w:pPr>
      <w:r>
        <w:tab/>
        <w:t>(2)</w:t>
      </w:r>
      <w:r>
        <w:tab/>
        <w:t>The berthing dues to be paid under these regulations are set out in Table 15.1.</w:t>
      </w:r>
    </w:p>
    <w:p>
      <w:pPr>
        <w:pStyle w:val="yTHeadingNAm"/>
        <w:ind w:left="993"/>
      </w:pPr>
      <w:r>
        <w:t>Table 15.1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14"/>
        <w:gridCol w:w="4160"/>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60" w:type="dxa"/>
          </w:tcPr>
          <w:p>
            <w:pPr>
              <w:pStyle w:val="yTableNAm"/>
            </w:pPr>
            <w:r>
              <w:t xml:space="preserve">For the casual daily use of an alongside berth — </w:t>
            </w:r>
          </w:p>
        </w:tc>
        <w:tc>
          <w:tcPr>
            <w:tcW w:w="1276" w:type="dxa"/>
          </w:tcPr>
          <w:p>
            <w:pPr>
              <w:pStyle w:val="yTableNAm"/>
              <w:jc w:val="center"/>
            </w:pPr>
          </w:p>
        </w:tc>
      </w:tr>
      <w:tr>
        <w:trPr>
          <w:cantSplit/>
        </w:trPr>
        <w:tc>
          <w:tcPr>
            <w:tcW w:w="714"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2.</w:t>
            </w:r>
          </w:p>
        </w:tc>
        <w:tc>
          <w:tcPr>
            <w:tcW w:w="4160" w:type="dxa"/>
            <w:tcBorders>
              <w:bottom w:val="single" w:sz="4" w:space="0" w:color="auto"/>
            </w:tcBorders>
          </w:tcPr>
          <w:p>
            <w:pPr>
              <w:pStyle w:val="yTableNAm"/>
            </w:pPr>
            <w:r>
              <w:t>For the short term use of the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15 inserted in Gazette 22 Jul 2015 p. 2970; amended in Gazette 5 Apr 2016 p. 1023.]</w:t>
      </w:r>
    </w:p>
    <w:p>
      <w:pPr>
        <w:pStyle w:val="yHeading5"/>
      </w:pPr>
      <w:bookmarkStart w:id="328" w:name="_Toc455151575"/>
      <w:r>
        <w:rPr>
          <w:rStyle w:val="CharSClsNo"/>
        </w:rPr>
        <w:t>16</w:t>
      </w:r>
      <w:r>
        <w:t>.</w:t>
      </w:r>
      <w:r>
        <w:tab/>
        <w:t>Hopetoun</w:t>
      </w:r>
      <w:bookmarkEnd w:id="328"/>
    </w:p>
    <w:p>
      <w:pPr>
        <w:pStyle w:val="ySubsection"/>
      </w:pPr>
      <w:r>
        <w:tab/>
        <w:t>(1)</w:t>
      </w:r>
      <w:r>
        <w:tab/>
        <w:t>This clause applies to Hopetoun.</w:t>
      </w:r>
    </w:p>
    <w:p>
      <w:pPr>
        <w:pStyle w:val="ySubsection"/>
      </w:pPr>
      <w:r>
        <w:tab/>
        <w:t>(2)</w:t>
      </w:r>
      <w:r>
        <w:tab/>
        <w:t>The berthing dues to be paid under these regulations are set out in Table 16.1.</w:t>
      </w:r>
    </w:p>
    <w:p>
      <w:pPr>
        <w:pStyle w:val="yTHeadingNAm"/>
        <w:ind w:left="993"/>
      </w:pPr>
      <w:r>
        <w:t>Table 16.1 (Berthing)</w:t>
      </w:r>
    </w:p>
    <w:tbl>
      <w:tblPr>
        <w:tblW w:w="6164" w:type="dxa"/>
        <w:tblInd w:w="981" w:type="dxa"/>
        <w:tblLayout w:type="fixed"/>
        <w:tblCellMar>
          <w:top w:w="57" w:type="dxa"/>
          <w:left w:w="57" w:type="dxa"/>
          <w:right w:w="57" w:type="dxa"/>
        </w:tblCellMar>
        <w:tblLook w:val="0000" w:firstRow="0" w:lastRow="0" w:firstColumn="0" w:lastColumn="0" w:noHBand="0" w:noVBand="0"/>
      </w:tblPr>
      <w:tblGrid>
        <w:gridCol w:w="714"/>
        <w:gridCol w:w="4174"/>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74" w:type="dxa"/>
          </w:tcPr>
          <w:p>
            <w:pPr>
              <w:pStyle w:val="yTableNAm"/>
            </w:pPr>
            <w:r>
              <w:t>For casual daily use of an alongside berth by a commercial vessel, an amount calculated using standard Rate 1</w:t>
            </w:r>
          </w:p>
        </w:tc>
        <w:tc>
          <w:tcPr>
            <w:tcW w:w="1276" w:type="dxa"/>
          </w:tcPr>
          <w:p>
            <w:pPr>
              <w:pStyle w:val="yTableNAm"/>
              <w:jc w:val="center"/>
            </w:pPr>
          </w:p>
        </w:tc>
      </w:tr>
      <w:tr>
        <w:trPr>
          <w:cantSplit/>
        </w:trPr>
        <w:tc>
          <w:tcPr>
            <w:tcW w:w="714" w:type="dxa"/>
          </w:tcPr>
          <w:p>
            <w:pPr>
              <w:pStyle w:val="yTableNAm"/>
            </w:pPr>
            <w:r>
              <w:t>2.</w:t>
            </w:r>
          </w:p>
        </w:tc>
        <w:tc>
          <w:tcPr>
            <w:tcW w:w="4174" w:type="dxa"/>
          </w:tcPr>
          <w:p>
            <w:pPr>
              <w:pStyle w:val="yTableNAm"/>
            </w:pPr>
            <w:r>
              <w:t>For the casual daily use of an alongside berth 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3.</w:t>
            </w:r>
          </w:p>
        </w:tc>
        <w:tc>
          <w:tcPr>
            <w:tcW w:w="4174"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16 inserted in Gazette 22 Jul 2015 p. 2970</w:t>
      </w:r>
      <w:r>
        <w:noBreakHyphen/>
        <w:t>1.]</w:t>
      </w:r>
    </w:p>
    <w:p>
      <w:pPr>
        <w:pStyle w:val="yHeading5"/>
      </w:pPr>
      <w:bookmarkStart w:id="329" w:name="_Toc455151576"/>
      <w:r>
        <w:rPr>
          <w:rStyle w:val="CharSClsNo"/>
        </w:rPr>
        <w:t>17</w:t>
      </w:r>
      <w:r>
        <w:t>.</w:t>
      </w:r>
      <w:r>
        <w:tab/>
        <w:t>Jurien Boat Harbour</w:t>
      </w:r>
      <w:bookmarkEnd w:id="329"/>
    </w:p>
    <w:p>
      <w:pPr>
        <w:pStyle w:val="ySubsection"/>
      </w:pPr>
      <w:r>
        <w:tab/>
        <w:t>(1)</w:t>
      </w:r>
      <w:r>
        <w:tab/>
        <w:t xml:space="preserve">This clause applies to the </w:t>
      </w:r>
      <w:smartTag w:uri="urn:schemas-microsoft-com:office:smarttags" w:element="place">
        <w:smartTag w:uri="urn:schemas-microsoft-com:office:smarttags" w:element="PlaceName">
          <w:r>
            <w:t>Jurien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17.1.</w:t>
      </w:r>
    </w:p>
    <w:p>
      <w:pPr>
        <w:pStyle w:val="yTHeadingNAm"/>
        <w:ind w:left="993"/>
      </w:pPr>
      <w:r>
        <w:t>Table 17.1 (Pen use and alongside berthing)</w:t>
      </w:r>
    </w:p>
    <w:tbl>
      <w:tblPr>
        <w:tblW w:w="6164" w:type="dxa"/>
        <w:tblInd w:w="981" w:type="dxa"/>
        <w:tblLayout w:type="fixed"/>
        <w:tblCellMar>
          <w:top w:w="57" w:type="dxa"/>
          <w:left w:w="57" w:type="dxa"/>
          <w:right w:w="57" w:type="dxa"/>
        </w:tblCellMar>
        <w:tblLook w:val="0000" w:firstRow="0" w:lastRow="0" w:firstColumn="0" w:lastColumn="0" w:noHBand="0" w:noVBand="0"/>
      </w:tblPr>
      <w:tblGrid>
        <w:gridCol w:w="728"/>
        <w:gridCol w:w="4160"/>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60"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407.00</w:t>
            </w:r>
          </w:p>
        </w:tc>
      </w:tr>
      <w:tr>
        <w:trPr>
          <w:cantSplit/>
        </w:trPr>
        <w:tc>
          <w:tcPr>
            <w:tcW w:w="728" w:type="dxa"/>
          </w:tcPr>
          <w:p>
            <w:pPr>
              <w:pStyle w:val="yTableNAm"/>
            </w:pPr>
            <w:r>
              <w:t>2.</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440.00</w:t>
            </w:r>
          </w:p>
        </w:tc>
      </w:tr>
      <w:tr>
        <w:trPr>
          <w:cantSplit/>
        </w:trPr>
        <w:tc>
          <w:tcPr>
            <w:tcW w:w="728" w:type="dxa"/>
          </w:tcPr>
          <w:p>
            <w:pPr>
              <w:pStyle w:val="yTableNAm"/>
            </w:pPr>
            <w:r>
              <w:t>3.</w:t>
            </w:r>
          </w:p>
        </w:tc>
        <w:tc>
          <w:tcPr>
            <w:tcW w:w="4160"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60"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17 inserted in Gazette 22 Jul 2015 p. 2971</w:t>
      </w:r>
      <w:r>
        <w:noBreakHyphen/>
        <w:t>2; amended in Gazette 15 Apr 2016 p. 1176.]</w:t>
      </w:r>
    </w:p>
    <w:p>
      <w:pPr>
        <w:pStyle w:val="yHeading5"/>
      </w:pPr>
      <w:bookmarkStart w:id="330" w:name="_Toc455151577"/>
      <w:r>
        <w:rPr>
          <w:rStyle w:val="CharSClsNo"/>
        </w:rPr>
        <w:t>18</w:t>
      </w:r>
      <w:r>
        <w:t>.</w:t>
      </w:r>
      <w:r>
        <w:tab/>
        <w:t>Kalbarri Boat Harbour</w:t>
      </w:r>
      <w:bookmarkEnd w:id="330"/>
    </w:p>
    <w:p>
      <w:pPr>
        <w:pStyle w:val="ySubsection"/>
      </w:pPr>
      <w:r>
        <w:tab/>
        <w:t>(1)</w:t>
      </w:r>
      <w:r>
        <w:tab/>
        <w:t xml:space="preserve">This clause applies to the </w:t>
      </w:r>
      <w:smartTag w:uri="urn:schemas-microsoft-com:office:smarttags" w:element="place">
        <w:smartTag w:uri="urn:schemas-microsoft-com:office:smarttags" w:element="PlaceName">
          <w:r>
            <w:t>Kalbarri</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18.1.</w:t>
      </w:r>
    </w:p>
    <w:p>
      <w:pPr>
        <w:pStyle w:val="yTHeadingNAm"/>
        <w:ind w:left="993"/>
      </w:pPr>
      <w:r>
        <w:t>Table 18.1 (Pen use and alongside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28"/>
        <w:gridCol w:w="4174"/>
        <w:gridCol w:w="1276"/>
      </w:tblGrid>
      <w:tr>
        <w:trPr>
          <w:cantSplit/>
          <w:tblHeader/>
        </w:trPr>
        <w:tc>
          <w:tcPr>
            <w:tcW w:w="728" w:type="dxa"/>
            <w:tcBorders>
              <w:top w:val="single" w:sz="4" w:space="0" w:color="auto"/>
              <w:bottom w:val="single" w:sz="4" w:space="0" w:color="auto"/>
            </w:tcBorders>
          </w:tcPr>
          <w:p>
            <w:pPr>
              <w:pStyle w:val="yTableNAm"/>
              <w:keepNext/>
            </w:pPr>
            <w:r>
              <w:rPr>
                <w:b/>
              </w:rPr>
              <w:t>Item</w:t>
            </w:r>
          </w:p>
        </w:tc>
        <w:tc>
          <w:tcPr>
            <w:tcW w:w="4174"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28" w:type="dxa"/>
          </w:tcPr>
          <w:p>
            <w:pPr>
              <w:pStyle w:val="yTableNAm"/>
            </w:pPr>
            <w:r>
              <w:t>1.</w:t>
            </w:r>
          </w:p>
        </w:tc>
        <w:tc>
          <w:tcPr>
            <w:tcW w:w="4174"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280.50</w:t>
            </w:r>
          </w:p>
        </w:tc>
      </w:tr>
      <w:tr>
        <w:trPr>
          <w:cantSplit/>
        </w:trPr>
        <w:tc>
          <w:tcPr>
            <w:tcW w:w="728" w:type="dxa"/>
          </w:tcPr>
          <w:p>
            <w:pPr>
              <w:pStyle w:val="yTableNAm"/>
            </w:pPr>
            <w:r>
              <w:t>2.</w:t>
            </w:r>
          </w:p>
        </w:tc>
        <w:tc>
          <w:tcPr>
            <w:tcW w:w="4174"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280.50</w:t>
            </w:r>
          </w:p>
        </w:tc>
      </w:tr>
      <w:tr>
        <w:trPr>
          <w:cantSplit/>
        </w:trPr>
        <w:tc>
          <w:tcPr>
            <w:tcW w:w="728" w:type="dxa"/>
          </w:tcPr>
          <w:p>
            <w:pPr>
              <w:pStyle w:val="yTableNAm"/>
            </w:pPr>
            <w:r>
              <w:t>3.</w:t>
            </w:r>
          </w:p>
        </w:tc>
        <w:tc>
          <w:tcPr>
            <w:tcW w:w="4174"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tabs>
                <w:tab w:val="clear" w:pos="567"/>
              </w:tabs>
            </w:pPr>
          </w:p>
        </w:tc>
        <w:tc>
          <w:tcPr>
            <w:tcW w:w="4174"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tabs>
                <w:tab w:val="clear" w:pos="567"/>
              </w:tabs>
            </w:pPr>
          </w:p>
        </w:tc>
        <w:tc>
          <w:tcPr>
            <w:tcW w:w="4174"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74"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18 inserted in Gazette 22 Jul 2015 p. 2972; amended in Gazette 15 Apr 2016 p. 1176.]</w:t>
      </w:r>
    </w:p>
    <w:p>
      <w:pPr>
        <w:pStyle w:val="yHeading5"/>
      </w:pPr>
      <w:bookmarkStart w:id="331" w:name="_Toc455151578"/>
      <w:r>
        <w:rPr>
          <w:rStyle w:val="CharSClsNo"/>
        </w:rPr>
        <w:t>19</w:t>
      </w:r>
      <w:r>
        <w:t>.</w:t>
      </w:r>
      <w:r>
        <w:tab/>
        <w:t>Lancelin</w:t>
      </w:r>
      <w:bookmarkEnd w:id="331"/>
    </w:p>
    <w:p>
      <w:pPr>
        <w:pStyle w:val="ySubsection"/>
      </w:pPr>
      <w:r>
        <w:tab/>
        <w:t>(1)</w:t>
      </w:r>
      <w:r>
        <w:tab/>
        <w:t>This clause applies to Lancelin.</w:t>
      </w:r>
    </w:p>
    <w:p>
      <w:pPr>
        <w:pStyle w:val="ySubsection"/>
      </w:pPr>
      <w:r>
        <w:tab/>
        <w:t>(2)</w:t>
      </w:r>
      <w:r>
        <w:tab/>
        <w:t>The berthing dues to be paid under these regulations are set out in Table 19.1.</w:t>
      </w:r>
    </w:p>
    <w:p>
      <w:pPr>
        <w:pStyle w:val="yTHeadingNAm"/>
        <w:ind w:left="993"/>
      </w:pPr>
      <w:r>
        <w:t>Table 19.1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14"/>
        <w:gridCol w:w="4188"/>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88"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14" w:type="dxa"/>
          </w:tcPr>
          <w:p>
            <w:pPr>
              <w:pStyle w:val="yTableNAm"/>
            </w:pPr>
            <w:r>
              <w:t>1.</w:t>
            </w:r>
          </w:p>
        </w:tc>
        <w:tc>
          <w:tcPr>
            <w:tcW w:w="4188" w:type="dxa"/>
          </w:tcPr>
          <w:p>
            <w:pPr>
              <w:pStyle w:val="yTableNAm"/>
            </w:pPr>
            <w:r>
              <w:t>For the casual daily use of an alongside berth by a commercial vessel, an amount calculated using standard Rate 1</w:t>
            </w:r>
          </w:p>
        </w:tc>
        <w:tc>
          <w:tcPr>
            <w:tcW w:w="1276" w:type="dxa"/>
          </w:tcPr>
          <w:p>
            <w:pPr>
              <w:pStyle w:val="yTableNAm"/>
              <w:jc w:val="center"/>
            </w:pPr>
          </w:p>
        </w:tc>
      </w:tr>
      <w:tr>
        <w:trPr>
          <w:cantSplit/>
        </w:trPr>
        <w:tc>
          <w:tcPr>
            <w:tcW w:w="714" w:type="dxa"/>
          </w:tcPr>
          <w:p>
            <w:pPr>
              <w:pStyle w:val="yTableNAm"/>
            </w:pPr>
            <w:r>
              <w:t>2.</w:t>
            </w:r>
          </w:p>
        </w:tc>
        <w:tc>
          <w:tcPr>
            <w:tcW w:w="4188" w:type="dxa"/>
          </w:tcPr>
          <w:p>
            <w:pPr>
              <w:pStyle w:val="yTableNAm"/>
            </w:pPr>
            <w:r>
              <w:t>For the casual daily use of an alongside berth 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3.</w:t>
            </w:r>
          </w:p>
        </w:tc>
        <w:tc>
          <w:tcPr>
            <w:tcW w:w="4188"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19 inserted in Gazette 22 Jul 2015 p. 2973.]</w:t>
      </w:r>
    </w:p>
    <w:p>
      <w:pPr>
        <w:pStyle w:val="yHeading5"/>
      </w:pPr>
      <w:bookmarkStart w:id="332" w:name="_Toc455151579"/>
      <w:r>
        <w:rPr>
          <w:rStyle w:val="CharSClsNo"/>
        </w:rPr>
        <w:t>20</w:t>
      </w:r>
      <w:r>
        <w:t>.</w:t>
      </w:r>
      <w:r>
        <w:tab/>
        <w:t>Leeman</w:t>
      </w:r>
      <w:bookmarkEnd w:id="332"/>
    </w:p>
    <w:p>
      <w:pPr>
        <w:pStyle w:val="ySubsection"/>
      </w:pPr>
      <w:r>
        <w:tab/>
        <w:t>(1)</w:t>
      </w:r>
      <w:r>
        <w:tab/>
        <w:t>This clause applies to Leeman.</w:t>
      </w:r>
    </w:p>
    <w:p>
      <w:pPr>
        <w:pStyle w:val="ySubsection"/>
      </w:pPr>
      <w:r>
        <w:tab/>
        <w:t>(2)</w:t>
      </w:r>
      <w:r>
        <w:tab/>
        <w:t>The berthing dues to be paid under these regulations are set out in Table 20.1.</w:t>
      </w:r>
    </w:p>
    <w:p>
      <w:pPr>
        <w:pStyle w:val="yTHeadingNAm"/>
        <w:ind w:left="993"/>
      </w:pPr>
      <w:r>
        <w:t>Table 20.1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00"/>
        <w:gridCol w:w="4202"/>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20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202" w:type="dxa"/>
          </w:tcPr>
          <w:p>
            <w:pPr>
              <w:pStyle w:val="yTableNAm"/>
            </w:pPr>
            <w:r>
              <w:t xml:space="preserve">For the casual daily use of an alongside berth — </w:t>
            </w:r>
          </w:p>
        </w:tc>
        <w:tc>
          <w:tcPr>
            <w:tcW w:w="1276" w:type="dxa"/>
          </w:tcPr>
          <w:p>
            <w:pPr>
              <w:pStyle w:val="yTableNAm"/>
              <w:jc w:val="center"/>
            </w:pPr>
          </w:p>
        </w:tc>
      </w:tr>
      <w:tr>
        <w:trPr>
          <w:cantSplit/>
        </w:trPr>
        <w:tc>
          <w:tcPr>
            <w:tcW w:w="700" w:type="dxa"/>
          </w:tcPr>
          <w:p>
            <w:pPr>
              <w:pStyle w:val="zyTableNAm"/>
            </w:pPr>
          </w:p>
        </w:tc>
        <w:tc>
          <w:tcPr>
            <w:tcW w:w="4202"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202"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2.</w:t>
            </w:r>
          </w:p>
        </w:tc>
        <w:tc>
          <w:tcPr>
            <w:tcW w:w="4202"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20 inserted in Gazette 22 Jul 2015 p. 2973.]</w:t>
      </w:r>
    </w:p>
    <w:p>
      <w:pPr>
        <w:pStyle w:val="yHeading5"/>
        <w:keepNext w:val="0"/>
        <w:keepLines w:val="0"/>
        <w:pageBreakBefore/>
        <w:spacing w:before="0"/>
      </w:pPr>
      <w:bookmarkStart w:id="333" w:name="_Toc455151580"/>
      <w:r>
        <w:rPr>
          <w:rStyle w:val="CharSClsNo"/>
        </w:rPr>
        <w:t>21</w:t>
      </w:r>
      <w:r>
        <w:t>.</w:t>
      </w:r>
      <w:r>
        <w:tab/>
        <w:t xml:space="preserve">Onslow,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33"/>
    </w:p>
    <w:p>
      <w:pPr>
        <w:pStyle w:val="ySubsection"/>
      </w:pPr>
      <w:r>
        <w:tab/>
        <w:t>(1)</w:t>
      </w:r>
      <w:r>
        <w:tab/>
        <w:t xml:space="preserve">This clause applies to the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Onslow.</w:t>
      </w:r>
    </w:p>
    <w:p>
      <w:pPr>
        <w:pStyle w:val="ySubsection"/>
        <w:keepNext/>
      </w:pPr>
      <w:r>
        <w:tab/>
        <w:t>(2)</w:t>
      </w:r>
      <w:r>
        <w:tab/>
        <w:t xml:space="preserve">In this clause a reference to a </w:t>
      </w:r>
      <w:r>
        <w:rPr>
          <w:rStyle w:val="CharDefText"/>
        </w:rPr>
        <w:t>service vessel</w:t>
      </w:r>
      <w:r>
        <w:t xml:space="preserve"> is a reference to any vessel other than a recreational vessel, Government vessel, tourism vessel or fishing vessel.</w:t>
      </w:r>
    </w:p>
    <w:p>
      <w:pPr>
        <w:pStyle w:val="ySubsection"/>
      </w:pPr>
      <w:r>
        <w:tab/>
        <w:t>(3)</w:t>
      </w:r>
      <w:r>
        <w:tab/>
        <w:t>The dues and charges to be paid under these regulations are set out in Table 21.1.</w:t>
      </w:r>
    </w:p>
    <w:p>
      <w:pPr>
        <w:pStyle w:val="yTHeadingNAm"/>
        <w:ind w:left="993"/>
      </w:pPr>
      <w:r>
        <w:t>Table 21.1 (Pen use, alongside berthing and mooring)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686"/>
        <w:gridCol w:w="4188"/>
        <w:gridCol w:w="1276"/>
      </w:tblGrid>
      <w:tr>
        <w:trPr>
          <w:cantSplit/>
          <w:tblHeader/>
        </w:trPr>
        <w:tc>
          <w:tcPr>
            <w:tcW w:w="686"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86" w:type="dxa"/>
            <w:tcBorders>
              <w:top w:val="single" w:sz="4" w:space="0" w:color="auto"/>
            </w:tcBorders>
          </w:tcPr>
          <w:p>
            <w:pPr>
              <w:pStyle w:val="yTableNAm"/>
            </w:pPr>
            <w:r>
              <w:t>1.</w:t>
            </w:r>
          </w:p>
        </w:tc>
        <w:tc>
          <w:tcPr>
            <w:tcW w:w="4188" w:type="dxa"/>
            <w:tcBorders>
              <w:top w:val="single" w:sz="4" w:space="0" w:color="auto"/>
            </w:tcBorders>
          </w:tcPr>
          <w:p>
            <w:pPr>
              <w:pStyle w:val="yTableNAm"/>
            </w:pPr>
            <w:r>
              <w:t xml:space="preserve">For the use, other than casual daily use, of a pile mooring by a recreational vessel, </w:t>
            </w:r>
            <w:r>
              <w:rPr>
                <w:szCs w:val="22"/>
              </w:rPr>
              <w:t xml:space="preserve">Government vessel, </w:t>
            </w:r>
            <w:r>
              <w:t>fishing vessel or tourism vessel, an amount calculated per metre of the vessel’s length using the annual rate of</w:t>
            </w:r>
          </w:p>
        </w:tc>
        <w:tc>
          <w:tcPr>
            <w:tcW w:w="1276" w:type="dxa"/>
            <w:tcBorders>
              <w:top w:val="single" w:sz="4" w:space="0" w:color="auto"/>
            </w:tcBorders>
          </w:tcPr>
          <w:p>
            <w:pPr>
              <w:pStyle w:val="yTableNAm"/>
              <w:jc w:val="center"/>
            </w:pPr>
            <w:r>
              <w:br/>
            </w:r>
            <w:r>
              <w:br/>
            </w:r>
            <w:r>
              <w:br/>
            </w:r>
            <w:r>
              <w:br/>
            </w:r>
            <w:r>
              <w:rPr>
                <w:szCs w:val="22"/>
              </w:rPr>
              <w:t>341.00</w:t>
            </w:r>
          </w:p>
        </w:tc>
      </w:tr>
      <w:tr>
        <w:trPr>
          <w:cantSplit/>
        </w:trPr>
        <w:tc>
          <w:tcPr>
            <w:tcW w:w="686" w:type="dxa"/>
          </w:tcPr>
          <w:p>
            <w:pPr>
              <w:pStyle w:val="yTableNAm"/>
            </w:pPr>
            <w:r>
              <w:t>2.</w:t>
            </w:r>
          </w:p>
        </w:tc>
        <w:tc>
          <w:tcPr>
            <w:tcW w:w="4188" w:type="dxa"/>
          </w:tcPr>
          <w:p>
            <w:pPr>
              <w:pStyle w:val="yTableNAm"/>
            </w:pPr>
            <w:r>
              <w:t>For the use, other than casual daily use, of a pile mooring by a service vessel, an amount calculated per metre of the vessel’s length using the annual rate of</w:t>
            </w:r>
          </w:p>
        </w:tc>
        <w:tc>
          <w:tcPr>
            <w:tcW w:w="1276" w:type="dxa"/>
          </w:tcPr>
          <w:p>
            <w:pPr>
              <w:pStyle w:val="yTableNAm"/>
              <w:jc w:val="center"/>
            </w:pPr>
            <w:r>
              <w:br/>
            </w:r>
            <w:r>
              <w:br/>
            </w:r>
            <w:r>
              <w:br/>
            </w:r>
            <w:r>
              <w:rPr>
                <w:szCs w:val="22"/>
              </w:rPr>
              <w:t>363.00</w:t>
            </w:r>
          </w:p>
        </w:tc>
      </w:tr>
      <w:tr>
        <w:trPr>
          <w:cantSplit/>
        </w:trPr>
        <w:tc>
          <w:tcPr>
            <w:tcW w:w="686" w:type="dxa"/>
          </w:tcPr>
          <w:p>
            <w:pPr>
              <w:pStyle w:val="yTableNAm"/>
            </w:pPr>
            <w:r>
              <w:t>3.</w:t>
            </w:r>
          </w:p>
        </w:tc>
        <w:tc>
          <w:tcPr>
            <w:tcW w:w="4188" w:type="dxa"/>
          </w:tcPr>
          <w:p>
            <w:pPr>
              <w:pStyle w:val="yTableNAm"/>
            </w:pPr>
            <w:r>
              <w:t xml:space="preserve">For the casual daily use of an alongside berth or pile mooring, by a </w:t>
            </w:r>
            <w:r>
              <w:rPr>
                <w:szCs w:val="22"/>
              </w:rPr>
              <w:t xml:space="preserve">Government vessel, </w:t>
            </w:r>
            <w:r>
              <w:t>tourism vessel or fishing vessel (but not a service vessel), an amount calculated using standard Rate 1</w:t>
            </w:r>
          </w:p>
        </w:tc>
        <w:tc>
          <w:tcPr>
            <w:tcW w:w="1276" w:type="dxa"/>
          </w:tcPr>
          <w:p>
            <w:pPr>
              <w:pStyle w:val="yTableNAm"/>
              <w:jc w:val="center"/>
            </w:pPr>
          </w:p>
        </w:tc>
      </w:tr>
      <w:tr>
        <w:trPr>
          <w:cantSplit/>
        </w:trPr>
        <w:tc>
          <w:tcPr>
            <w:tcW w:w="4874" w:type="dxa"/>
            <w:gridSpan w:val="2"/>
          </w:tcPr>
          <w:p>
            <w:pPr>
              <w:pStyle w:val="yTableNAm"/>
              <w:rPr>
                <w:i/>
              </w:rPr>
            </w:pPr>
            <w:r>
              <w:rPr>
                <w:i/>
              </w:rPr>
              <w:t>[4.</w:t>
            </w:r>
            <w:r>
              <w:rPr>
                <w:i/>
              </w:rPr>
              <w:tab/>
              <w:t>Deleted]</w:t>
            </w:r>
          </w:p>
        </w:tc>
        <w:tc>
          <w:tcPr>
            <w:tcW w:w="1276" w:type="dxa"/>
          </w:tcPr>
          <w:p>
            <w:pPr>
              <w:pStyle w:val="yTableNAm"/>
              <w:jc w:val="center"/>
            </w:pPr>
          </w:p>
        </w:tc>
      </w:tr>
      <w:tr>
        <w:trPr>
          <w:cantSplit/>
        </w:trPr>
        <w:tc>
          <w:tcPr>
            <w:tcW w:w="686" w:type="dxa"/>
          </w:tcPr>
          <w:p>
            <w:pPr>
              <w:pStyle w:val="yTableNAm"/>
            </w:pPr>
            <w:r>
              <w:t>5.</w:t>
            </w:r>
          </w:p>
        </w:tc>
        <w:tc>
          <w:tcPr>
            <w:tcW w:w="4188" w:type="dxa"/>
          </w:tcPr>
          <w:p>
            <w:pPr>
              <w:pStyle w:val="yTableNAm"/>
            </w:pPr>
            <w:r>
              <w:t xml:space="preserve">For the short term use of a service </w:t>
            </w:r>
            <w:r>
              <w:rPr>
                <w:szCs w:val="22"/>
              </w:rPr>
              <w:t>wharf</w:t>
            </w:r>
            <w:r>
              <w:t xml:space="preserve"> by a vessel (but not a service vessel), an amount calculated using standard Rate 3</w:t>
            </w:r>
          </w:p>
        </w:tc>
        <w:tc>
          <w:tcPr>
            <w:tcW w:w="1276" w:type="dxa"/>
          </w:tcPr>
          <w:p>
            <w:pPr>
              <w:pStyle w:val="yTableNAm"/>
              <w:jc w:val="center"/>
            </w:pPr>
          </w:p>
        </w:tc>
      </w:tr>
      <w:tr>
        <w:trPr>
          <w:cantSplit/>
        </w:trPr>
        <w:tc>
          <w:tcPr>
            <w:tcW w:w="686" w:type="dxa"/>
          </w:tcPr>
          <w:p>
            <w:pPr>
              <w:pStyle w:val="yTableNAm"/>
              <w:keepNext/>
            </w:pPr>
            <w:r>
              <w:t>6.</w:t>
            </w:r>
          </w:p>
        </w:tc>
        <w:tc>
          <w:tcPr>
            <w:tcW w:w="4188" w:type="dxa"/>
          </w:tcPr>
          <w:p>
            <w:pPr>
              <w:pStyle w:val="yTableNAm"/>
              <w:keepNext/>
            </w:pPr>
            <w:r>
              <w:t>For the casual daily use of a pile mooring by a service vessel, an amount calculated per metre of the vessel’s length at the daily rate of</w:t>
            </w:r>
          </w:p>
        </w:tc>
        <w:tc>
          <w:tcPr>
            <w:tcW w:w="1276" w:type="dxa"/>
          </w:tcPr>
          <w:p>
            <w:pPr>
              <w:pStyle w:val="yTableNAm"/>
              <w:keepNext/>
              <w:jc w:val="center"/>
            </w:pPr>
            <w:r>
              <w:br/>
            </w:r>
            <w:r>
              <w:br/>
            </w:r>
            <w:r>
              <w:rPr>
                <w:szCs w:val="24"/>
              </w:rPr>
              <w:br/>
            </w:r>
            <w:r>
              <w:rPr>
                <w:szCs w:val="22"/>
              </w:rPr>
              <w:t>9.10</w:t>
            </w:r>
          </w:p>
        </w:tc>
      </w:tr>
      <w:tr>
        <w:trPr>
          <w:cantSplit/>
        </w:trPr>
        <w:tc>
          <w:tcPr>
            <w:tcW w:w="686" w:type="dxa"/>
          </w:tcPr>
          <w:p>
            <w:pPr>
              <w:pStyle w:val="yTableNAm"/>
            </w:pPr>
            <w:r>
              <w:t>7.</w:t>
            </w:r>
          </w:p>
        </w:tc>
        <w:tc>
          <w:tcPr>
            <w:tcW w:w="4188" w:type="dxa"/>
          </w:tcPr>
          <w:p>
            <w:pPr>
              <w:pStyle w:val="yTableNAm"/>
            </w:pPr>
            <w:r>
              <w:t>For the casual daily use of an alongside berth or pile mooring by a recreational vessel, an amount calculated using standard Rate 2</w:t>
            </w:r>
          </w:p>
        </w:tc>
        <w:tc>
          <w:tcPr>
            <w:tcW w:w="1276" w:type="dxa"/>
          </w:tcPr>
          <w:p>
            <w:pPr>
              <w:pStyle w:val="yTableNAm"/>
              <w:jc w:val="center"/>
            </w:pPr>
          </w:p>
        </w:tc>
      </w:tr>
      <w:tr>
        <w:trPr>
          <w:cantSplit/>
        </w:trPr>
        <w:tc>
          <w:tcPr>
            <w:tcW w:w="686" w:type="dxa"/>
          </w:tcPr>
          <w:p>
            <w:pPr>
              <w:pStyle w:val="yTableNAm"/>
            </w:pPr>
            <w:r>
              <w:t>8.</w:t>
            </w:r>
          </w:p>
        </w:tc>
        <w:tc>
          <w:tcPr>
            <w:tcW w:w="4188" w:type="dxa"/>
          </w:tcPr>
          <w:p>
            <w:pPr>
              <w:pStyle w:val="yTableNAm"/>
            </w:pPr>
            <w:r>
              <w:t xml:space="preserve">For the use, other than casual daily use, of an alongside berth by a recreational vessel, </w:t>
            </w:r>
            <w:r>
              <w:rPr>
                <w:szCs w:val="22"/>
              </w:rPr>
              <w:t xml:space="preserve">Government vessel, </w:t>
            </w:r>
            <w:r>
              <w:t>tourism vessel or fishing vessel, an amount calculated per metre of the vessel’s length at the monthly rate of</w:t>
            </w:r>
          </w:p>
        </w:tc>
        <w:tc>
          <w:tcPr>
            <w:tcW w:w="1276" w:type="dxa"/>
          </w:tcPr>
          <w:p>
            <w:pPr>
              <w:pStyle w:val="yTableNAm"/>
              <w:jc w:val="center"/>
            </w:pPr>
            <w:r>
              <w:br/>
            </w:r>
            <w:r>
              <w:br/>
            </w:r>
            <w:r>
              <w:br/>
            </w:r>
            <w:r>
              <w:br/>
            </w:r>
            <w:r>
              <w:rPr>
                <w:szCs w:val="22"/>
              </w:rPr>
              <w:t>68.75</w:t>
            </w:r>
          </w:p>
        </w:tc>
      </w:tr>
      <w:tr>
        <w:trPr>
          <w:cantSplit/>
        </w:trPr>
        <w:tc>
          <w:tcPr>
            <w:tcW w:w="686" w:type="dxa"/>
          </w:tcPr>
          <w:p>
            <w:pPr>
              <w:pStyle w:val="yTableNAm"/>
            </w:pPr>
            <w:r>
              <w:t>9.</w:t>
            </w:r>
          </w:p>
        </w:tc>
        <w:tc>
          <w:tcPr>
            <w:tcW w:w="4188" w:type="dxa"/>
          </w:tcPr>
          <w:p>
            <w:pPr>
              <w:pStyle w:val="yTableNAm"/>
            </w:pPr>
            <w:r>
              <w:t xml:space="preserve">For the use, other than casual daily use, of an alongside berth by a recreational vessel, </w:t>
            </w:r>
            <w:r>
              <w:rPr>
                <w:szCs w:val="22"/>
              </w:rPr>
              <w:t xml:space="preserve">Government vessel, </w:t>
            </w:r>
            <w:r>
              <w:t>tourism vessel or fishing vessel, an amount calculated per metre of the vessel’s length at the weekly rate of</w:t>
            </w:r>
          </w:p>
        </w:tc>
        <w:tc>
          <w:tcPr>
            <w:tcW w:w="1276" w:type="dxa"/>
          </w:tcPr>
          <w:p>
            <w:pPr>
              <w:pStyle w:val="yTableNAm"/>
              <w:jc w:val="center"/>
            </w:pPr>
            <w:r>
              <w:br/>
            </w:r>
            <w:r>
              <w:br/>
            </w:r>
            <w:r>
              <w:br/>
            </w:r>
            <w:r>
              <w:br/>
            </w:r>
            <w:r>
              <w:rPr>
                <w:szCs w:val="22"/>
              </w:rPr>
              <w:t>20.90</w:t>
            </w:r>
          </w:p>
        </w:tc>
      </w:tr>
      <w:tr>
        <w:trPr>
          <w:cantSplit/>
        </w:trPr>
        <w:tc>
          <w:tcPr>
            <w:tcW w:w="686" w:type="dxa"/>
          </w:tcPr>
          <w:p>
            <w:pPr>
              <w:pStyle w:val="yTableNAm"/>
            </w:pPr>
            <w:r>
              <w:t>10.</w:t>
            </w:r>
          </w:p>
        </w:tc>
        <w:tc>
          <w:tcPr>
            <w:tcW w:w="4188" w:type="dxa"/>
          </w:tcPr>
          <w:p>
            <w:pPr>
              <w:pStyle w:val="yTableNAm"/>
            </w:pPr>
            <w:r>
              <w:t>For the use of the service wharf by a service vessel, an amount calculated per metre of the vessel’s length at the 6</w:t>
            </w:r>
            <w:r>
              <w:noBreakHyphen/>
              <w:t>hourly rate of</w:t>
            </w:r>
          </w:p>
        </w:tc>
        <w:tc>
          <w:tcPr>
            <w:tcW w:w="1276" w:type="dxa"/>
          </w:tcPr>
          <w:p>
            <w:pPr>
              <w:pStyle w:val="yTableNAm"/>
              <w:jc w:val="center"/>
            </w:pPr>
            <w:r>
              <w:br/>
            </w:r>
            <w:r>
              <w:br/>
            </w:r>
            <w:r>
              <w:rPr>
                <w:szCs w:val="22"/>
              </w:rPr>
              <w:t>8.60</w:t>
            </w:r>
          </w:p>
        </w:tc>
      </w:tr>
      <w:tr>
        <w:trPr>
          <w:cantSplit/>
        </w:trPr>
        <w:tc>
          <w:tcPr>
            <w:tcW w:w="686" w:type="dxa"/>
            <w:tcBorders>
              <w:bottom w:val="single" w:sz="4" w:space="0" w:color="auto"/>
            </w:tcBorders>
          </w:tcPr>
          <w:p>
            <w:pPr>
              <w:pStyle w:val="yTableNAm"/>
            </w:pPr>
            <w:r>
              <w:t>11.</w:t>
            </w:r>
          </w:p>
        </w:tc>
        <w:tc>
          <w:tcPr>
            <w:tcW w:w="4188"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tcBorders>
              <w:bottom w:val="single" w:sz="4" w:space="0" w:color="auto"/>
            </w:tcBorders>
          </w:tcPr>
          <w:p>
            <w:pPr>
              <w:pStyle w:val="yTableNAm"/>
              <w:jc w:val="center"/>
            </w:pPr>
            <w:r>
              <w:br/>
            </w:r>
            <w:r>
              <w:br/>
            </w:r>
            <w:r>
              <w:br/>
            </w:r>
            <w:r>
              <w:rPr>
                <w:szCs w:val="22"/>
              </w:rPr>
              <w:t>1.70</w:t>
            </w:r>
          </w:p>
        </w:tc>
      </w:tr>
    </w:tbl>
    <w:p>
      <w:pPr>
        <w:pStyle w:val="yFootnotesection"/>
      </w:pPr>
      <w:r>
        <w:tab/>
        <w:t>[Clause 21 inserted in Gazette 22 Jul 2015 p. 2974</w:t>
      </w:r>
      <w:r>
        <w:noBreakHyphen/>
        <w:t>5; amended in Gazette 5 Apr 2016 p. 1023; 15 Apr 2016 p. 1176-7.]</w:t>
      </w:r>
    </w:p>
    <w:p>
      <w:pPr>
        <w:pStyle w:val="yHeading5"/>
      </w:pPr>
      <w:bookmarkStart w:id="334" w:name="_Toc455151581"/>
      <w:r>
        <w:rPr>
          <w:rStyle w:val="CharSClsNo"/>
        </w:rPr>
        <w:t>22</w:t>
      </w:r>
      <w:r>
        <w:t>.</w:t>
      </w:r>
      <w:r>
        <w:tab/>
        <w:t xml:space="preserve">Point Samson,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34"/>
    </w:p>
    <w:p>
      <w:pPr>
        <w:pStyle w:val="ySubsection"/>
      </w:pPr>
      <w:r>
        <w:tab/>
        <w:t>(1)</w:t>
      </w:r>
      <w:r>
        <w:tab/>
        <w:t xml:space="preserve">This clause applies to the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Point Samson.</w:t>
      </w:r>
    </w:p>
    <w:p>
      <w:pPr>
        <w:pStyle w:val="ySubsection"/>
      </w:pPr>
      <w:r>
        <w:tab/>
        <w:t>(2)</w:t>
      </w:r>
      <w:r>
        <w:tab/>
        <w:t xml:space="preserve">In this clause a reference to a </w:t>
      </w:r>
      <w:r>
        <w:rPr>
          <w:rStyle w:val="CharDefText"/>
        </w:rPr>
        <w:t>service vessel</w:t>
      </w:r>
      <w:r>
        <w:t xml:space="preserve"> is a reference to any vessel other than a recreational vessel, Government vessel, tourism vessel or fishing vessel.</w:t>
      </w:r>
    </w:p>
    <w:p>
      <w:pPr>
        <w:pStyle w:val="ySubsection"/>
        <w:pageBreakBefore/>
        <w:spacing w:before="0"/>
      </w:pPr>
      <w:r>
        <w:tab/>
        <w:t>(3)</w:t>
      </w:r>
      <w:r>
        <w:tab/>
        <w:t>The dues and charges to be paid under these regulations (other than charges under regulation 96) are set out in Table 22.1.</w:t>
      </w:r>
    </w:p>
    <w:p>
      <w:pPr>
        <w:pStyle w:val="yTHeadingNAm"/>
        <w:ind w:left="993"/>
      </w:pPr>
      <w:r>
        <w:t>Table 22.1 (Pen use and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berth at a land</w:t>
            </w:r>
            <w:r>
              <w:noBreakHyphen/>
              <w:t>backed wharf or alongside berth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br/>
            </w:r>
            <w:r>
              <w:rPr>
                <w:szCs w:val="22"/>
              </w:rPr>
              <w:t>506.00</w:t>
            </w:r>
          </w:p>
        </w:tc>
      </w:tr>
      <w:tr>
        <w:trPr>
          <w:cantSplit/>
        </w:trPr>
        <w:tc>
          <w:tcPr>
            <w:tcW w:w="700" w:type="dxa"/>
          </w:tcPr>
          <w:p>
            <w:pPr>
              <w:pStyle w:val="yTableNAm"/>
            </w:pPr>
            <w:r>
              <w:t>2.</w:t>
            </w:r>
          </w:p>
        </w:tc>
        <w:tc>
          <w:tcPr>
            <w:tcW w:w="4160" w:type="dxa"/>
          </w:tcPr>
          <w:p>
            <w:pPr>
              <w:pStyle w:val="yTableNAm"/>
            </w:pPr>
            <w:r>
              <w:t>For the use, other than casual daily use, of a berth at a land</w:t>
            </w:r>
            <w:r>
              <w:noBreakHyphen/>
              <w:t>backed wharf or alongside berth by a service vessel, an amount calculated per metre of the vessel’s length using the annual rate of</w:t>
            </w:r>
          </w:p>
        </w:tc>
        <w:tc>
          <w:tcPr>
            <w:tcW w:w="1276" w:type="dxa"/>
          </w:tcPr>
          <w:p>
            <w:pPr>
              <w:pStyle w:val="yTableNAm"/>
              <w:jc w:val="center"/>
            </w:pPr>
            <w:r>
              <w:br/>
            </w:r>
            <w:r>
              <w:br/>
            </w:r>
            <w:r>
              <w:br/>
            </w:r>
            <w:r>
              <w:br/>
            </w:r>
            <w:r>
              <w:rPr>
                <w:szCs w:val="22"/>
              </w:rPr>
              <w:t>1 116.50</w:t>
            </w:r>
          </w:p>
        </w:tc>
      </w:tr>
      <w:tr>
        <w:trPr>
          <w:cantSplit/>
        </w:trPr>
        <w:tc>
          <w:tcPr>
            <w:tcW w:w="700" w:type="dxa"/>
          </w:tcPr>
          <w:p>
            <w:pPr>
              <w:pStyle w:val="yTableNAm"/>
            </w:pPr>
            <w:r>
              <w:t>3.</w:t>
            </w:r>
          </w:p>
        </w:tc>
        <w:tc>
          <w:tcPr>
            <w:tcW w:w="4160" w:type="dxa"/>
          </w:tcPr>
          <w:p>
            <w:pPr>
              <w:pStyle w:val="yTableNAm"/>
            </w:pPr>
            <w:r>
              <w:t>For the casual daily use of a berth at a land</w:t>
            </w:r>
            <w:r>
              <w:noBreakHyphen/>
              <w:t>backed wharf or alongside berth by a Government vessel, tourism vessel or fishing vessel (but not a service vessel), an amount calculated using standard Rate 1</w:t>
            </w:r>
          </w:p>
        </w:tc>
        <w:tc>
          <w:tcPr>
            <w:tcW w:w="1276" w:type="dxa"/>
          </w:tcPr>
          <w:p>
            <w:pPr>
              <w:pStyle w:val="yTableNAm"/>
              <w:jc w:val="center"/>
            </w:pPr>
          </w:p>
        </w:tc>
      </w:tr>
      <w:tr>
        <w:trPr>
          <w:cantSplit/>
        </w:trPr>
        <w:tc>
          <w:tcPr>
            <w:tcW w:w="700" w:type="dxa"/>
          </w:tcPr>
          <w:p>
            <w:pPr>
              <w:pStyle w:val="yTableNAm"/>
            </w:pPr>
            <w:r>
              <w:t>4.</w:t>
            </w:r>
          </w:p>
        </w:tc>
        <w:tc>
          <w:tcPr>
            <w:tcW w:w="4160" w:type="dxa"/>
          </w:tcPr>
          <w:p>
            <w:pPr>
              <w:pStyle w:val="yTableNAm"/>
            </w:pPr>
            <w:r>
              <w:t>For the short term use of a service jetty by a vessel (but not a service vessel), an amount calculated using standard Rate 3</w:t>
            </w:r>
          </w:p>
        </w:tc>
        <w:tc>
          <w:tcPr>
            <w:tcW w:w="1276" w:type="dxa"/>
          </w:tcPr>
          <w:p>
            <w:pPr>
              <w:pStyle w:val="yTableNAm"/>
              <w:jc w:val="center"/>
            </w:pPr>
          </w:p>
        </w:tc>
      </w:tr>
      <w:tr>
        <w:trPr>
          <w:cantSplit/>
        </w:trPr>
        <w:tc>
          <w:tcPr>
            <w:tcW w:w="700" w:type="dxa"/>
          </w:tcPr>
          <w:p>
            <w:pPr>
              <w:pStyle w:val="yTableNAm"/>
            </w:pPr>
            <w:r>
              <w:t>5.</w:t>
            </w:r>
          </w:p>
        </w:tc>
        <w:tc>
          <w:tcPr>
            <w:tcW w:w="4160" w:type="dxa"/>
          </w:tcPr>
          <w:p>
            <w:pPr>
              <w:pStyle w:val="yTableNAm"/>
            </w:pPr>
            <w:r>
              <w:t>For the casual daily use of a berth at a land</w:t>
            </w:r>
            <w:r>
              <w:noBreakHyphen/>
              <w:t>backed wharf or alongside berth by a recreational vessel, an amount calculated using standard Rate 2</w:t>
            </w:r>
          </w:p>
        </w:tc>
        <w:tc>
          <w:tcPr>
            <w:tcW w:w="1276" w:type="dxa"/>
          </w:tcPr>
          <w:p>
            <w:pPr>
              <w:pStyle w:val="yTableNAm"/>
              <w:jc w:val="center"/>
            </w:pPr>
          </w:p>
        </w:tc>
      </w:tr>
      <w:tr>
        <w:trPr>
          <w:cantSplit/>
        </w:trPr>
        <w:tc>
          <w:tcPr>
            <w:tcW w:w="700" w:type="dxa"/>
          </w:tcPr>
          <w:p>
            <w:pPr>
              <w:pStyle w:val="yTableNAm"/>
            </w:pPr>
            <w:r>
              <w:t>6.</w:t>
            </w:r>
          </w:p>
        </w:tc>
        <w:tc>
          <w:tcPr>
            <w:tcW w:w="4160" w:type="dxa"/>
          </w:tcPr>
          <w:p>
            <w:pPr>
              <w:pStyle w:val="yTableNAm"/>
            </w:pPr>
            <w:r>
              <w:t>For the use of a berth at a land</w:t>
            </w:r>
            <w:r>
              <w:noBreakHyphen/>
              <w:t>backed wharf or alongside berth by a service vessel, an amount calculated per metre of the vessel’s length at the 6</w:t>
            </w:r>
            <w:r>
              <w:noBreakHyphen/>
              <w:t>hourly rate of</w:t>
            </w:r>
          </w:p>
        </w:tc>
        <w:tc>
          <w:tcPr>
            <w:tcW w:w="1276" w:type="dxa"/>
          </w:tcPr>
          <w:p>
            <w:pPr>
              <w:pStyle w:val="yTableNAm"/>
              <w:jc w:val="center"/>
            </w:pPr>
            <w:r>
              <w:br/>
            </w:r>
            <w:r>
              <w:br/>
            </w:r>
            <w:r>
              <w:br/>
            </w:r>
            <w:r>
              <w:rPr>
                <w:szCs w:val="22"/>
              </w:rPr>
              <w:t>8.60</w:t>
            </w:r>
          </w:p>
        </w:tc>
      </w:tr>
      <w:tr>
        <w:trPr>
          <w:cantSplit/>
        </w:trPr>
        <w:tc>
          <w:tcPr>
            <w:tcW w:w="700" w:type="dxa"/>
          </w:tcPr>
          <w:p>
            <w:pPr>
              <w:pStyle w:val="yTableNAm"/>
            </w:pPr>
            <w:r>
              <w:t>7.</w:t>
            </w:r>
          </w:p>
        </w:tc>
        <w:tc>
          <w:tcPr>
            <w:tcW w:w="4160" w:type="dxa"/>
          </w:tcPr>
          <w:p>
            <w:pPr>
              <w:pStyle w:val="yTableNAm"/>
            </w:pPr>
            <w:r>
              <w:t>For the use, other than casual daily use, of an alongside berth and mooring within area adjacent to causeway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br/>
            </w:r>
            <w:r>
              <w:rPr>
                <w:szCs w:val="22"/>
              </w:rPr>
              <w:t>407.00</w:t>
            </w:r>
          </w:p>
        </w:tc>
      </w:tr>
      <w:tr>
        <w:trPr>
          <w:cantSplit/>
        </w:trPr>
        <w:tc>
          <w:tcPr>
            <w:tcW w:w="700" w:type="dxa"/>
          </w:tcPr>
          <w:p>
            <w:pPr>
              <w:pStyle w:val="yTableNAm"/>
            </w:pPr>
            <w:r>
              <w:t>8.</w:t>
            </w:r>
          </w:p>
        </w:tc>
        <w:tc>
          <w:tcPr>
            <w:tcW w:w="4160" w:type="dxa"/>
          </w:tcPr>
          <w:p>
            <w:pPr>
              <w:pStyle w:val="yTableNAm"/>
            </w:pPr>
            <w:r>
              <w:t>For the use, other than casual daily use, of an alongside berth and mooring within area adjacent to causeway by a service vessel, an amount calculated per metre of the vessel’s length using the annual rate of</w:t>
            </w:r>
          </w:p>
        </w:tc>
        <w:tc>
          <w:tcPr>
            <w:tcW w:w="1276" w:type="dxa"/>
          </w:tcPr>
          <w:p>
            <w:pPr>
              <w:pStyle w:val="yTableNAm"/>
              <w:jc w:val="center"/>
            </w:pPr>
            <w:r>
              <w:br/>
            </w:r>
            <w:r>
              <w:br/>
            </w:r>
            <w:r>
              <w:br/>
            </w:r>
            <w:r>
              <w:br/>
            </w:r>
            <w:r>
              <w:rPr>
                <w:szCs w:val="22"/>
              </w:rPr>
              <w:t>891.00</w:t>
            </w:r>
          </w:p>
        </w:tc>
      </w:tr>
      <w:tr>
        <w:trPr>
          <w:cantSplit/>
        </w:trPr>
        <w:tc>
          <w:tcPr>
            <w:tcW w:w="700" w:type="dxa"/>
          </w:tcPr>
          <w:p>
            <w:pPr>
              <w:pStyle w:val="yTableNAm"/>
            </w:pPr>
            <w:r>
              <w:t>9.</w:t>
            </w:r>
          </w:p>
        </w:tc>
        <w:tc>
          <w:tcPr>
            <w:tcW w:w="4160" w:type="dxa"/>
          </w:tcPr>
          <w:p>
            <w:pPr>
              <w:pStyle w:val="yTableNAm"/>
            </w:pPr>
            <w:r>
              <w:t>For the casual daily use of an alongside berth and mooring within area adjacent to causeway by a Government vessel, tourism vessel or fishing vessel (but not a service vessel), an amount calculated using standard Rate 1</w:t>
            </w:r>
          </w:p>
        </w:tc>
        <w:tc>
          <w:tcPr>
            <w:tcW w:w="1276" w:type="dxa"/>
          </w:tcPr>
          <w:p>
            <w:pPr>
              <w:pStyle w:val="yTableNAm"/>
              <w:jc w:val="center"/>
            </w:pPr>
          </w:p>
        </w:tc>
      </w:tr>
      <w:tr>
        <w:trPr>
          <w:cantSplit/>
        </w:trPr>
        <w:tc>
          <w:tcPr>
            <w:tcW w:w="700" w:type="dxa"/>
          </w:tcPr>
          <w:p>
            <w:pPr>
              <w:pStyle w:val="yTableNAm"/>
            </w:pPr>
            <w:r>
              <w:t>10.</w:t>
            </w:r>
          </w:p>
        </w:tc>
        <w:tc>
          <w:tcPr>
            <w:tcW w:w="4160" w:type="dxa"/>
          </w:tcPr>
          <w:p>
            <w:pPr>
              <w:pStyle w:val="yTableNAm"/>
            </w:pPr>
            <w:r>
              <w:t>For the use of an alongside berth and mooring within area adjacent to causeway by a service vessel, an amount calculated per metre of the vessel’s length at the 6</w:t>
            </w:r>
            <w:r>
              <w:noBreakHyphen/>
              <w:t>hourly rate of</w:t>
            </w:r>
          </w:p>
        </w:tc>
        <w:tc>
          <w:tcPr>
            <w:tcW w:w="1276" w:type="dxa"/>
          </w:tcPr>
          <w:p>
            <w:pPr>
              <w:pStyle w:val="yTableNAm"/>
              <w:jc w:val="center"/>
            </w:pPr>
            <w:r>
              <w:br/>
            </w:r>
            <w:r>
              <w:br/>
            </w:r>
            <w:r>
              <w:br/>
            </w:r>
            <w:r>
              <w:rPr>
                <w:szCs w:val="22"/>
              </w:rPr>
              <w:t>6.90</w:t>
            </w:r>
          </w:p>
        </w:tc>
      </w:tr>
      <w:tr>
        <w:trPr>
          <w:cantSplit/>
        </w:trPr>
        <w:tc>
          <w:tcPr>
            <w:tcW w:w="700" w:type="dxa"/>
            <w:tcBorders>
              <w:bottom w:val="single" w:sz="4" w:space="0" w:color="auto"/>
            </w:tcBorders>
          </w:tcPr>
          <w:p>
            <w:pPr>
              <w:pStyle w:val="yTableNAm"/>
            </w:pPr>
            <w:r>
              <w:t>11.</w:t>
            </w:r>
          </w:p>
        </w:tc>
        <w:tc>
          <w:tcPr>
            <w:tcW w:w="4160"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tcBorders>
              <w:bottom w:val="single" w:sz="4" w:space="0" w:color="auto"/>
            </w:tcBorders>
          </w:tcPr>
          <w:p>
            <w:pPr>
              <w:pStyle w:val="yTableNAm"/>
              <w:jc w:val="center"/>
            </w:pPr>
            <w:r>
              <w:br/>
            </w:r>
            <w:r>
              <w:br/>
            </w:r>
            <w:r>
              <w:br/>
            </w:r>
            <w:r>
              <w:rPr>
                <w:szCs w:val="22"/>
              </w:rPr>
              <w:t>1.70</w:t>
            </w:r>
          </w:p>
        </w:tc>
      </w:tr>
    </w:tbl>
    <w:p>
      <w:pPr>
        <w:pStyle w:val="ySubsection"/>
        <w:pageBreakBefore/>
        <w:spacing w:before="0"/>
      </w:pPr>
      <w:r>
        <w:tab/>
        <w:t>(4)</w:t>
      </w:r>
      <w:r>
        <w:tab/>
        <w:t>The charges to be paid under regulation 96 are set out in Table 22.2.</w:t>
      </w:r>
    </w:p>
    <w:p>
      <w:pPr>
        <w:pStyle w:val="yTHeadingNAm"/>
        <w:ind w:left="993"/>
      </w:pPr>
      <w:r>
        <w:t>Table 22.2 (Use of careening pad)</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672"/>
        <w:gridCol w:w="4188"/>
        <w:gridCol w:w="1276"/>
      </w:tblGrid>
      <w:tr>
        <w:trPr>
          <w:cantSplit/>
          <w:tblHeader/>
        </w:trPr>
        <w:tc>
          <w:tcPr>
            <w:tcW w:w="672" w:type="dxa"/>
            <w:tcBorders>
              <w:top w:val="single" w:sz="4" w:space="0" w:color="auto"/>
              <w:bottom w:val="single" w:sz="4" w:space="0" w:color="auto"/>
            </w:tcBorders>
          </w:tcPr>
          <w:p>
            <w:pPr>
              <w:pStyle w:val="yTableNAm"/>
              <w:keepNext/>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88" w:type="dxa"/>
          </w:tcPr>
          <w:p>
            <w:pPr>
              <w:pStyle w:val="yTableNAm"/>
            </w:pPr>
            <w:r>
              <w:t>For the use of a careening pad by a vessel for which the annual charge in Table 22.1 has been paid, an amount per day of —</w:t>
            </w:r>
          </w:p>
        </w:tc>
        <w:tc>
          <w:tcPr>
            <w:tcW w:w="1276" w:type="dxa"/>
          </w:tcPr>
          <w:p>
            <w:pPr>
              <w:pStyle w:val="yTableNAm"/>
              <w:jc w:val="center"/>
            </w:pPr>
          </w:p>
        </w:tc>
      </w:tr>
      <w:tr>
        <w:trPr>
          <w:cantSplit/>
        </w:trPr>
        <w:tc>
          <w:tcPr>
            <w:tcW w:w="672" w:type="dxa"/>
          </w:tcPr>
          <w:p>
            <w:pPr>
              <w:pStyle w:val="zyTableNAm"/>
            </w:pPr>
          </w:p>
        </w:tc>
        <w:tc>
          <w:tcPr>
            <w:tcW w:w="4188" w:type="dxa"/>
          </w:tcPr>
          <w:p>
            <w:pPr>
              <w:pStyle w:val="yTableNAm"/>
              <w:tabs>
                <w:tab w:val="clear" w:pos="567"/>
              </w:tabs>
              <w:ind w:left="226" w:hanging="226"/>
            </w:pPr>
            <w:r>
              <w:t>•</w:t>
            </w:r>
            <w:r>
              <w:tab/>
              <w:t>if the vessel is 15 m or less in length</w:t>
            </w:r>
          </w:p>
        </w:tc>
        <w:tc>
          <w:tcPr>
            <w:tcW w:w="1276" w:type="dxa"/>
            <w:vAlign w:val="bottom"/>
          </w:tcPr>
          <w:p>
            <w:pPr>
              <w:pStyle w:val="yTableNAm"/>
              <w:tabs>
                <w:tab w:val="clear" w:pos="567"/>
              </w:tabs>
              <w:ind w:left="368" w:hanging="368"/>
              <w:jc w:val="center"/>
            </w:pPr>
            <w:r>
              <w:rPr>
                <w:szCs w:val="22"/>
              </w:rPr>
              <w:t>169.40</w:t>
            </w:r>
          </w:p>
        </w:tc>
      </w:tr>
      <w:tr>
        <w:trPr>
          <w:cantSplit/>
        </w:trPr>
        <w:tc>
          <w:tcPr>
            <w:tcW w:w="672" w:type="dxa"/>
          </w:tcPr>
          <w:p>
            <w:pPr>
              <w:pStyle w:val="zyTableNAm"/>
            </w:pPr>
          </w:p>
        </w:tc>
        <w:tc>
          <w:tcPr>
            <w:tcW w:w="4188" w:type="dxa"/>
          </w:tcPr>
          <w:p>
            <w:pPr>
              <w:pStyle w:val="yTableNAm"/>
              <w:tabs>
                <w:tab w:val="clear" w:pos="567"/>
              </w:tabs>
              <w:ind w:left="226" w:hanging="226"/>
            </w:pPr>
            <w:r>
              <w:t>•</w:t>
            </w:r>
            <w:r>
              <w:tab/>
              <w:t>if the vessel is over 15 m in length</w:t>
            </w:r>
          </w:p>
        </w:tc>
        <w:tc>
          <w:tcPr>
            <w:tcW w:w="1276" w:type="dxa"/>
            <w:vAlign w:val="bottom"/>
          </w:tcPr>
          <w:p>
            <w:pPr>
              <w:pStyle w:val="yTableNAm"/>
              <w:tabs>
                <w:tab w:val="clear" w:pos="567"/>
              </w:tabs>
              <w:ind w:left="368" w:hanging="368"/>
              <w:jc w:val="center"/>
            </w:pPr>
            <w:r>
              <w:rPr>
                <w:szCs w:val="22"/>
              </w:rPr>
              <w:t>240.90</w:t>
            </w:r>
          </w:p>
        </w:tc>
      </w:tr>
      <w:tr>
        <w:trPr>
          <w:cantSplit/>
        </w:trPr>
        <w:tc>
          <w:tcPr>
            <w:tcW w:w="672" w:type="dxa"/>
          </w:tcPr>
          <w:p>
            <w:pPr>
              <w:pStyle w:val="yTableNAm"/>
            </w:pPr>
            <w:r>
              <w:t>2.</w:t>
            </w:r>
          </w:p>
        </w:tc>
        <w:tc>
          <w:tcPr>
            <w:tcW w:w="4188" w:type="dxa"/>
          </w:tcPr>
          <w:p>
            <w:pPr>
              <w:pStyle w:val="yTableNAm"/>
            </w:pPr>
            <w:r>
              <w:t xml:space="preserve">For the use of a careening pad by any other vessel, an amount per day of — </w:t>
            </w:r>
          </w:p>
        </w:tc>
        <w:tc>
          <w:tcPr>
            <w:tcW w:w="1276" w:type="dxa"/>
            <w:vAlign w:val="bottom"/>
          </w:tcPr>
          <w:p>
            <w:pPr>
              <w:pStyle w:val="yTableNAm"/>
              <w:jc w:val="center"/>
            </w:pPr>
          </w:p>
        </w:tc>
      </w:tr>
      <w:tr>
        <w:trPr>
          <w:cantSplit/>
        </w:trPr>
        <w:tc>
          <w:tcPr>
            <w:tcW w:w="672" w:type="dxa"/>
          </w:tcPr>
          <w:p>
            <w:pPr>
              <w:pStyle w:val="zyTableNAm"/>
            </w:pPr>
          </w:p>
        </w:tc>
        <w:tc>
          <w:tcPr>
            <w:tcW w:w="4188" w:type="dxa"/>
          </w:tcPr>
          <w:p>
            <w:pPr>
              <w:pStyle w:val="yTableNAm"/>
              <w:tabs>
                <w:tab w:val="clear" w:pos="567"/>
              </w:tabs>
              <w:ind w:left="226" w:hanging="226"/>
            </w:pPr>
            <w:r>
              <w:t>•</w:t>
            </w:r>
            <w:r>
              <w:tab/>
              <w:t>if the vessel is 15 m or less in length</w:t>
            </w:r>
          </w:p>
        </w:tc>
        <w:tc>
          <w:tcPr>
            <w:tcW w:w="1276" w:type="dxa"/>
            <w:vAlign w:val="bottom"/>
          </w:tcPr>
          <w:p>
            <w:pPr>
              <w:pStyle w:val="yTableNAm"/>
              <w:jc w:val="center"/>
            </w:pPr>
            <w:r>
              <w:rPr>
                <w:szCs w:val="22"/>
              </w:rPr>
              <w:t>203.50</w:t>
            </w:r>
          </w:p>
        </w:tc>
      </w:tr>
      <w:tr>
        <w:trPr>
          <w:cantSplit/>
        </w:trPr>
        <w:tc>
          <w:tcPr>
            <w:tcW w:w="672" w:type="dxa"/>
            <w:tcBorders>
              <w:bottom w:val="single" w:sz="4" w:space="0" w:color="auto"/>
            </w:tcBorders>
          </w:tcPr>
          <w:p>
            <w:pPr>
              <w:pStyle w:val="zyTableNAm"/>
            </w:pPr>
          </w:p>
        </w:tc>
        <w:tc>
          <w:tcPr>
            <w:tcW w:w="4188" w:type="dxa"/>
            <w:tcBorders>
              <w:bottom w:val="single" w:sz="4" w:space="0" w:color="auto"/>
            </w:tcBorders>
          </w:tcPr>
          <w:p>
            <w:pPr>
              <w:pStyle w:val="yTableNAm"/>
              <w:tabs>
                <w:tab w:val="clear" w:pos="567"/>
              </w:tabs>
              <w:ind w:left="226" w:hanging="226"/>
            </w:pPr>
            <w:r>
              <w:t>•</w:t>
            </w:r>
            <w:r>
              <w:tab/>
              <w:t>if the vessel is over 15 m in length</w:t>
            </w:r>
          </w:p>
        </w:tc>
        <w:tc>
          <w:tcPr>
            <w:tcW w:w="1276" w:type="dxa"/>
            <w:tcBorders>
              <w:bottom w:val="single" w:sz="4" w:space="0" w:color="auto"/>
            </w:tcBorders>
            <w:vAlign w:val="bottom"/>
          </w:tcPr>
          <w:p>
            <w:pPr>
              <w:pStyle w:val="yTableNAm"/>
              <w:jc w:val="center"/>
            </w:pPr>
            <w:r>
              <w:rPr>
                <w:szCs w:val="22"/>
              </w:rPr>
              <w:t>297.00</w:t>
            </w:r>
          </w:p>
        </w:tc>
      </w:tr>
    </w:tbl>
    <w:p>
      <w:pPr>
        <w:pStyle w:val="yFootnotesection"/>
      </w:pPr>
      <w:r>
        <w:tab/>
        <w:t>[Clause 22 inserted in Gazette 22 Jul 2015 p. 2975</w:t>
      </w:r>
      <w:r>
        <w:noBreakHyphen/>
        <w:t>8; amended in Gazette 5 Apr 2016 p. 1024; 15 Apr 2016 p. 1177.]</w:t>
      </w:r>
    </w:p>
    <w:p>
      <w:pPr>
        <w:pStyle w:val="yHeading5"/>
      </w:pPr>
      <w:bookmarkStart w:id="335" w:name="_Toc455151582"/>
      <w:r>
        <w:rPr>
          <w:rStyle w:val="CharSClsNo"/>
        </w:rPr>
        <w:t>23</w:t>
      </w:r>
      <w:r>
        <w:t>.</w:t>
      </w:r>
      <w:r>
        <w:tab/>
        <w:t xml:space="preserve">Port </w:t>
      </w:r>
      <w:smartTag w:uri="urn:schemas-microsoft-com:office:smarttags" w:element="place">
        <w:smartTag w:uri="urn:schemas-microsoft-com:office:smarttags" w:element="City">
          <w:r>
            <w:t>Denison</w:t>
          </w:r>
        </w:smartTag>
      </w:smartTag>
      <w:bookmarkEnd w:id="335"/>
    </w:p>
    <w:p>
      <w:pPr>
        <w:pStyle w:val="ySubsection"/>
      </w:pPr>
      <w:r>
        <w:tab/>
        <w:t>(1)</w:t>
      </w:r>
      <w:r>
        <w:tab/>
        <w:t>This clause applies to Port Denison.</w:t>
      </w:r>
    </w:p>
    <w:p>
      <w:pPr>
        <w:pStyle w:val="ySubsection"/>
      </w:pPr>
      <w:r>
        <w:tab/>
        <w:t>(2)</w:t>
      </w:r>
      <w:r>
        <w:tab/>
        <w:t>The dues (other than wharfage dues) and charges to be paid under these regulations are set out in Table 23.1.</w:t>
      </w:r>
    </w:p>
    <w:p>
      <w:pPr>
        <w:pStyle w:val="yTHeadingNAm"/>
        <w:ind w:left="993"/>
      </w:pPr>
      <w:r>
        <w:t>Table 23.1 (Pen use and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30"/>
        <w:gridCol w:w="4202"/>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20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202" w:type="dxa"/>
          </w:tcPr>
          <w:p>
            <w:pPr>
              <w:pStyle w:val="yTableNAm"/>
            </w:pPr>
            <w:r>
              <w:t>For the use, other than casual daily use, of a pen, an amount calculated per metre of the pen’s length at the annual rate of</w:t>
            </w:r>
          </w:p>
        </w:tc>
        <w:tc>
          <w:tcPr>
            <w:tcW w:w="1276" w:type="dxa"/>
          </w:tcPr>
          <w:p>
            <w:pPr>
              <w:pStyle w:val="yTableNAm"/>
              <w:jc w:val="center"/>
            </w:pPr>
            <w:r>
              <w:br/>
            </w:r>
            <w:r>
              <w:br/>
            </w:r>
            <w:r>
              <w:rPr>
                <w:szCs w:val="22"/>
              </w:rPr>
              <w:t>136.40</w:t>
            </w:r>
          </w:p>
        </w:tc>
      </w:tr>
      <w:tr>
        <w:trPr>
          <w:cantSplit/>
        </w:trPr>
        <w:tc>
          <w:tcPr>
            <w:tcW w:w="630" w:type="dxa"/>
          </w:tcPr>
          <w:p>
            <w:pPr>
              <w:pStyle w:val="yTableNAm"/>
            </w:pPr>
            <w:r>
              <w:t>2.</w:t>
            </w:r>
          </w:p>
        </w:tc>
        <w:tc>
          <w:tcPr>
            <w:tcW w:w="4202" w:type="dxa"/>
          </w:tcPr>
          <w:p>
            <w:pPr>
              <w:pStyle w:val="yTableNAm"/>
            </w:pPr>
            <w:r>
              <w:t>For the casual daily use of an alongside berth by a commercial vessel, an amount calculated using standard Rate 1</w:t>
            </w:r>
          </w:p>
        </w:tc>
        <w:tc>
          <w:tcPr>
            <w:tcW w:w="1276" w:type="dxa"/>
          </w:tcPr>
          <w:p>
            <w:pPr>
              <w:pStyle w:val="yTableNAm"/>
              <w:jc w:val="center"/>
            </w:pPr>
          </w:p>
        </w:tc>
      </w:tr>
      <w:tr>
        <w:trPr>
          <w:cantSplit/>
        </w:trPr>
        <w:tc>
          <w:tcPr>
            <w:tcW w:w="630" w:type="dxa"/>
          </w:tcPr>
          <w:p>
            <w:pPr>
              <w:pStyle w:val="yTableNAm"/>
            </w:pPr>
            <w:r>
              <w:t>3.</w:t>
            </w:r>
          </w:p>
        </w:tc>
        <w:tc>
          <w:tcPr>
            <w:tcW w:w="4202" w:type="dxa"/>
          </w:tcPr>
          <w:p>
            <w:pPr>
              <w:pStyle w:val="yTableNAm"/>
            </w:pPr>
            <w:r>
              <w:t>For the short term use of a service wharf or jetty by a vessel for which neither a swing mooring fee nor charge in item 1 has been paid, an amount calculated using standard Rate 3</w:t>
            </w:r>
          </w:p>
        </w:tc>
        <w:tc>
          <w:tcPr>
            <w:tcW w:w="1276" w:type="dxa"/>
          </w:tcPr>
          <w:p>
            <w:pPr>
              <w:pStyle w:val="yTableNAm"/>
              <w:jc w:val="center"/>
            </w:pPr>
          </w:p>
        </w:tc>
      </w:tr>
      <w:tr>
        <w:trPr>
          <w:cantSplit/>
        </w:trPr>
        <w:tc>
          <w:tcPr>
            <w:tcW w:w="630" w:type="dxa"/>
            <w:tcBorders>
              <w:bottom w:val="single" w:sz="4" w:space="0" w:color="auto"/>
            </w:tcBorders>
          </w:tcPr>
          <w:p>
            <w:pPr>
              <w:pStyle w:val="yTableNAm"/>
            </w:pPr>
            <w:r>
              <w:t>4.</w:t>
            </w:r>
          </w:p>
        </w:tc>
        <w:tc>
          <w:tcPr>
            <w:tcW w:w="4202" w:type="dxa"/>
            <w:tcBorders>
              <w:bottom w:val="single" w:sz="4" w:space="0" w:color="auto"/>
            </w:tcBorders>
          </w:tcPr>
          <w:p>
            <w:pPr>
              <w:pStyle w:val="yTableNAm"/>
            </w:pPr>
            <w:r>
              <w:t>For the casual daily use of a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Subsection"/>
      </w:pPr>
      <w:r>
        <w:tab/>
        <w:t>(3)</w:t>
      </w:r>
      <w:r>
        <w:tab/>
        <w:t>The wharfage dues to be paid under these regulations are set out in Table 23.2.</w:t>
      </w:r>
    </w:p>
    <w:p>
      <w:pPr>
        <w:pStyle w:val="yTHeadingNAm"/>
        <w:ind w:left="993"/>
      </w:pPr>
      <w:r>
        <w:t>Table 23.2 (Wharfage)</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44"/>
        <w:gridCol w:w="4188"/>
        <w:gridCol w:w="1276"/>
      </w:tblGrid>
      <w:tr>
        <w:trPr>
          <w:cantSplit/>
          <w:tblHeader/>
        </w:trPr>
        <w:tc>
          <w:tcPr>
            <w:tcW w:w="644"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44" w:type="dxa"/>
            <w:tcBorders>
              <w:top w:val="single" w:sz="4" w:space="0" w:color="auto"/>
              <w:bottom w:val="single" w:sz="4" w:space="0" w:color="auto"/>
            </w:tcBorders>
          </w:tcPr>
          <w:p>
            <w:pPr>
              <w:pStyle w:val="yTableNAm"/>
            </w:pPr>
            <w:r>
              <w:t>1.</w:t>
            </w:r>
          </w:p>
        </w:tc>
        <w:tc>
          <w:tcPr>
            <w:tcW w:w="4188" w:type="dxa"/>
            <w:tcBorders>
              <w:top w:val="single" w:sz="4" w:space="0" w:color="auto"/>
              <w:bottom w:val="single" w:sz="4" w:space="0" w:color="auto"/>
            </w:tcBorders>
          </w:tcPr>
          <w:p>
            <w:pPr>
              <w:pStyle w:val="yTableNAm"/>
            </w:pPr>
            <w:r>
              <w:t>Wharfage for general cargo if loaded from or into a vessel, per vessel, for 12 months (excludes fishing product, fishing equipment and bait)</w:t>
            </w:r>
          </w:p>
        </w:tc>
        <w:tc>
          <w:tcPr>
            <w:tcW w:w="1276" w:type="dxa"/>
            <w:tcBorders>
              <w:top w:val="single" w:sz="4" w:space="0" w:color="auto"/>
              <w:bottom w:val="single" w:sz="4" w:space="0" w:color="auto"/>
            </w:tcBorders>
          </w:tcPr>
          <w:p>
            <w:pPr>
              <w:pStyle w:val="yTableNAm"/>
              <w:jc w:val="center"/>
            </w:pPr>
            <w:r>
              <w:br/>
            </w:r>
            <w:r>
              <w:br/>
            </w:r>
            <w:r>
              <w:br/>
            </w:r>
            <w:r>
              <w:rPr>
                <w:szCs w:val="22"/>
              </w:rPr>
              <w:t>614.90</w:t>
            </w:r>
          </w:p>
        </w:tc>
      </w:tr>
    </w:tbl>
    <w:p>
      <w:pPr>
        <w:pStyle w:val="yFootnotesection"/>
      </w:pPr>
      <w:r>
        <w:tab/>
        <w:t>[Clause 23 inserted in Gazette 22 Jul 2015 p. 2978</w:t>
      </w:r>
      <w:r>
        <w:noBreakHyphen/>
        <w:t>9; amended in Gazette 15 Apr 2016 p. 1177.]</w:t>
      </w:r>
    </w:p>
    <w:p>
      <w:pPr>
        <w:pStyle w:val="yHeading5"/>
      </w:pPr>
      <w:bookmarkStart w:id="336" w:name="_Toc455151583"/>
      <w:r>
        <w:rPr>
          <w:rStyle w:val="CharSClsNo"/>
        </w:rPr>
        <w:t>24</w:t>
      </w:r>
      <w:r>
        <w:t>.</w:t>
      </w:r>
      <w:r>
        <w:tab/>
        <w:t>Port Gregory</w:t>
      </w:r>
      <w:bookmarkEnd w:id="336"/>
    </w:p>
    <w:p>
      <w:pPr>
        <w:pStyle w:val="ySubsection"/>
      </w:pPr>
      <w:r>
        <w:tab/>
        <w:t>(1)</w:t>
      </w:r>
      <w:r>
        <w:tab/>
        <w:t>This clause applies to Port Gregory.</w:t>
      </w:r>
    </w:p>
    <w:p>
      <w:pPr>
        <w:pStyle w:val="ySubsection"/>
      </w:pPr>
      <w:r>
        <w:tab/>
        <w:t>(2)</w:t>
      </w:r>
      <w:r>
        <w:tab/>
        <w:t>The berthing dues to be paid under these regulations are set out in Table 24.1.</w:t>
      </w:r>
    </w:p>
    <w:p>
      <w:pPr>
        <w:pStyle w:val="yTHeadingNAm"/>
        <w:ind w:left="993"/>
      </w:pPr>
      <w:r>
        <w:t>Table 24.1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44"/>
        <w:gridCol w:w="4188"/>
        <w:gridCol w:w="1276"/>
      </w:tblGrid>
      <w:tr>
        <w:trPr>
          <w:cantSplit/>
          <w:tblHeader/>
        </w:trPr>
        <w:tc>
          <w:tcPr>
            <w:tcW w:w="644"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44" w:type="dxa"/>
          </w:tcPr>
          <w:p>
            <w:pPr>
              <w:pStyle w:val="yTableNAm"/>
            </w:pPr>
            <w:r>
              <w:t>1.</w:t>
            </w:r>
          </w:p>
        </w:tc>
        <w:tc>
          <w:tcPr>
            <w:tcW w:w="4188" w:type="dxa"/>
          </w:tcPr>
          <w:p>
            <w:pPr>
              <w:pStyle w:val="yTableNAm"/>
            </w:pPr>
            <w:r>
              <w:t xml:space="preserve">For the casual daily use of an alongside berth — </w:t>
            </w:r>
          </w:p>
        </w:tc>
        <w:tc>
          <w:tcPr>
            <w:tcW w:w="1276" w:type="dxa"/>
          </w:tcPr>
          <w:p>
            <w:pPr>
              <w:pStyle w:val="yTableNAm"/>
              <w:jc w:val="center"/>
            </w:pPr>
          </w:p>
        </w:tc>
      </w:tr>
      <w:tr>
        <w:trPr>
          <w:cantSplit/>
        </w:trPr>
        <w:tc>
          <w:tcPr>
            <w:tcW w:w="644" w:type="dxa"/>
          </w:tcPr>
          <w:p>
            <w:pPr>
              <w:pStyle w:val="zyTableNAm"/>
              <w:tabs>
                <w:tab w:val="clear" w:pos="567"/>
              </w:tabs>
            </w:pPr>
          </w:p>
        </w:tc>
        <w:tc>
          <w:tcPr>
            <w:tcW w:w="4188"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644" w:type="dxa"/>
          </w:tcPr>
          <w:p>
            <w:pPr>
              <w:pStyle w:val="zyTableNAm"/>
              <w:tabs>
                <w:tab w:val="clear" w:pos="567"/>
              </w:tabs>
            </w:pPr>
          </w:p>
        </w:tc>
        <w:tc>
          <w:tcPr>
            <w:tcW w:w="4188"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644" w:type="dxa"/>
            <w:tcBorders>
              <w:bottom w:val="single" w:sz="4" w:space="0" w:color="auto"/>
            </w:tcBorders>
          </w:tcPr>
          <w:p>
            <w:pPr>
              <w:pStyle w:val="yTableNAm"/>
            </w:pPr>
            <w:r>
              <w:t>2.</w:t>
            </w:r>
          </w:p>
        </w:tc>
        <w:tc>
          <w:tcPr>
            <w:tcW w:w="4188"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24 inserted in Gazette 22 Jul 2015 p. 2979</w:t>
      </w:r>
      <w:r>
        <w:noBreakHyphen/>
        <w:t>80.]</w:t>
      </w:r>
    </w:p>
    <w:p>
      <w:pPr>
        <w:pStyle w:val="yHeading5"/>
      </w:pPr>
      <w:bookmarkStart w:id="337" w:name="_Toc455151584"/>
      <w:r>
        <w:rPr>
          <w:rStyle w:val="CharSClsNo"/>
        </w:rPr>
        <w:t>25A</w:t>
      </w:r>
      <w:r>
        <w:t>.</w:t>
      </w:r>
      <w:r>
        <w:tab/>
        <w:t>Two Rocks Marina</w:t>
      </w:r>
      <w:bookmarkEnd w:id="337"/>
    </w:p>
    <w:p>
      <w:pPr>
        <w:pStyle w:val="ySubsection"/>
      </w:pPr>
      <w:r>
        <w:tab/>
        <w:t>(1)</w:t>
      </w:r>
      <w:r>
        <w:tab/>
        <w:t>This clause applies to the Two Rocks Marina.</w:t>
      </w:r>
    </w:p>
    <w:p>
      <w:pPr>
        <w:pStyle w:val="ySubsection"/>
      </w:pPr>
      <w:r>
        <w:tab/>
        <w:t>(2)</w:t>
      </w:r>
      <w:r>
        <w:tab/>
        <w:t>The dues and charges to be paid under these regulations are set out in Table 25A.1.</w:t>
      </w:r>
    </w:p>
    <w:p>
      <w:pPr>
        <w:pStyle w:val="yTHeadingNAm"/>
        <w:ind w:left="993"/>
      </w:pPr>
      <w:r>
        <w:t>Table 25A.1 (Pen use and alongside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72"/>
        <w:gridCol w:w="4160"/>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60" w:type="dxa"/>
          </w:tcPr>
          <w:p>
            <w:pPr>
              <w:pStyle w:val="yTableNAm"/>
            </w:pPr>
            <w:r>
              <w:t>For the use, other than casual daily use, of a pen (whether it has a walkway or not), an amount calculated per metre of the pen’s length using the annual rate of</w:t>
            </w:r>
          </w:p>
        </w:tc>
        <w:tc>
          <w:tcPr>
            <w:tcW w:w="1276" w:type="dxa"/>
          </w:tcPr>
          <w:p>
            <w:pPr>
              <w:pStyle w:val="yTableNAm"/>
              <w:jc w:val="center"/>
            </w:pPr>
            <w:r>
              <w:br/>
            </w:r>
            <w:r>
              <w:br/>
            </w:r>
            <w:r>
              <w:br/>
            </w:r>
            <w:r>
              <w:rPr>
                <w:szCs w:val="22"/>
              </w:rPr>
              <w:t>418.00</w:t>
            </w:r>
          </w:p>
        </w:tc>
      </w:tr>
      <w:tr>
        <w:trPr>
          <w:cantSplit/>
        </w:trPr>
        <w:tc>
          <w:tcPr>
            <w:tcW w:w="672" w:type="dxa"/>
          </w:tcPr>
          <w:p>
            <w:pPr>
              <w:pStyle w:val="yTableNAm"/>
            </w:pPr>
            <w:r>
              <w:t>2.</w:t>
            </w:r>
          </w:p>
        </w:tc>
        <w:tc>
          <w:tcPr>
            <w:tcW w:w="4160"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672" w:type="dxa"/>
          </w:tcPr>
          <w:p>
            <w:pPr>
              <w:pStyle w:val="yTableNAm"/>
            </w:pPr>
            <w:r>
              <w:t>3.</w:t>
            </w:r>
          </w:p>
        </w:tc>
        <w:tc>
          <w:tcPr>
            <w:tcW w:w="4160" w:type="dxa"/>
          </w:tcPr>
          <w:p>
            <w:pPr>
              <w:pStyle w:val="yTableNAm"/>
            </w:pPr>
            <w:r>
              <w:t>For the casual daily use of an alongside berth on the service wharf or service jetty, an amount calculated using standard Rate 1</w:t>
            </w:r>
          </w:p>
        </w:tc>
        <w:tc>
          <w:tcPr>
            <w:tcW w:w="1276" w:type="dxa"/>
          </w:tcPr>
          <w:p>
            <w:pPr>
              <w:pStyle w:val="yTableNAm"/>
              <w:jc w:val="center"/>
            </w:pPr>
          </w:p>
        </w:tc>
      </w:tr>
      <w:tr>
        <w:trPr>
          <w:cantSplit/>
        </w:trPr>
        <w:tc>
          <w:tcPr>
            <w:tcW w:w="672" w:type="dxa"/>
          </w:tcPr>
          <w:p>
            <w:pPr>
              <w:pStyle w:val="yTableNAm"/>
            </w:pPr>
            <w:r>
              <w:t>4.</w:t>
            </w:r>
          </w:p>
        </w:tc>
        <w:tc>
          <w:tcPr>
            <w:tcW w:w="4160" w:type="dxa"/>
          </w:tcPr>
          <w:p>
            <w:pPr>
              <w:pStyle w:val="yTableNAm"/>
            </w:pPr>
            <w:r>
              <w:t>For the casual daily use of a pen or alongside berth by a recreational vessel, an amount calculated using standard Rate 2</w:t>
            </w:r>
          </w:p>
        </w:tc>
        <w:tc>
          <w:tcPr>
            <w:tcW w:w="1276" w:type="dxa"/>
          </w:tcPr>
          <w:p>
            <w:pPr>
              <w:pStyle w:val="yTableNAm"/>
              <w:jc w:val="center"/>
            </w:pPr>
          </w:p>
        </w:tc>
      </w:tr>
      <w:tr>
        <w:trPr>
          <w:cantSplit/>
        </w:trPr>
        <w:tc>
          <w:tcPr>
            <w:tcW w:w="672" w:type="dxa"/>
          </w:tcPr>
          <w:p>
            <w:pPr>
              <w:pStyle w:val="yTableNAm"/>
            </w:pPr>
            <w:r>
              <w:t>5.</w:t>
            </w:r>
          </w:p>
        </w:tc>
        <w:tc>
          <w:tcPr>
            <w:tcW w:w="4160"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672" w:type="dxa"/>
            <w:tcBorders>
              <w:bottom w:val="single" w:sz="4" w:space="0" w:color="auto"/>
            </w:tcBorders>
          </w:tcPr>
          <w:p>
            <w:pPr>
              <w:pStyle w:val="yTableNAm"/>
            </w:pPr>
            <w:r>
              <w:t>6.</w:t>
            </w:r>
          </w:p>
        </w:tc>
        <w:tc>
          <w:tcPr>
            <w:tcW w:w="4160" w:type="dxa"/>
            <w:tcBorders>
              <w:bottom w:val="single" w:sz="4" w:space="0" w:color="auto"/>
            </w:tcBorders>
          </w:tcPr>
          <w:p>
            <w:pPr>
              <w:pStyle w:val="yTableNAm"/>
            </w:pPr>
            <w:r>
              <w:t>For the use, other than casual daily use, of an alongside berth, an amount calculated per metre of the vessel’s length using the annual rate of</w:t>
            </w:r>
          </w:p>
        </w:tc>
        <w:tc>
          <w:tcPr>
            <w:tcW w:w="1276" w:type="dxa"/>
            <w:tcBorders>
              <w:bottom w:val="single" w:sz="4" w:space="0" w:color="auto"/>
            </w:tcBorders>
          </w:tcPr>
          <w:p>
            <w:pPr>
              <w:pStyle w:val="yTableNAm"/>
              <w:jc w:val="center"/>
            </w:pPr>
            <w:r>
              <w:br/>
            </w:r>
            <w:r>
              <w:br/>
            </w:r>
            <w:r>
              <w:br/>
            </w:r>
            <w:r>
              <w:rPr>
                <w:szCs w:val="22"/>
              </w:rPr>
              <w:t>418.00</w:t>
            </w:r>
          </w:p>
        </w:tc>
      </w:tr>
    </w:tbl>
    <w:p>
      <w:pPr>
        <w:pStyle w:val="yFootnotesection"/>
      </w:pPr>
      <w:r>
        <w:tab/>
        <w:t>[Clause 25A inserted in Gazette 22 Jul 2015 p. 2980; amended in Gazette 5 Apr 2016 p. 1024; 15 Apr 2016 p. 1177.]</w:t>
      </w:r>
    </w:p>
    <w:p>
      <w:pPr>
        <w:pStyle w:val="yHeading5"/>
      </w:pPr>
      <w:bookmarkStart w:id="338" w:name="_Toc455151585"/>
      <w:r>
        <w:rPr>
          <w:rStyle w:val="CharSClsNo"/>
        </w:rPr>
        <w:t>25</w:t>
      </w:r>
      <w:r>
        <w:t>.</w:t>
      </w:r>
      <w:r>
        <w:tab/>
        <w:t>Port of Wyndham</w:t>
      </w:r>
      <w:bookmarkEnd w:id="338"/>
    </w:p>
    <w:p>
      <w:pPr>
        <w:pStyle w:val="ySubsection"/>
      </w:pPr>
      <w:r>
        <w:tab/>
        <w:t>(1)</w:t>
      </w:r>
      <w:r>
        <w:tab/>
        <w:t xml:space="preserve">This clause applies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Wyndham</w:t>
          </w:r>
        </w:smartTag>
      </w:smartTag>
      <w:r>
        <w:t>.</w:t>
      </w:r>
    </w:p>
    <w:p>
      <w:pPr>
        <w:pStyle w:val="ySubsection"/>
      </w:pPr>
      <w:r>
        <w:tab/>
        <w:t>(2)</w:t>
      </w:r>
      <w:r>
        <w:tab/>
        <w:t>The berthing dues to be paid under these regulations are set out in Table 25.1.</w:t>
      </w:r>
    </w:p>
    <w:p>
      <w:pPr>
        <w:pStyle w:val="yTHeadingNAm"/>
        <w:spacing w:before="180" w:after="80"/>
        <w:ind w:left="992"/>
      </w:pPr>
      <w:r>
        <w:t>Table 25.1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72"/>
        <w:gridCol w:w="1750"/>
        <w:gridCol w:w="2268"/>
        <w:gridCol w:w="1418"/>
      </w:tblGrid>
      <w:tr>
        <w:trPr>
          <w:cantSplit/>
          <w:tblHeader/>
        </w:trPr>
        <w:tc>
          <w:tcPr>
            <w:tcW w:w="672" w:type="dxa"/>
            <w:tcBorders>
              <w:top w:val="single" w:sz="4" w:space="0" w:color="auto"/>
              <w:bottom w:val="single" w:sz="4" w:space="0" w:color="auto"/>
            </w:tcBorders>
          </w:tcPr>
          <w:p>
            <w:pPr>
              <w:pStyle w:val="yTableNAm"/>
            </w:pPr>
            <w:r>
              <w:rPr>
                <w:b/>
              </w:rPr>
              <w:t>Item</w:t>
            </w:r>
          </w:p>
        </w:tc>
        <w:tc>
          <w:tcPr>
            <w:tcW w:w="1750" w:type="dxa"/>
            <w:tcBorders>
              <w:top w:val="single" w:sz="4" w:space="0" w:color="auto"/>
              <w:bottom w:val="single" w:sz="4" w:space="0" w:color="auto"/>
            </w:tcBorders>
          </w:tcPr>
          <w:p>
            <w:pPr>
              <w:pStyle w:val="yTableNAm"/>
            </w:pPr>
            <w:r>
              <w:rPr>
                <w:b/>
              </w:rPr>
              <w:t>Vessel or cargo</w:t>
            </w:r>
          </w:p>
        </w:tc>
        <w:tc>
          <w:tcPr>
            <w:tcW w:w="2268" w:type="dxa"/>
            <w:tcBorders>
              <w:top w:val="single" w:sz="4" w:space="0" w:color="auto"/>
              <w:bottom w:val="single" w:sz="4" w:space="0" w:color="auto"/>
            </w:tcBorders>
          </w:tcPr>
          <w:p>
            <w:pPr>
              <w:pStyle w:val="yTableNAm"/>
            </w:pPr>
            <w:r>
              <w:rPr>
                <w:b/>
              </w:rPr>
              <w:t>Dues</w:t>
            </w:r>
          </w:p>
        </w:tc>
        <w:tc>
          <w:tcPr>
            <w:tcW w:w="1418" w:type="dxa"/>
            <w:tcBorders>
              <w:top w:val="single" w:sz="4" w:space="0" w:color="auto"/>
              <w:bottom w:val="single" w:sz="4" w:space="0" w:color="auto"/>
            </w:tcBorders>
          </w:tcPr>
          <w:p>
            <w:pPr>
              <w:pStyle w:val="yTableNAm"/>
              <w:jc w:val="center"/>
            </w:pPr>
            <w:r>
              <w:rPr>
                <w:b/>
              </w:rPr>
              <w:t>Minimum per day ($)</w:t>
            </w:r>
          </w:p>
        </w:tc>
      </w:tr>
      <w:tr>
        <w:trPr>
          <w:cantSplit/>
        </w:trPr>
        <w:tc>
          <w:tcPr>
            <w:tcW w:w="672" w:type="dxa"/>
          </w:tcPr>
          <w:p>
            <w:pPr>
              <w:pStyle w:val="yTableNAm"/>
            </w:pPr>
            <w:r>
              <w:t>1.</w:t>
            </w:r>
          </w:p>
        </w:tc>
        <w:tc>
          <w:tcPr>
            <w:tcW w:w="1750" w:type="dxa"/>
          </w:tcPr>
          <w:p>
            <w:pPr>
              <w:pStyle w:val="yTableNAm"/>
            </w:pPr>
            <w:r>
              <w:t>Vessel of 300 gross registered tonnes or over</w:t>
            </w:r>
          </w:p>
        </w:tc>
        <w:tc>
          <w:tcPr>
            <w:tcW w:w="2268" w:type="dxa"/>
          </w:tcPr>
          <w:p>
            <w:pPr>
              <w:pStyle w:val="yTableNAm"/>
            </w:pPr>
            <w:r>
              <w:rPr>
                <w:szCs w:val="22"/>
              </w:rPr>
              <w:t>$1.22</w:t>
            </w:r>
            <w:r>
              <w:t xml:space="preserve"> per tonne, per cubic metre, or per kilolitre, at option of officer in charge, on all cargo landed or shipped</w:t>
            </w:r>
          </w:p>
        </w:tc>
        <w:tc>
          <w:tcPr>
            <w:tcW w:w="1418" w:type="dxa"/>
          </w:tcPr>
          <w:p>
            <w:pPr>
              <w:pStyle w:val="yTableNAm"/>
              <w:jc w:val="center"/>
            </w:pPr>
            <w:r>
              <w:br/>
            </w:r>
            <w:r>
              <w:br/>
            </w:r>
            <w:r>
              <w:br/>
            </w:r>
            <w:r>
              <w:br/>
            </w:r>
            <w:r>
              <w:rPr>
                <w:szCs w:val="22"/>
              </w:rPr>
              <w:t>182.50</w:t>
            </w:r>
          </w:p>
        </w:tc>
      </w:tr>
      <w:tr>
        <w:trPr>
          <w:cantSplit/>
        </w:trPr>
        <w:tc>
          <w:tcPr>
            <w:tcW w:w="672" w:type="dxa"/>
          </w:tcPr>
          <w:p>
            <w:pPr>
              <w:pStyle w:val="yTableNAm"/>
            </w:pPr>
            <w:r>
              <w:t>2.</w:t>
            </w:r>
          </w:p>
        </w:tc>
        <w:tc>
          <w:tcPr>
            <w:tcW w:w="1750" w:type="dxa"/>
          </w:tcPr>
          <w:p>
            <w:pPr>
              <w:pStyle w:val="yTableNAm"/>
            </w:pPr>
            <w:r>
              <w:t>Vessel under 300 gross registered tonnes</w:t>
            </w:r>
          </w:p>
        </w:tc>
        <w:tc>
          <w:tcPr>
            <w:tcW w:w="2268" w:type="dxa"/>
          </w:tcPr>
          <w:p>
            <w:pPr>
              <w:pStyle w:val="yTableNAm"/>
            </w:pPr>
            <w:r>
              <w:rPr>
                <w:szCs w:val="22"/>
              </w:rPr>
              <w:t>$6.60</w:t>
            </w:r>
            <w:r>
              <w:t xml:space="preserve"> per metre of the vessel’s length, per day</w:t>
            </w:r>
          </w:p>
        </w:tc>
        <w:tc>
          <w:tcPr>
            <w:tcW w:w="1418" w:type="dxa"/>
          </w:tcPr>
          <w:p>
            <w:pPr>
              <w:pStyle w:val="yTableNAm"/>
              <w:jc w:val="center"/>
            </w:pPr>
            <w:r>
              <w:br/>
            </w:r>
            <w:r>
              <w:rPr>
                <w:szCs w:val="22"/>
              </w:rPr>
              <w:t>121.62</w:t>
            </w:r>
          </w:p>
        </w:tc>
      </w:tr>
      <w:tr>
        <w:trPr>
          <w:cantSplit/>
        </w:trPr>
        <w:tc>
          <w:tcPr>
            <w:tcW w:w="672" w:type="dxa"/>
          </w:tcPr>
          <w:p>
            <w:pPr>
              <w:pStyle w:val="yTableNAm"/>
            </w:pPr>
            <w:r>
              <w:t>3.</w:t>
            </w:r>
          </w:p>
        </w:tc>
        <w:tc>
          <w:tcPr>
            <w:tcW w:w="1750" w:type="dxa"/>
          </w:tcPr>
          <w:p>
            <w:pPr>
              <w:pStyle w:val="yTableNAm"/>
            </w:pPr>
            <w:r>
              <w:t>Vessel using berth for purposes other than handling cargo</w:t>
            </w:r>
          </w:p>
        </w:tc>
        <w:tc>
          <w:tcPr>
            <w:tcW w:w="2268" w:type="dxa"/>
          </w:tcPr>
          <w:p>
            <w:pPr>
              <w:pStyle w:val="yTableNAm"/>
            </w:pPr>
            <w:r>
              <w:rPr>
                <w:szCs w:val="22"/>
              </w:rPr>
              <w:t>$6.60</w:t>
            </w:r>
            <w:r>
              <w:t xml:space="preserve"> per metre of the vessel’s length, per day</w:t>
            </w:r>
          </w:p>
        </w:tc>
        <w:tc>
          <w:tcPr>
            <w:tcW w:w="1418" w:type="dxa"/>
          </w:tcPr>
          <w:p>
            <w:pPr>
              <w:pStyle w:val="yTableNAm"/>
              <w:jc w:val="center"/>
            </w:pPr>
            <w:r>
              <w:br/>
            </w:r>
            <w:r>
              <w:rPr>
                <w:szCs w:val="22"/>
              </w:rPr>
              <w:t>121.62</w:t>
            </w:r>
          </w:p>
        </w:tc>
      </w:tr>
      <w:tr>
        <w:trPr>
          <w:cantSplit/>
        </w:trPr>
        <w:tc>
          <w:tcPr>
            <w:tcW w:w="672" w:type="dxa"/>
          </w:tcPr>
          <w:p>
            <w:pPr>
              <w:pStyle w:val="yTableNAm"/>
            </w:pPr>
            <w:r>
              <w:t>4.</w:t>
            </w:r>
          </w:p>
        </w:tc>
        <w:tc>
          <w:tcPr>
            <w:tcW w:w="1750" w:type="dxa"/>
          </w:tcPr>
          <w:p>
            <w:pPr>
              <w:pStyle w:val="yTableNAm"/>
            </w:pPr>
            <w:r>
              <w:t>Container, empty</w:t>
            </w:r>
          </w:p>
        </w:tc>
        <w:tc>
          <w:tcPr>
            <w:tcW w:w="2268" w:type="dxa"/>
          </w:tcPr>
          <w:p>
            <w:pPr>
              <w:pStyle w:val="yTableNAm"/>
            </w:pPr>
            <w:r>
              <w:rPr>
                <w:szCs w:val="22"/>
              </w:rPr>
              <w:t>$9.48</w:t>
            </w:r>
            <w:r>
              <w:t xml:space="preserve"> per container</w:t>
            </w:r>
          </w:p>
        </w:tc>
        <w:tc>
          <w:tcPr>
            <w:tcW w:w="1418" w:type="dxa"/>
          </w:tcPr>
          <w:p>
            <w:pPr>
              <w:pStyle w:val="yTableNAm"/>
              <w:jc w:val="center"/>
            </w:pPr>
          </w:p>
        </w:tc>
      </w:tr>
      <w:tr>
        <w:trPr>
          <w:cantSplit/>
        </w:trPr>
        <w:tc>
          <w:tcPr>
            <w:tcW w:w="672" w:type="dxa"/>
            <w:tcBorders>
              <w:bottom w:val="single" w:sz="4" w:space="0" w:color="auto"/>
            </w:tcBorders>
          </w:tcPr>
          <w:p>
            <w:pPr>
              <w:pStyle w:val="yTableNAm"/>
            </w:pPr>
            <w:r>
              <w:t>5.</w:t>
            </w:r>
          </w:p>
        </w:tc>
        <w:tc>
          <w:tcPr>
            <w:tcW w:w="1750" w:type="dxa"/>
            <w:tcBorders>
              <w:bottom w:val="single" w:sz="4" w:space="0" w:color="auto"/>
            </w:tcBorders>
          </w:tcPr>
          <w:p>
            <w:pPr>
              <w:pStyle w:val="yTableNAm"/>
            </w:pPr>
            <w:r>
              <w:t>Container, loaded</w:t>
            </w:r>
          </w:p>
        </w:tc>
        <w:tc>
          <w:tcPr>
            <w:tcW w:w="2268" w:type="dxa"/>
            <w:tcBorders>
              <w:bottom w:val="single" w:sz="4" w:space="0" w:color="auto"/>
            </w:tcBorders>
          </w:tcPr>
          <w:p>
            <w:pPr>
              <w:pStyle w:val="yTableNAm"/>
            </w:pPr>
            <w:r>
              <w:rPr>
                <w:szCs w:val="22"/>
              </w:rPr>
              <w:t>$30.48</w:t>
            </w:r>
            <w:r>
              <w:t xml:space="preserve"> per container</w:t>
            </w:r>
          </w:p>
        </w:tc>
        <w:tc>
          <w:tcPr>
            <w:tcW w:w="1418" w:type="dxa"/>
            <w:tcBorders>
              <w:bottom w:val="single" w:sz="4" w:space="0" w:color="auto"/>
            </w:tcBorders>
          </w:tcPr>
          <w:p>
            <w:pPr>
              <w:pStyle w:val="yTableNAm"/>
              <w:jc w:val="center"/>
            </w:pPr>
          </w:p>
        </w:tc>
      </w:tr>
    </w:tbl>
    <w:p>
      <w:pPr>
        <w:pStyle w:val="ySubsection"/>
        <w:spacing w:before="240"/>
      </w:pPr>
      <w:r>
        <w:tab/>
        <w:t>(3)</w:t>
      </w:r>
      <w:r>
        <w:tab/>
        <w:t>The wharfage dues to be paid under these regulations are set out in Table 25.2.</w:t>
      </w:r>
    </w:p>
    <w:p>
      <w:pPr>
        <w:pStyle w:val="yTHeadingNAm"/>
        <w:spacing w:before="180" w:after="80"/>
        <w:ind w:left="992"/>
      </w:pPr>
      <w:r>
        <w:t>Table 25.2 (Wharfage)</w:t>
      </w:r>
    </w:p>
    <w:tbl>
      <w:tblPr>
        <w:tblW w:w="6095" w:type="dxa"/>
        <w:tblInd w:w="1050" w:type="dxa"/>
        <w:tblLayout w:type="fixed"/>
        <w:tblCellMar>
          <w:top w:w="57" w:type="dxa"/>
          <w:left w:w="57" w:type="dxa"/>
          <w:right w:w="57" w:type="dxa"/>
        </w:tblCellMar>
        <w:tblLook w:val="0000" w:firstRow="0" w:lastRow="0" w:firstColumn="0" w:lastColumn="0" w:noHBand="0" w:noVBand="0"/>
      </w:tblPr>
      <w:tblGrid>
        <w:gridCol w:w="673"/>
        <w:gridCol w:w="35"/>
        <w:gridCol w:w="284"/>
        <w:gridCol w:w="3685"/>
        <w:gridCol w:w="1418"/>
      </w:tblGrid>
      <w:tr>
        <w:trPr>
          <w:cantSplit/>
          <w:tblHeader/>
        </w:trPr>
        <w:tc>
          <w:tcPr>
            <w:tcW w:w="673" w:type="dxa"/>
            <w:tcBorders>
              <w:top w:val="single" w:sz="4" w:space="0" w:color="auto"/>
              <w:bottom w:val="single" w:sz="4" w:space="0" w:color="auto"/>
            </w:tcBorders>
          </w:tcPr>
          <w:p>
            <w:pPr>
              <w:pStyle w:val="yTableNAm"/>
            </w:pPr>
            <w:r>
              <w:rPr>
                <w:b/>
              </w:rPr>
              <w:t>Item</w:t>
            </w:r>
          </w:p>
        </w:tc>
        <w:tc>
          <w:tcPr>
            <w:tcW w:w="4004" w:type="dxa"/>
            <w:gridSpan w:val="3"/>
            <w:tcBorders>
              <w:top w:val="single" w:sz="4" w:space="0" w:color="auto"/>
              <w:bottom w:val="single" w:sz="4" w:space="0" w:color="auto"/>
            </w:tcBorders>
          </w:tcPr>
          <w:p>
            <w:pPr>
              <w:pStyle w:val="yTableNAm"/>
            </w:pPr>
            <w:r>
              <w:rPr>
                <w:b/>
              </w:rPr>
              <w:t>Goods</w:t>
            </w:r>
          </w:p>
        </w:tc>
        <w:tc>
          <w:tcPr>
            <w:tcW w:w="1418" w:type="dxa"/>
            <w:tcBorders>
              <w:top w:val="single" w:sz="4" w:space="0" w:color="auto"/>
              <w:bottom w:val="single" w:sz="4" w:space="0" w:color="auto"/>
            </w:tcBorders>
          </w:tcPr>
          <w:p>
            <w:pPr>
              <w:pStyle w:val="yTableNAm"/>
              <w:jc w:val="center"/>
            </w:pPr>
            <w:r>
              <w:rPr>
                <w:b/>
              </w:rPr>
              <w:t>$</w:t>
            </w:r>
          </w:p>
        </w:tc>
      </w:tr>
      <w:tr>
        <w:trPr>
          <w:cantSplit/>
        </w:trPr>
        <w:tc>
          <w:tcPr>
            <w:tcW w:w="673" w:type="dxa"/>
          </w:tcPr>
          <w:p>
            <w:pPr>
              <w:pStyle w:val="yTableNAm"/>
            </w:pPr>
            <w:r>
              <w:t>1.</w:t>
            </w:r>
          </w:p>
        </w:tc>
        <w:tc>
          <w:tcPr>
            <w:tcW w:w="4004" w:type="dxa"/>
            <w:gridSpan w:val="3"/>
          </w:tcPr>
          <w:p>
            <w:pPr>
              <w:pStyle w:val="yTableNAm"/>
            </w:pPr>
            <w:r>
              <w:t xml:space="preserve">Cargo in 20 feet equivalent unit (TEU) containers — </w:t>
            </w:r>
          </w:p>
        </w:tc>
        <w:tc>
          <w:tcPr>
            <w:tcW w:w="1418" w:type="dxa"/>
            <w:vAlign w:val="bottom"/>
          </w:tcPr>
          <w:p>
            <w:pPr>
              <w:pStyle w:val="yTableNAm"/>
              <w:jc w:val="center"/>
            </w:pP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fertiliser, per TEU</w:t>
            </w:r>
          </w:p>
        </w:tc>
        <w:tc>
          <w:tcPr>
            <w:tcW w:w="1418" w:type="dxa"/>
            <w:vAlign w:val="bottom"/>
          </w:tcPr>
          <w:p>
            <w:pPr>
              <w:pStyle w:val="yTableNAm"/>
              <w:jc w:val="center"/>
            </w:pPr>
            <w:r>
              <w:rPr>
                <w:szCs w:val="22"/>
              </w:rPr>
              <w:t>105.80</w:t>
            </w:r>
          </w:p>
        </w:tc>
      </w:tr>
      <w:tr>
        <w:trPr>
          <w:cantSplit/>
        </w:trPr>
        <w:tc>
          <w:tcPr>
            <w:tcW w:w="673" w:type="dxa"/>
          </w:tcPr>
          <w:p>
            <w:pPr>
              <w:pStyle w:val="zyTableNAm"/>
              <w:keepNext/>
            </w:pPr>
          </w:p>
        </w:tc>
        <w:tc>
          <w:tcPr>
            <w:tcW w:w="4004" w:type="dxa"/>
            <w:gridSpan w:val="3"/>
          </w:tcPr>
          <w:p>
            <w:pPr>
              <w:pStyle w:val="yTableNAm"/>
              <w:keepNext/>
              <w:tabs>
                <w:tab w:val="clear" w:pos="567"/>
              </w:tabs>
              <w:ind w:left="226" w:hanging="226"/>
            </w:pPr>
            <w:r>
              <w:t>•</w:t>
            </w:r>
            <w:r>
              <w:tab/>
              <w:t>explosives, per TEU</w:t>
            </w:r>
          </w:p>
        </w:tc>
        <w:tc>
          <w:tcPr>
            <w:tcW w:w="1418" w:type="dxa"/>
            <w:vAlign w:val="bottom"/>
          </w:tcPr>
          <w:p>
            <w:pPr>
              <w:pStyle w:val="yTableNAm"/>
              <w:keepNext/>
              <w:jc w:val="center"/>
            </w:pPr>
            <w:r>
              <w:rPr>
                <w:szCs w:val="22"/>
              </w:rPr>
              <w:t>130.89</w:t>
            </w: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products of the soil (not otherwise specified), per TEU</w:t>
            </w:r>
          </w:p>
        </w:tc>
        <w:tc>
          <w:tcPr>
            <w:tcW w:w="1418" w:type="dxa"/>
            <w:vAlign w:val="bottom"/>
          </w:tcPr>
          <w:p>
            <w:pPr>
              <w:pStyle w:val="yTableNAm"/>
              <w:jc w:val="center"/>
            </w:pPr>
            <w:r>
              <w:rPr>
                <w:szCs w:val="22"/>
              </w:rPr>
              <w:t>66.42</w:t>
            </w: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not otherwise specified in this item, per TEU</w:t>
            </w:r>
          </w:p>
        </w:tc>
        <w:tc>
          <w:tcPr>
            <w:tcW w:w="1418" w:type="dxa"/>
            <w:vAlign w:val="bottom"/>
          </w:tcPr>
          <w:p>
            <w:pPr>
              <w:pStyle w:val="yTableNAm"/>
              <w:jc w:val="center"/>
            </w:pPr>
            <w:r>
              <w:rPr>
                <w:szCs w:val="22"/>
              </w:rPr>
              <w:t>209.79</w:t>
            </w:r>
          </w:p>
        </w:tc>
      </w:tr>
      <w:tr>
        <w:trPr>
          <w:cantSplit/>
        </w:trPr>
        <w:tc>
          <w:tcPr>
            <w:tcW w:w="673" w:type="dxa"/>
          </w:tcPr>
          <w:p>
            <w:pPr>
              <w:pStyle w:val="yTableNAm"/>
            </w:pPr>
            <w:r>
              <w:t>2.</w:t>
            </w:r>
          </w:p>
        </w:tc>
        <w:tc>
          <w:tcPr>
            <w:tcW w:w="4004" w:type="dxa"/>
            <w:gridSpan w:val="3"/>
          </w:tcPr>
          <w:p>
            <w:pPr>
              <w:pStyle w:val="yTableNAm"/>
            </w:pPr>
            <w:r>
              <w:t>Empty TEU containers, per TEU</w:t>
            </w:r>
          </w:p>
        </w:tc>
        <w:tc>
          <w:tcPr>
            <w:tcW w:w="1418" w:type="dxa"/>
            <w:vAlign w:val="bottom"/>
          </w:tcPr>
          <w:p>
            <w:pPr>
              <w:pStyle w:val="yTableNAm"/>
              <w:jc w:val="center"/>
            </w:pPr>
            <w:r>
              <w:rPr>
                <w:szCs w:val="22"/>
              </w:rPr>
              <w:t>60.97</w:t>
            </w:r>
          </w:p>
        </w:tc>
      </w:tr>
      <w:tr>
        <w:trPr>
          <w:cantSplit/>
        </w:trPr>
        <w:tc>
          <w:tcPr>
            <w:tcW w:w="673" w:type="dxa"/>
          </w:tcPr>
          <w:p>
            <w:pPr>
              <w:pStyle w:val="yTableNAm"/>
            </w:pPr>
            <w:r>
              <w:t>3.</w:t>
            </w:r>
          </w:p>
        </w:tc>
        <w:tc>
          <w:tcPr>
            <w:tcW w:w="4004" w:type="dxa"/>
            <w:gridSpan w:val="3"/>
          </w:tcPr>
          <w:p>
            <w:pPr>
              <w:pStyle w:val="yTableNAm"/>
            </w:pPr>
            <w:r>
              <w:t>Cargo, whether in containers (not TEU containers) or otherwise —</w:t>
            </w:r>
          </w:p>
        </w:tc>
        <w:tc>
          <w:tcPr>
            <w:tcW w:w="1418" w:type="dxa"/>
            <w:vAlign w:val="bottom"/>
          </w:tcPr>
          <w:p>
            <w:pPr>
              <w:pStyle w:val="yTableNAm"/>
              <w:jc w:val="center"/>
            </w:pP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 xml:space="preserve">animals, live — </w:t>
            </w:r>
          </w:p>
        </w:tc>
        <w:tc>
          <w:tcPr>
            <w:tcW w:w="1418" w:type="dxa"/>
            <w:vAlign w:val="bottom"/>
          </w:tcPr>
          <w:p>
            <w:pPr>
              <w:pStyle w:val="yTableNAm"/>
              <w:jc w:val="center"/>
            </w:pPr>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cattle (bullocks, cows, etc.), per head</w:t>
            </w:r>
          </w:p>
        </w:tc>
        <w:tc>
          <w:tcPr>
            <w:tcW w:w="1418" w:type="dxa"/>
            <w:vAlign w:val="bottom"/>
          </w:tcPr>
          <w:p>
            <w:pPr>
              <w:pStyle w:val="yTableNAm"/>
              <w:jc w:val="center"/>
            </w:pPr>
            <w:r>
              <w:rPr>
                <w:szCs w:val="22"/>
              </w:rPr>
              <w:t>2.60</w:t>
            </w:r>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dogs, goats, pigs, sheep, per head</w:t>
            </w:r>
          </w:p>
        </w:tc>
        <w:tc>
          <w:tcPr>
            <w:tcW w:w="1418" w:type="dxa"/>
            <w:vAlign w:val="bottom"/>
          </w:tcPr>
          <w:p>
            <w:pPr>
              <w:pStyle w:val="yTableNAm"/>
              <w:jc w:val="center"/>
            </w:pPr>
            <w:r>
              <w:rPr>
                <w:szCs w:val="22"/>
              </w:rPr>
              <w:t>0.53</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bulk, by pipeline, per kilolitre</w:t>
            </w:r>
          </w:p>
        </w:tc>
        <w:tc>
          <w:tcPr>
            <w:tcW w:w="1418" w:type="dxa"/>
            <w:vAlign w:val="bottom"/>
          </w:tcPr>
          <w:p>
            <w:pPr>
              <w:pStyle w:val="yTableNAm"/>
              <w:jc w:val="center"/>
            </w:pPr>
            <w:r>
              <w:rPr>
                <w:szCs w:val="22"/>
              </w:rPr>
              <w:t>11.09</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bulk, by pipeline using road tanker on jetty, per kilolitre</w:t>
            </w:r>
          </w:p>
        </w:tc>
        <w:tc>
          <w:tcPr>
            <w:tcW w:w="1418" w:type="dxa"/>
            <w:vAlign w:val="bottom"/>
          </w:tcPr>
          <w:p>
            <w:pPr>
              <w:pStyle w:val="yTableNAm"/>
              <w:jc w:val="center"/>
            </w:pPr>
            <w:r>
              <w:rPr>
                <w:szCs w:val="22"/>
              </w:rPr>
              <w:t>11.56</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containers (not TEU containers), empty, per tonne, per cubic metre</w:t>
            </w:r>
          </w:p>
        </w:tc>
        <w:tc>
          <w:tcPr>
            <w:tcW w:w="1418" w:type="dxa"/>
            <w:vAlign w:val="bottom"/>
          </w:tcPr>
          <w:p>
            <w:pPr>
              <w:pStyle w:val="yTableNAm"/>
              <w:jc w:val="center"/>
            </w:pPr>
            <w:r>
              <w:rPr>
                <w:szCs w:val="22"/>
              </w:rPr>
              <w:t>2.60</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explosives, per tonne, per cubic metre</w:t>
            </w:r>
          </w:p>
        </w:tc>
        <w:tc>
          <w:tcPr>
            <w:tcW w:w="1418" w:type="dxa"/>
            <w:vAlign w:val="bottom"/>
          </w:tcPr>
          <w:p>
            <w:pPr>
              <w:pStyle w:val="yTableNAm"/>
              <w:jc w:val="center"/>
            </w:pPr>
            <w:r>
              <w:rPr>
                <w:szCs w:val="22"/>
              </w:rPr>
              <w:t>4.50</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fertiliser, per tonne, per cubic metre</w:t>
            </w:r>
          </w:p>
        </w:tc>
        <w:tc>
          <w:tcPr>
            <w:tcW w:w="1418" w:type="dxa"/>
            <w:vAlign w:val="bottom"/>
          </w:tcPr>
          <w:p>
            <w:pPr>
              <w:pStyle w:val="yTableNAm"/>
              <w:jc w:val="center"/>
            </w:pPr>
            <w:r>
              <w:rPr>
                <w:szCs w:val="22"/>
              </w:rPr>
              <w:t>3.66</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meat, chilled or frozen, per tonne, per cubic metre</w:t>
            </w:r>
          </w:p>
        </w:tc>
        <w:tc>
          <w:tcPr>
            <w:tcW w:w="1418" w:type="dxa"/>
            <w:vAlign w:val="bottom"/>
          </w:tcPr>
          <w:p>
            <w:pPr>
              <w:pStyle w:val="yTableNAm"/>
              <w:jc w:val="center"/>
            </w:pPr>
            <w:r>
              <w:rPr>
                <w:szCs w:val="22"/>
              </w:rPr>
              <w:t>4.31</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ore, per tonne</w:t>
            </w:r>
          </w:p>
        </w:tc>
        <w:tc>
          <w:tcPr>
            <w:tcW w:w="1418" w:type="dxa"/>
            <w:vAlign w:val="bottom"/>
          </w:tcPr>
          <w:p>
            <w:pPr>
              <w:pStyle w:val="yTableNAm"/>
              <w:jc w:val="center"/>
            </w:pPr>
            <w:r>
              <w:rPr>
                <w:szCs w:val="22"/>
              </w:rPr>
              <w:t>3.56</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products of the soil (not otherwise specified), per tonne, per cubic metre</w:t>
            </w:r>
          </w:p>
        </w:tc>
        <w:tc>
          <w:tcPr>
            <w:tcW w:w="1418" w:type="dxa"/>
            <w:vAlign w:val="bottom"/>
          </w:tcPr>
          <w:p>
            <w:pPr>
              <w:pStyle w:val="yTableNAm"/>
              <w:jc w:val="center"/>
            </w:pPr>
            <w:r>
              <w:rPr>
                <w:szCs w:val="22"/>
              </w:rPr>
              <w:t>2.45</w:t>
            </w:r>
          </w:p>
        </w:tc>
      </w:tr>
      <w:tr>
        <w:trPr>
          <w:cantSplit/>
        </w:trPr>
        <w:tc>
          <w:tcPr>
            <w:tcW w:w="708" w:type="dxa"/>
            <w:gridSpan w:val="2"/>
          </w:tcPr>
          <w:p>
            <w:pPr>
              <w:pStyle w:val="zyTableNAm"/>
              <w:keepNext/>
              <w:keepLines/>
            </w:pPr>
          </w:p>
        </w:tc>
        <w:tc>
          <w:tcPr>
            <w:tcW w:w="3969" w:type="dxa"/>
            <w:gridSpan w:val="2"/>
          </w:tcPr>
          <w:p>
            <w:pPr>
              <w:pStyle w:val="yTableNAm"/>
              <w:keepNext/>
              <w:keepLines/>
              <w:tabs>
                <w:tab w:val="clear" w:pos="567"/>
              </w:tabs>
              <w:ind w:left="226" w:hanging="226"/>
            </w:pPr>
            <w:r>
              <w:t>•</w:t>
            </w:r>
            <w:r>
              <w:tab/>
              <w:t xml:space="preserve">vehicles — </w:t>
            </w:r>
          </w:p>
        </w:tc>
        <w:tc>
          <w:tcPr>
            <w:tcW w:w="1418" w:type="dxa"/>
            <w:vAlign w:val="bottom"/>
          </w:tcPr>
          <w:p>
            <w:pPr>
              <w:pStyle w:val="yTableNAm"/>
              <w:keepNext/>
              <w:keepLines/>
              <w:jc w:val="center"/>
            </w:pPr>
          </w:p>
        </w:tc>
      </w:tr>
      <w:tr>
        <w:trPr>
          <w:cantSplit/>
        </w:trPr>
        <w:tc>
          <w:tcPr>
            <w:tcW w:w="992" w:type="dxa"/>
            <w:gridSpan w:val="3"/>
          </w:tcPr>
          <w:p>
            <w:pPr>
              <w:pStyle w:val="zyTableNAm"/>
              <w:keepNext/>
              <w:keepLines/>
            </w:pPr>
          </w:p>
        </w:tc>
        <w:tc>
          <w:tcPr>
            <w:tcW w:w="3685" w:type="dxa"/>
          </w:tcPr>
          <w:p>
            <w:pPr>
              <w:pStyle w:val="yTableNAm"/>
              <w:keepNext/>
              <w:keepLines/>
              <w:tabs>
                <w:tab w:val="clear" w:pos="567"/>
              </w:tabs>
              <w:ind w:left="227" w:hanging="227"/>
            </w:pPr>
            <w:r>
              <w:t>•</w:t>
            </w:r>
            <w:r>
              <w:tab/>
              <w:t>commercial vehicles on own wheels, per tonne, per cubic metre</w:t>
            </w:r>
          </w:p>
        </w:tc>
        <w:tc>
          <w:tcPr>
            <w:tcW w:w="1418" w:type="dxa"/>
            <w:vAlign w:val="bottom"/>
          </w:tcPr>
          <w:p>
            <w:pPr>
              <w:pStyle w:val="yTableNAm"/>
              <w:keepNext/>
              <w:keepLines/>
              <w:jc w:val="center"/>
            </w:pPr>
            <w:r>
              <w:rPr>
                <w:szCs w:val="22"/>
              </w:rPr>
              <w:t>4.29</w:t>
            </w:r>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other vehicles on own wheels, per tonne, per cubic metre</w:t>
            </w:r>
          </w:p>
        </w:tc>
        <w:tc>
          <w:tcPr>
            <w:tcW w:w="1418" w:type="dxa"/>
            <w:vAlign w:val="bottom"/>
          </w:tcPr>
          <w:p>
            <w:pPr>
              <w:pStyle w:val="yTableNAm"/>
              <w:jc w:val="center"/>
            </w:pPr>
            <w:r>
              <w:rPr>
                <w:szCs w:val="22"/>
              </w:rPr>
              <w:t>4.10</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recreational vessel, per metre of the vessel’s length</w:t>
            </w:r>
          </w:p>
        </w:tc>
        <w:tc>
          <w:tcPr>
            <w:tcW w:w="1418" w:type="dxa"/>
            <w:vAlign w:val="bottom"/>
          </w:tcPr>
          <w:p>
            <w:pPr>
              <w:pStyle w:val="yTableNAm"/>
              <w:jc w:val="center"/>
            </w:pPr>
            <w:r>
              <w:rPr>
                <w:szCs w:val="22"/>
              </w:rPr>
              <w:t>16.24</w:t>
            </w:r>
          </w:p>
        </w:tc>
      </w:tr>
      <w:tr>
        <w:trPr>
          <w:cantSplit/>
        </w:trPr>
        <w:tc>
          <w:tcPr>
            <w:tcW w:w="708" w:type="dxa"/>
            <w:gridSpan w:val="2"/>
            <w:tcBorders>
              <w:bottom w:val="single" w:sz="4" w:space="0" w:color="auto"/>
            </w:tcBorders>
          </w:tcPr>
          <w:p>
            <w:pPr>
              <w:pStyle w:val="zyTableNAm"/>
            </w:pPr>
          </w:p>
        </w:tc>
        <w:tc>
          <w:tcPr>
            <w:tcW w:w="3969" w:type="dxa"/>
            <w:gridSpan w:val="2"/>
            <w:tcBorders>
              <w:bottom w:val="single" w:sz="4" w:space="0" w:color="auto"/>
            </w:tcBorders>
          </w:tcPr>
          <w:p>
            <w:pPr>
              <w:pStyle w:val="yTableNAm"/>
              <w:tabs>
                <w:tab w:val="clear" w:pos="567"/>
              </w:tabs>
              <w:ind w:left="226" w:hanging="226"/>
            </w:pPr>
            <w:r>
              <w:t>•</w:t>
            </w:r>
            <w:r>
              <w:tab/>
              <w:t>not otherwise specified in this item, per tonne, per cubic metre</w:t>
            </w:r>
          </w:p>
        </w:tc>
        <w:tc>
          <w:tcPr>
            <w:tcW w:w="1418" w:type="dxa"/>
            <w:tcBorders>
              <w:bottom w:val="single" w:sz="4" w:space="0" w:color="auto"/>
            </w:tcBorders>
          </w:tcPr>
          <w:p>
            <w:pPr>
              <w:pStyle w:val="yTableNAm"/>
              <w:jc w:val="center"/>
            </w:pPr>
            <w:r>
              <w:rPr>
                <w:szCs w:val="22"/>
              </w:rPr>
              <w:t>7.08</w:t>
            </w:r>
          </w:p>
        </w:tc>
      </w:tr>
    </w:tbl>
    <w:p>
      <w:pPr>
        <w:pStyle w:val="ySubsection"/>
      </w:pPr>
      <w:r>
        <w:tab/>
        <w:t>(4)</w:t>
      </w:r>
      <w:r>
        <w:tab/>
        <w:t>The dues to be paid under regulation 11 are set out in Table 25.3.</w:t>
      </w:r>
    </w:p>
    <w:p>
      <w:pPr>
        <w:pStyle w:val="yTHeadingNAm"/>
        <w:ind w:left="993"/>
      </w:pPr>
      <w:r>
        <w:t>Table 25.3 (Transhipment)</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707"/>
        <w:gridCol w:w="3969"/>
        <w:gridCol w:w="1418"/>
      </w:tblGrid>
      <w:tr>
        <w:trPr>
          <w:cantSplit/>
          <w:tblHeader/>
        </w:trPr>
        <w:tc>
          <w:tcPr>
            <w:tcW w:w="70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Goods</w:t>
            </w:r>
          </w:p>
        </w:tc>
        <w:tc>
          <w:tcPr>
            <w:tcW w:w="1418" w:type="dxa"/>
            <w:tcBorders>
              <w:top w:val="single" w:sz="4" w:space="0" w:color="auto"/>
              <w:bottom w:val="single" w:sz="4" w:space="0" w:color="auto"/>
            </w:tcBorders>
          </w:tcPr>
          <w:p>
            <w:pPr>
              <w:pStyle w:val="yTableNAm"/>
              <w:jc w:val="center"/>
            </w:pPr>
            <w:r>
              <w:rPr>
                <w:b/>
              </w:rPr>
              <w:t>Dues</w:t>
            </w:r>
          </w:p>
        </w:tc>
      </w:tr>
      <w:tr>
        <w:trPr>
          <w:cantSplit/>
        </w:trPr>
        <w:tc>
          <w:tcPr>
            <w:tcW w:w="707" w:type="dxa"/>
          </w:tcPr>
          <w:p>
            <w:pPr>
              <w:pStyle w:val="yTableNAm"/>
            </w:pPr>
            <w:r>
              <w:t>1.</w:t>
            </w:r>
          </w:p>
        </w:tc>
        <w:tc>
          <w:tcPr>
            <w:tcW w:w="3969" w:type="dxa"/>
          </w:tcPr>
          <w:p>
            <w:pPr>
              <w:pStyle w:val="yTableNAm"/>
            </w:pPr>
            <w:r>
              <w:t xml:space="preserve">For cargo — </w:t>
            </w:r>
          </w:p>
        </w:tc>
        <w:tc>
          <w:tcPr>
            <w:tcW w:w="1418" w:type="dxa"/>
          </w:tcPr>
          <w:p>
            <w:pPr>
              <w:pStyle w:val="yTableNAm"/>
              <w:jc w:val="center"/>
            </w:pPr>
          </w:p>
        </w:tc>
      </w:tr>
      <w:tr>
        <w:trPr>
          <w:cantSplit/>
        </w:trPr>
        <w:tc>
          <w:tcPr>
            <w:tcW w:w="707" w:type="dxa"/>
          </w:tcPr>
          <w:p>
            <w:pPr>
              <w:pStyle w:val="zyTableNAm"/>
            </w:pPr>
          </w:p>
        </w:tc>
        <w:tc>
          <w:tcPr>
            <w:tcW w:w="3969" w:type="dxa"/>
          </w:tcPr>
          <w:p>
            <w:pPr>
              <w:pStyle w:val="yTableNAm"/>
              <w:tabs>
                <w:tab w:val="clear" w:pos="567"/>
              </w:tabs>
              <w:ind w:left="226" w:hanging="226"/>
            </w:pPr>
            <w:r>
              <w:t>•</w:t>
            </w:r>
            <w:r>
              <w:tab/>
              <w:t>loaded over the side of a vessel to another vessel</w:t>
            </w:r>
          </w:p>
        </w:tc>
        <w:tc>
          <w:tcPr>
            <w:tcW w:w="1418" w:type="dxa"/>
          </w:tcPr>
          <w:p>
            <w:pPr>
              <w:pStyle w:val="yTableNAm"/>
              <w:jc w:val="center"/>
            </w:pPr>
            <w:r>
              <w:t>50% of wharfage for the cargo</w:t>
            </w:r>
          </w:p>
        </w:tc>
      </w:tr>
      <w:tr>
        <w:trPr>
          <w:cantSplit/>
        </w:trPr>
        <w:tc>
          <w:tcPr>
            <w:tcW w:w="707"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s>
              <w:ind w:left="226" w:hanging="226"/>
            </w:pPr>
            <w:r>
              <w:t>•</w:t>
            </w:r>
            <w:r>
              <w:tab/>
              <w:t>landed on jetty</w:t>
            </w:r>
          </w:p>
        </w:tc>
        <w:tc>
          <w:tcPr>
            <w:tcW w:w="1418" w:type="dxa"/>
            <w:tcBorders>
              <w:bottom w:val="single" w:sz="4" w:space="0" w:color="auto"/>
            </w:tcBorders>
          </w:tcPr>
          <w:p>
            <w:pPr>
              <w:pStyle w:val="yTableNAm"/>
              <w:jc w:val="center"/>
            </w:pPr>
            <w:r>
              <w:t>100% of wharfage for the cargo</w:t>
            </w:r>
          </w:p>
        </w:tc>
      </w:tr>
    </w:tbl>
    <w:p>
      <w:pPr>
        <w:pStyle w:val="ySubsection"/>
      </w:pPr>
      <w:r>
        <w:tab/>
        <w:t>(5)</w:t>
      </w:r>
      <w:r>
        <w:tab/>
        <w:t>The charges to be paid under regulation 25 for storage are set out in Table 25.4.</w:t>
      </w:r>
    </w:p>
    <w:p>
      <w:pPr>
        <w:pStyle w:val="yTHeadingNAm"/>
        <w:ind w:left="993"/>
      </w:pPr>
      <w:r>
        <w:t>Table 25.4 (Storage)</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707"/>
        <w:gridCol w:w="3969"/>
        <w:gridCol w:w="1418"/>
      </w:tblGrid>
      <w:tr>
        <w:trPr>
          <w:cantSplit/>
          <w:tblHeader/>
        </w:trPr>
        <w:tc>
          <w:tcPr>
            <w:tcW w:w="707" w:type="dxa"/>
            <w:tcBorders>
              <w:top w:val="single" w:sz="4" w:space="0" w:color="auto"/>
              <w:bottom w:val="single" w:sz="4" w:space="0" w:color="auto"/>
            </w:tcBorders>
          </w:tcPr>
          <w:p>
            <w:pPr>
              <w:pStyle w:val="yTableNAm"/>
              <w:keepNext/>
            </w:pPr>
            <w:r>
              <w:rPr>
                <w:b/>
              </w:rPr>
              <w:t>Item</w:t>
            </w:r>
          </w:p>
        </w:tc>
        <w:tc>
          <w:tcPr>
            <w:tcW w:w="3969" w:type="dxa"/>
            <w:tcBorders>
              <w:top w:val="single" w:sz="4" w:space="0" w:color="auto"/>
              <w:bottom w:val="single" w:sz="4" w:space="0" w:color="auto"/>
            </w:tcBorders>
          </w:tcPr>
          <w:p>
            <w:pPr>
              <w:pStyle w:val="yTableNAm"/>
              <w:keepNext/>
            </w:pPr>
            <w:r>
              <w:rPr>
                <w:b/>
              </w:rPr>
              <w:t>Goods</w:t>
            </w:r>
          </w:p>
        </w:tc>
        <w:tc>
          <w:tcPr>
            <w:tcW w:w="1418" w:type="dxa"/>
            <w:tcBorders>
              <w:top w:val="single" w:sz="4" w:space="0" w:color="auto"/>
              <w:bottom w:val="single" w:sz="4" w:space="0" w:color="auto"/>
            </w:tcBorders>
          </w:tcPr>
          <w:p>
            <w:pPr>
              <w:pStyle w:val="yTableNAm"/>
              <w:keepNext/>
              <w:jc w:val="center"/>
            </w:pPr>
            <w:r>
              <w:rPr>
                <w:b/>
              </w:rPr>
              <w:t>$</w:t>
            </w:r>
          </w:p>
        </w:tc>
      </w:tr>
      <w:tr>
        <w:trPr>
          <w:cantSplit/>
        </w:trPr>
        <w:tc>
          <w:tcPr>
            <w:tcW w:w="707" w:type="dxa"/>
          </w:tcPr>
          <w:p>
            <w:pPr>
              <w:pStyle w:val="yTableNAm"/>
            </w:pPr>
            <w:r>
              <w:t>1.</w:t>
            </w:r>
          </w:p>
        </w:tc>
        <w:tc>
          <w:tcPr>
            <w:tcW w:w="3969" w:type="dxa"/>
          </w:tcPr>
          <w:p>
            <w:pPr>
              <w:pStyle w:val="yTableNAm"/>
            </w:pPr>
            <w:r>
              <w:t>Goods in transit not removed from a goods shed within 3 days after being received, per tonne, per day</w:t>
            </w:r>
          </w:p>
        </w:tc>
        <w:tc>
          <w:tcPr>
            <w:tcW w:w="1418" w:type="dxa"/>
            <w:vAlign w:val="bottom"/>
          </w:tcPr>
          <w:p>
            <w:pPr>
              <w:pStyle w:val="yTableNAm"/>
              <w:jc w:val="center"/>
            </w:pPr>
            <w:r>
              <w:rPr>
                <w:szCs w:val="22"/>
              </w:rPr>
              <w:t>0.72</w:t>
            </w:r>
          </w:p>
        </w:tc>
      </w:tr>
      <w:tr>
        <w:trPr>
          <w:cantSplit/>
        </w:trPr>
        <w:tc>
          <w:tcPr>
            <w:tcW w:w="707" w:type="dxa"/>
          </w:tcPr>
          <w:p>
            <w:pPr>
              <w:pStyle w:val="yTableNAm"/>
              <w:keepNext/>
            </w:pPr>
            <w:r>
              <w:t>2.</w:t>
            </w:r>
          </w:p>
        </w:tc>
        <w:tc>
          <w:tcPr>
            <w:tcW w:w="3969" w:type="dxa"/>
          </w:tcPr>
          <w:p>
            <w:pPr>
              <w:pStyle w:val="yTableNAm"/>
              <w:keepNext/>
            </w:pPr>
            <w:r>
              <w:t>Goods being transhipped —</w:t>
            </w:r>
          </w:p>
        </w:tc>
        <w:tc>
          <w:tcPr>
            <w:tcW w:w="1418" w:type="dxa"/>
            <w:vAlign w:val="bottom"/>
          </w:tcPr>
          <w:p>
            <w:pPr>
              <w:pStyle w:val="yTableNAm"/>
              <w:keepNext/>
              <w:jc w:val="center"/>
            </w:pPr>
          </w:p>
        </w:tc>
      </w:tr>
      <w:tr>
        <w:trPr>
          <w:cantSplit/>
        </w:trPr>
        <w:tc>
          <w:tcPr>
            <w:tcW w:w="707" w:type="dxa"/>
          </w:tcPr>
          <w:p>
            <w:pPr>
              <w:pStyle w:val="zyTableNAm"/>
            </w:pPr>
          </w:p>
        </w:tc>
        <w:tc>
          <w:tcPr>
            <w:tcW w:w="3969" w:type="dxa"/>
          </w:tcPr>
          <w:p>
            <w:pPr>
              <w:pStyle w:val="yTableNAm"/>
              <w:tabs>
                <w:tab w:val="clear" w:pos="567"/>
              </w:tabs>
              <w:ind w:left="226" w:hanging="226"/>
            </w:pPr>
            <w:r>
              <w:t>•</w:t>
            </w:r>
            <w:r>
              <w:tab/>
              <w:t>for first 2 weeks, per tonne, per cubic metre, per week</w:t>
            </w:r>
          </w:p>
        </w:tc>
        <w:tc>
          <w:tcPr>
            <w:tcW w:w="1418" w:type="dxa"/>
            <w:vAlign w:val="bottom"/>
          </w:tcPr>
          <w:p>
            <w:pPr>
              <w:pStyle w:val="yTableNAm"/>
              <w:jc w:val="center"/>
            </w:pPr>
            <w:r>
              <w:rPr>
                <w:szCs w:val="22"/>
              </w:rPr>
              <w:t>0.72</w:t>
            </w:r>
          </w:p>
        </w:tc>
      </w:tr>
      <w:tr>
        <w:trPr>
          <w:cantSplit/>
        </w:trPr>
        <w:tc>
          <w:tcPr>
            <w:tcW w:w="707" w:type="dxa"/>
          </w:tcPr>
          <w:p>
            <w:pPr>
              <w:pStyle w:val="zyTableNAm"/>
            </w:pPr>
          </w:p>
        </w:tc>
        <w:tc>
          <w:tcPr>
            <w:tcW w:w="3969" w:type="dxa"/>
          </w:tcPr>
          <w:p>
            <w:pPr>
              <w:pStyle w:val="yTableNAm"/>
              <w:tabs>
                <w:tab w:val="clear" w:pos="567"/>
              </w:tabs>
              <w:ind w:left="226" w:hanging="226"/>
            </w:pPr>
            <w:r>
              <w:t>•</w:t>
            </w:r>
            <w:r>
              <w:tab/>
              <w:t>after the first 2 weeks, per tonne, per cubic metre, per day</w:t>
            </w:r>
          </w:p>
        </w:tc>
        <w:tc>
          <w:tcPr>
            <w:tcW w:w="1418" w:type="dxa"/>
            <w:vAlign w:val="bottom"/>
          </w:tcPr>
          <w:p>
            <w:pPr>
              <w:pStyle w:val="yTableNAm"/>
              <w:jc w:val="center"/>
            </w:pPr>
            <w:r>
              <w:rPr>
                <w:szCs w:val="22"/>
              </w:rPr>
              <w:t>0.72</w:t>
            </w:r>
          </w:p>
        </w:tc>
      </w:tr>
      <w:tr>
        <w:trPr>
          <w:cantSplit/>
        </w:trPr>
        <w:tc>
          <w:tcPr>
            <w:tcW w:w="707" w:type="dxa"/>
            <w:tcBorders>
              <w:bottom w:val="single" w:sz="4" w:space="0" w:color="auto"/>
            </w:tcBorders>
          </w:tcPr>
          <w:p>
            <w:pPr>
              <w:pStyle w:val="yTableNAm"/>
            </w:pPr>
            <w:r>
              <w:t>3.</w:t>
            </w:r>
          </w:p>
        </w:tc>
        <w:tc>
          <w:tcPr>
            <w:tcW w:w="3969" w:type="dxa"/>
            <w:tcBorders>
              <w:bottom w:val="single" w:sz="4" w:space="0" w:color="auto"/>
            </w:tcBorders>
          </w:tcPr>
          <w:p>
            <w:pPr>
              <w:pStyle w:val="yTableNAm"/>
            </w:pPr>
            <w:r>
              <w:t>Goods at container park, Wyndham, per loaded container</w:t>
            </w:r>
          </w:p>
        </w:tc>
        <w:tc>
          <w:tcPr>
            <w:tcW w:w="1418" w:type="dxa"/>
            <w:tcBorders>
              <w:bottom w:val="single" w:sz="4" w:space="0" w:color="auto"/>
            </w:tcBorders>
            <w:vAlign w:val="bottom"/>
          </w:tcPr>
          <w:p>
            <w:pPr>
              <w:pStyle w:val="yTableNAm"/>
              <w:jc w:val="center"/>
            </w:pPr>
            <w:r>
              <w:rPr>
                <w:szCs w:val="22"/>
              </w:rPr>
              <w:t>38.85</w:t>
            </w:r>
          </w:p>
        </w:tc>
      </w:tr>
    </w:tbl>
    <w:p>
      <w:pPr>
        <w:pStyle w:val="yEdnotesection"/>
      </w:pPr>
      <w:r>
        <w:t>[(6)</w:t>
      </w:r>
      <w:r>
        <w:tab/>
        <w:t>deleted]</w:t>
      </w:r>
    </w:p>
    <w:p>
      <w:pPr>
        <w:pStyle w:val="ySubsection"/>
      </w:pPr>
      <w:r>
        <w:tab/>
        <w:t>(7)</w:t>
      </w:r>
      <w:r>
        <w:tab/>
        <w:t>The charges to be paid under regulation 105I are set out in Table 25.6.</w:t>
      </w:r>
    </w:p>
    <w:p>
      <w:pPr>
        <w:pStyle w:val="yTHeadingNAm"/>
        <w:ind w:left="993"/>
      </w:pPr>
      <w:r>
        <w:t>Table 25.6 (Weighbridge use)</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630"/>
        <w:gridCol w:w="4188"/>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188" w:type="dxa"/>
          </w:tcPr>
          <w:p>
            <w:pPr>
              <w:pStyle w:val="yTableNAm"/>
            </w:pPr>
            <w:r>
              <w:t xml:space="preserve">Use of weighbridge — </w:t>
            </w:r>
          </w:p>
        </w:tc>
        <w:tc>
          <w:tcPr>
            <w:tcW w:w="1276" w:type="dxa"/>
          </w:tcPr>
          <w:p>
            <w:pPr>
              <w:pStyle w:val="yTableNAm"/>
              <w:jc w:val="center"/>
            </w:pPr>
          </w:p>
        </w:tc>
      </w:tr>
      <w:tr>
        <w:trPr>
          <w:cantSplit/>
        </w:trPr>
        <w:tc>
          <w:tcPr>
            <w:tcW w:w="630" w:type="dxa"/>
          </w:tcPr>
          <w:p>
            <w:pPr>
              <w:pStyle w:val="zyTableNAm"/>
            </w:pPr>
          </w:p>
        </w:tc>
        <w:tc>
          <w:tcPr>
            <w:tcW w:w="4188" w:type="dxa"/>
          </w:tcPr>
          <w:p>
            <w:pPr>
              <w:pStyle w:val="yTableNAm"/>
              <w:tabs>
                <w:tab w:val="clear" w:pos="567"/>
              </w:tabs>
              <w:ind w:left="226" w:hanging="226"/>
            </w:pPr>
            <w:r>
              <w:t>•</w:t>
            </w:r>
            <w:r>
              <w:tab/>
              <w:t>for not over 10 t</w:t>
            </w:r>
          </w:p>
        </w:tc>
        <w:tc>
          <w:tcPr>
            <w:tcW w:w="1276" w:type="dxa"/>
            <w:vAlign w:val="bottom"/>
          </w:tcPr>
          <w:p>
            <w:pPr>
              <w:pStyle w:val="yTableNAm"/>
              <w:jc w:val="center"/>
            </w:pPr>
            <w:r>
              <w:rPr>
                <w:szCs w:val="22"/>
              </w:rPr>
              <w:t>13.93</w:t>
            </w:r>
          </w:p>
        </w:tc>
      </w:tr>
      <w:tr>
        <w:trPr>
          <w:cantSplit/>
        </w:trPr>
        <w:tc>
          <w:tcPr>
            <w:tcW w:w="630" w:type="dxa"/>
          </w:tcPr>
          <w:p>
            <w:pPr>
              <w:pStyle w:val="zyTableNAm"/>
            </w:pPr>
          </w:p>
        </w:tc>
        <w:tc>
          <w:tcPr>
            <w:tcW w:w="4188" w:type="dxa"/>
          </w:tcPr>
          <w:p>
            <w:pPr>
              <w:pStyle w:val="yTableNAm"/>
              <w:tabs>
                <w:tab w:val="clear" w:pos="567"/>
              </w:tabs>
              <w:ind w:left="226" w:hanging="226"/>
            </w:pPr>
            <w:r>
              <w:t>•</w:t>
            </w:r>
            <w:r>
              <w:tab/>
              <w:t>for over 10 t but not over 30 t</w:t>
            </w:r>
          </w:p>
        </w:tc>
        <w:tc>
          <w:tcPr>
            <w:tcW w:w="1276" w:type="dxa"/>
            <w:vAlign w:val="bottom"/>
          </w:tcPr>
          <w:p>
            <w:pPr>
              <w:pStyle w:val="yTableNAm"/>
              <w:jc w:val="center"/>
            </w:pPr>
            <w:r>
              <w:rPr>
                <w:szCs w:val="22"/>
              </w:rPr>
              <w:t>15.86</w:t>
            </w:r>
          </w:p>
        </w:tc>
      </w:tr>
      <w:tr>
        <w:trPr>
          <w:cantSplit/>
        </w:trPr>
        <w:tc>
          <w:tcPr>
            <w:tcW w:w="630" w:type="dxa"/>
            <w:tcBorders>
              <w:bottom w:val="single" w:sz="4" w:space="0" w:color="auto"/>
            </w:tcBorders>
          </w:tcPr>
          <w:p>
            <w:pPr>
              <w:pStyle w:val="zyTableNAm"/>
            </w:pPr>
          </w:p>
        </w:tc>
        <w:tc>
          <w:tcPr>
            <w:tcW w:w="4188" w:type="dxa"/>
            <w:tcBorders>
              <w:bottom w:val="single" w:sz="4" w:space="0" w:color="auto"/>
            </w:tcBorders>
          </w:tcPr>
          <w:p>
            <w:pPr>
              <w:pStyle w:val="yTableNAm"/>
              <w:tabs>
                <w:tab w:val="clear" w:pos="567"/>
              </w:tabs>
              <w:ind w:left="226" w:hanging="226"/>
            </w:pPr>
            <w:r>
              <w:t>•</w:t>
            </w:r>
            <w:r>
              <w:tab/>
              <w:t>for over 30 t</w:t>
            </w:r>
          </w:p>
        </w:tc>
        <w:tc>
          <w:tcPr>
            <w:tcW w:w="1276" w:type="dxa"/>
            <w:tcBorders>
              <w:bottom w:val="single" w:sz="4" w:space="0" w:color="auto"/>
            </w:tcBorders>
            <w:vAlign w:val="bottom"/>
          </w:tcPr>
          <w:p>
            <w:pPr>
              <w:pStyle w:val="yTableNAm"/>
              <w:jc w:val="center"/>
            </w:pPr>
            <w:r>
              <w:rPr>
                <w:szCs w:val="22"/>
              </w:rPr>
              <w:t>19.79</w:t>
            </w:r>
          </w:p>
        </w:tc>
      </w:tr>
    </w:tbl>
    <w:p>
      <w:pPr>
        <w:pStyle w:val="ySubsection"/>
        <w:keepNext/>
      </w:pPr>
      <w:r>
        <w:tab/>
        <w:t>(8)</w:t>
      </w:r>
      <w:r>
        <w:tab/>
        <w:t>The charge for lighting, per hour or part of an hour, is set out in Table 25.7.</w:t>
      </w:r>
    </w:p>
    <w:p>
      <w:pPr>
        <w:pStyle w:val="yTHeadingNAm"/>
        <w:keepLines/>
        <w:widowControl w:val="0"/>
      </w:pPr>
      <w:r>
        <w:t>Table 25.7 (Lighting)</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658"/>
        <w:gridCol w:w="4160"/>
        <w:gridCol w:w="1276"/>
      </w:tblGrid>
      <w:tr>
        <w:trPr>
          <w:cantSplit/>
          <w:tblHeader/>
        </w:trPr>
        <w:tc>
          <w:tcPr>
            <w:tcW w:w="658" w:type="dxa"/>
            <w:tcBorders>
              <w:top w:val="single" w:sz="4" w:space="0" w:color="auto"/>
              <w:bottom w:val="single" w:sz="4" w:space="0" w:color="auto"/>
            </w:tcBorders>
          </w:tcPr>
          <w:p>
            <w:pPr>
              <w:pStyle w:val="yTableNAm"/>
              <w:keepNext/>
              <w:keepLines/>
              <w:widowControl w:val="0"/>
            </w:pPr>
            <w:r>
              <w:rPr>
                <w:b/>
              </w:rPr>
              <w:t>Item</w:t>
            </w:r>
          </w:p>
        </w:tc>
        <w:tc>
          <w:tcPr>
            <w:tcW w:w="4160" w:type="dxa"/>
            <w:tcBorders>
              <w:top w:val="single" w:sz="4" w:space="0" w:color="auto"/>
              <w:bottom w:val="single" w:sz="4" w:space="0" w:color="auto"/>
            </w:tcBorders>
          </w:tcPr>
          <w:p>
            <w:pPr>
              <w:pStyle w:val="yTableNAm"/>
              <w:keepNext/>
              <w:keepLines/>
              <w:widowControl w:val="0"/>
            </w:pPr>
            <w:r>
              <w:rPr>
                <w:b/>
              </w:rPr>
              <w:t>Service</w:t>
            </w:r>
          </w:p>
        </w:tc>
        <w:tc>
          <w:tcPr>
            <w:tcW w:w="1276" w:type="dxa"/>
            <w:tcBorders>
              <w:top w:val="single" w:sz="4" w:space="0" w:color="auto"/>
              <w:bottom w:val="single" w:sz="4" w:space="0" w:color="auto"/>
            </w:tcBorders>
          </w:tcPr>
          <w:p>
            <w:pPr>
              <w:pStyle w:val="yTableNAm"/>
              <w:keepNext/>
              <w:keepLines/>
              <w:widowControl w:val="0"/>
              <w:jc w:val="center"/>
            </w:pPr>
            <w:r>
              <w:rPr>
                <w:b/>
              </w:rPr>
              <w:t>$</w:t>
            </w:r>
          </w:p>
        </w:tc>
      </w:tr>
      <w:tr>
        <w:trPr>
          <w:cantSplit/>
        </w:trPr>
        <w:tc>
          <w:tcPr>
            <w:tcW w:w="658" w:type="dxa"/>
          </w:tcPr>
          <w:p>
            <w:pPr>
              <w:pStyle w:val="yTableNAm"/>
              <w:keepNext/>
              <w:keepLines/>
              <w:widowControl w:val="0"/>
            </w:pPr>
            <w:r>
              <w:t>1.</w:t>
            </w:r>
          </w:p>
        </w:tc>
        <w:tc>
          <w:tcPr>
            <w:tcW w:w="4160" w:type="dxa"/>
          </w:tcPr>
          <w:p>
            <w:pPr>
              <w:pStyle w:val="yTableNAm"/>
              <w:keepNext/>
              <w:keepLines/>
              <w:widowControl w:val="0"/>
            </w:pPr>
            <w:r>
              <w:t>For jetty, shed and yard</w:t>
            </w:r>
          </w:p>
        </w:tc>
        <w:tc>
          <w:tcPr>
            <w:tcW w:w="1276" w:type="dxa"/>
            <w:vAlign w:val="bottom"/>
          </w:tcPr>
          <w:p>
            <w:pPr>
              <w:pStyle w:val="yTableNAm"/>
              <w:keepNext/>
              <w:keepLines/>
              <w:widowControl w:val="0"/>
              <w:jc w:val="center"/>
            </w:pPr>
            <w:r>
              <w:rPr>
                <w:szCs w:val="22"/>
              </w:rPr>
              <w:t>33.60</w:t>
            </w:r>
          </w:p>
        </w:tc>
      </w:tr>
      <w:tr>
        <w:trPr>
          <w:cantSplit/>
        </w:trPr>
        <w:tc>
          <w:tcPr>
            <w:tcW w:w="658" w:type="dxa"/>
          </w:tcPr>
          <w:p>
            <w:pPr>
              <w:pStyle w:val="yTableNAm"/>
            </w:pPr>
            <w:r>
              <w:t>2.</w:t>
            </w:r>
          </w:p>
        </w:tc>
        <w:tc>
          <w:tcPr>
            <w:tcW w:w="4160" w:type="dxa"/>
          </w:tcPr>
          <w:p>
            <w:pPr>
              <w:pStyle w:val="yTableNAm"/>
            </w:pPr>
            <w:r>
              <w:t>For jetty only</w:t>
            </w:r>
          </w:p>
        </w:tc>
        <w:tc>
          <w:tcPr>
            <w:tcW w:w="1276" w:type="dxa"/>
            <w:vAlign w:val="bottom"/>
          </w:tcPr>
          <w:p>
            <w:pPr>
              <w:pStyle w:val="yTableNAm"/>
              <w:jc w:val="center"/>
            </w:pPr>
            <w:r>
              <w:rPr>
                <w:szCs w:val="22"/>
              </w:rPr>
              <w:t>10.79</w:t>
            </w:r>
          </w:p>
        </w:tc>
      </w:tr>
      <w:tr>
        <w:trPr>
          <w:cantSplit/>
        </w:trPr>
        <w:tc>
          <w:tcPr>
            <w:tcW w:w="658" w:type="dxa"/>
            <w:tcBorders>
              <w:bottom w:val="single" w:sz="4" w:space="0" w:color="auto"/>
            </w:tcBorders>
          </w:tcPr>
          <w:p>
            <w:pPr>
              <w:pStyle w:val="yTableNAm"/>
            </w:pPr>
            <w:r>
              <w:t>3.</w:t>
            </w:r>
          </w:p>
        </w:tc>
        <w:tc>
          <w:tcPr>
            <w:tcW w:w="4160" w:type="dxa"/>
            <w:tcBorders>
              <w:bottom w:val="single" w:sz="4" w:space="0" w:color="auto"/>
            </w:tcBorders>
          </w:tcPr>
          <w:p>
            <w:pPr>
              <w:pStyle w:val="yTableNAm"/>
            </w:pPr>
            <w:r>
              <w:t>For reduced lighting</w:t>
            </w:r>
          </w:p>
        </w:tc>
        <w:tc>
          <w:tcPr>
            <w:tcW w:w="1276" w:type="dxa"/>
            <w:tcBorders>
              <w:bottom w:val="single" w:sz="4" w:space="0" w:color="auto"/>
            </w:tcBorders>
            <w:vAlign w:val="bottom"/>
          </w:tcPr>
          <w:p>
            <w:pPr>
              <w:pStyle w:val="yTableNAm"/>
              <w:jc w:val="center"/>
            </w:pPr>
            <w:r>
              <w:rPr>
                <w:szCs w:val="22"/>
              </w:rPr>
              <w:t>3.56</w:t>
            </w:r>
          </w:p>
        </w:tc>
      </w:tr>
    </w:tbl>
    <w:p>
      <w:pPr>
        <w:pStyle w:val="yFootnotesection"/>
      </w:pPr>
      <w:r>
        <w:tab/>
        <w:t>[Clause 25 inserted in Gazette 22 Jul 2015 p. 2981</w:t>
      </w:r>
      <w:r>
        <w:noBreakHyphen/>
        <w:t>5; amended in Gazette 15 Apr 2016 p. 1173 and 1178-80.]</w:t>
      </w:r>
    </w:p>
    <w:p>
      <w:pPr>
        <w:pStyle w:val="yHeading3"/>
      </w:pPr>
      <w:bookmarkStart w:id="339" w:name="_Toc440457142"/>
      <w:bookmarkStart w:id="340" w:name="_Toc443638835"/>
      <w:bookmarkStart w:id="341" w:name="_Toc447619980"/>
      <w:bookmarkStart w:id="342" w:name="_Toc448479842"/>
      <w:bookmarkStart w:id="343" w:name="_Toc455066782"/>
      <w:bookmarkStart w:id="344" w:name="_Toc455066986"/>
      <w:bookmarkStart w:id="345" w:name="_Toc455151586"/>
      <w:r>
        <w:rPr>
          <w:rStyle w:val="CharSDivNo"/>
        </w:rPr>
        <w:t>Division 2</w:t>
      </w:r>
      <w:r>
        <w:rPr>
          <w:b w:val="0"/>
        </w:rPr>
        <w:t> — </w:t>
      </w:r>
      <w:r>
        <w:rPr>
          <w:rStyle w:val="CharSDivText"/>
        </w:rPr>
        <w:t>State</w:t>
      </w:r>
      <w:r>
        <w:rPr>
          <w:rStyle w:val="CharSDivText"/>
        </w:rPr>
        <w:noBreakHyphen/>
        <w:t>wide charges</w:t>
      </w:r>
      <w:bookmarkEnd w:id="339"/>
      <w:bookmarkEnd w:id="340"/>
      <w:bookmarkEnd w:id="341"/>
      <w:bookmarkEnd w:id="342"/>
      <w:bookmarkEnd w:id="343"/>
      <w:bookmarkEnd w:id="344"/>
      <w:bookmarkEnd w:id="345"/>
    </w:p>
    <w:p>
      <w:pPr>
        <w:pStyle w:val="yFootnoteheading"/>
      </w:pPr>
      <w:r>
        <w:tab/>
        <w:t>[Heading inserted in Gazette 22 Jul 2015 p. 2985.]</w:t>
      </w:r>
    </w:p>
    <w:p>
      <w:pPr>
        <w:pStyle w:val="yHeading5"/>
      </w:pPr>
      <w:bookmarkStart w:id="346" w:name="_Toc455151587"/>
      <w:r>
        <w:rPr>
          <w:rStyle w:val="CharSClsNo"/>
        </w:rPr>
        <w:t>26A</w:t>
      </w:r>
      <w:r>
        <w:t>.</w:t>
      </w:r>
      <w:r>
        <w:tab/>
        <w:t>Wyndham excluded</w:t>
      </w:r>
      <w:bookmarkEnd w:id="346"/>
    </w:p>
    <w:p>
      <w:pPr>
        <w:pStyle w:val="ySubsection"/>
      </w:pPr>
      <w:r>
        <w:rPr>
          <w:szCs w:val="22"/>
        </w:rPr>
        <w:tab/>
      </w:r>
      <w:r>
        <w:rPr>
          <w:szCs w:val="22"/>
        </w:rPr>
        <w:tab/>
        <w:t>This Division does not apply to a vessel in the Port of Wyndham.</w:t>
      </w:r>
    </w:p>
    <w:p>
      <w:pPr>
        <w:pStyle w:val="yFootnotesection"/>
      </w:pPr>
      <w:r>
        <w:tab/>
        <w:t>[Clause 26A inserted in Gazette 5 Apr 2016 p. 1024.]</w:t>
      </w:r>
    </w:p>
    <w:p>
      <w:pPr>
        <w:pStyle w:val="yHeading5"/>
      </w:pPr>
      <w:bookmarkStart w:id="347" w:name="_Toc455151588"/>
      <w:r>
        <w:rPr>
          <w:rStyle w:val="CharSClsNo"/>
        </w:rPr>
        <w:t>26</w:t>
      </w:r>
      <w:r>
        <w:t>.</w:t>
      </w:r>
      <w:r>
        <w:tab/>
        <w:t>Living on a vessel</w:t>
      </w:r>
      <w:bookmarkEnd w:id="347"/>
    </w:p>
    <w:p>
      <w:pPr>
        <w:pStyle w:val="ySubsection"/>
      </w:pPr>
      <w:r>
        <w:tab/>
        <w:t>(1)</w:t>
      </w:r>
      <w:r>
        <w:tab/>
        <w:t xml:space="preserve">In this regulation — </w:t>
      </w:r>
    </w:p>
    <w:p>
      <w:pPr>
        <w:pStyle w:val="yDefstart"/>
      </w:pPr>
      <w:r>
        <w:tab/>
      </w:r>
      <w:r>
        <w:rPr>
          <w:rStyle w:val="CharDefText"/>
        </w:rPr>
        <w:t>enhanced facilities</w:t>
      </w:r>
      <w:r>
        <w:t xml:space="preserve"> </w:t>
      </w:r>
      <w:r>
        <w:rPr>
          <w:szCs w:val="22"/>
        </w:rPr>
        <w:t>means toilet, shower and laundry facilities.</w:t>
      </w:r>
    </w:p>
    <w:p>
      <w:pPr>
        <w:pStyle w:val="ySubsection"/>
      </w:pPr>
      <w:r>
        <w:tab/>
        <w:t>(2)</w:t>
      </w:r>
      <w:r>
        <w:tab/>
        <w:t>The charges relating to living on a vessel in a place are set out in Table 26.1.</w:t>
      </w:r>
    </w:p>
    <w:p>
      <w:pPr>
        <w:pStyle w:val="yTHeadingNAm"/>
        <w:ind w:left="993"/>
      </w:pPr>
      <w:r>
        <w:t>Table 26.1 (Living on a vessel)</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58"/>
        <w:gridCol w:w="4146"/>
        <w:gridCol w:w="1276"/>
      </w:tblGrid>
      <w:tr>
        <w:trPr>
          <w:cantSplit/>
          <w:tblHeader/>
        </w:trPr>
        <w:tc>
          <w:tcPr>
            <w:tcW w:w="65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58" w:type="dxa"/>
          </w:tcPr>
          <w:p>
            <w:pPr>
              <w:pStyle w:val="yTableNAm"/>
            </w:pPr>
            <w:r>
              <w:t>1.</w:t>
            </w:r>
          </w:p>
        </w:tc>
        <w:tc>
          <w:tcPr>
            <w:tcW w:w="4146" w:type="dxa"/>
          </w:tcPr>
          <w:p>
            <w:pPr>
              <w:pStyle w:val="yTableNAm"/>
            </w:pPr>
            <w:r>
              <w:t xml:space="preserve">For living on board a vessel — </w:t>
            </w:r>
          </w:p>
        </w:tc>
        <w:tc>
          <w:tcPr>
            <w:tcW w:w="1276" w:type="dxa"/>
          </w:tcPr>
          <w:p>
            <w:pPr>
              <w:pStyle w:val="yTableNAm"/>
              <w:jc w:val="center"/>
            </w:pPr>
          </w:p>
        </w:tc>
      </w:tr>
      <w:tr>
        <w:trPr>
          <w:cantSplit/>
        </w:trPr>
        <w:tc>
          <w:tcPr>
            <w:tcW w:w="658" w:type="dxa"/>
          </w:tcPr>
          <w:p>
            <w:pPr>
              <w:pStyle w:val="zyTableNAm"/>
            </w:pPr>
          </w:p>
        </w:tc>
        <w:tc>
          <w:tcPr>
            <w:tcW w:w="4146" w:type="dxa"/>
          </w:tcPr>
          <w:p>
            <w:pPr>
              <w:pStyle w:val="yTableNAm"/>
              <w:tabs>
                <w:tab w:val="clear" w:pos="567"/>
              </w:tabs>
              <w:ind w:left="226" w:hanging="226"/>
            </w:pPr>
            <w:r>
              <w:t>•</w:t>
            </w:r>
            <w:r>
              <w:tab/>
              <w:t>without enhanced facilities, an amount calculated at the monthly rate per vessel, of</w:t>
            </w:r>
          </w:p>
        </w:tc>
        <w:tc>
          <w:tcPr>
            <w:tcW w:w="1276" w:type="dxa"/>
          </w:tcPr>
          <w:p>
            <w:pPr>
              <w:pStyle w:val="yTableNAm"/>
              <w:jc w:val="center"/>
            </w:pPr>
            <w:r>
              <w:br/>
            </w:r>
            <w:r>
              <w:rPr>
                <w:szCs w:val="22"/>
              </w:rPr>
              <w:t>46.30</w:t>
            </w:r>
          </w:p>
        </w:tc>
      </w:tr>
      <w:tr>
        <w:trPr>
          <w:cantSplit/>
        </w:trPr>
        <w:tc>
          <w:tcPr>
            <w:tcW w:w="658" w:type="dxa"/>
            <w:tcBorders>
              <w:bottom w:val="single" w:sz="4" w:space="0" w:color="auto"/>
            </w:tcBorders>
          </w:tcPr>
          <w:p>
            <w:pPr>
              <w:pStyle w:val="zyTableNAm"/>
            </w:pPr>
          </w:p>
        </w:tc>
        <w:tc>
          <w:tcPr>
            <w:tcW w:w="4146" w:type="dxa"/>
            <w:tcBorders>
              <w:bottom w:val="single" w:sz="4" w:space="0" w:color="auto"/>
            </w:tcBorders>
          </w:tcPr>
          <w:p>
            <w:pPr>
              <w:pStyle w:val="yTableNAm"/>
              <w:tabs>
                <w:tab w:val="clear" w:pos="567"/>
              </w:tabs>
              <w:ind w:left="226" w:hanging="226"/>
            </w:pPr>
            <w:r>
              <w:t>•</w:t>
            </w:r>
            <w:r>
              <w:tab/>
              <w:t>with enhanced facilities, an amount calculated at the monthly rate per vessel, of</w:t>
            </w:r>
          </w:p>
        </w:tc>
        <w:tc>
          <w:tcPr>
            <w:tcW w:w="1276" w:type="dxa"/>
            <w:tcBorders>
              <w:bottom w:val="single" w:sz="4" w:space="0" w:color="auto"/>
            </w:tcBorders>
          </w:tcPr>
          <w:p>
            <w:pPr>
              <w:pStyle w:val="yTableNAm"/>
              <w:jc w:val="center"/>
            </w:pPr>
            <w:r>
              <w:br/>
            </w:r>
            <w:r>
              <w:rPr>
                <w:szCs w:val="22"/>
              </w:rPr>
              <w:t>140.70</w:t>
            </w:r>
          </w:p>
        </w:tc>
      </w:tr>
    </w:tbl>
    <w:p>
      <w:pPr>
        <w:pStyle w:val="yFootnotesection"/>
      </w:pPr>
      <w:r>
        <w:tab/>
        <w:t>[Clause 26 inserted in Gazette 22 Jul 2015 p. 2985; amended in Gazette 15 Apr 2016 p. 1180.]</w:t>
      </w:r>
    </w:p>
    <w:p>
      <w:pPr>
        <w:pStyle w:val="yHeading5"/>
      </w:pPr>
      <w:bookmarkStart w:id="348" w:name="_Toc455151589"/>
      <w:r>
        <w:rPr>
          <w:rStyle w:val="CharSClsNo"/>
        </w:rPr>
        <w:t>27</w:t>
      </w:r>
      <w:r>
        <w:t>.</w:t>
      </w:r>
      <w:r>
        <w:tab/>
        <w:t>Electricity supply</w:t>
      </w:r>
      <w:bookmarkEnd w:id="348"/>
    </w:p>
    <w:p>
      <w:pPr>
        <w:pStyle w:val="ySubsection"/>
      </w:pPr>
      <w:r>
        <w:tab/>
      </w:r>
      <w:r>
        <w:tab/>
        <w:t>The charges for electricity supply to a vessel in a place are set out in Table 27.1.</w:t>
      </w:r>
    </w:p>
    <w:p>
      <w:pPr>
        <w:pStyle w:val="yTHeadingNAm"/>
        <w:ind w:left="993"/>
      </w:pPr>
      <w:r>
        <w:t>Table 27.1 (Electricity supply)</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72"/>
        <w:gridCol w:w="4132"/>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3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32" w:type="dxa"/>
          </w:tcPr>
          <w:p>
            <w:pPr>
              <w:pStyle w:val="yTableNAm"/>
            </w:pPr>
            <w:r>
              <w:t xml:space="preserve">For electricity supply that is — </w:t>
            </w:r>
          </w:p>
        </w:tc>
        <w:tc>
          <w:tcPr>
            <w:tcW w:w="1276" w:type="dxa"/>
          </w:tcPr>
          <w:p>
            <w:pPr>
              <w:pStyle w:val="yTableNAm"/>
              <w:jc w:val="center"/>
            </w:pPr>
          </w:p>
        </w:tc>
      </w:tr>
      <w:tr>
        <w:trPr>
          <w:cantSplit/>
        </w:trPr>
        <w:tc>
          <w:tcPr>
            <w:tcW w:w="672" w:type="dxa"/>
          </w:tcPr>
          <w:p>
            <w:pPr>
              <w:pStyle w:val="zyTableNAm"/>
              <w:keepNext/>
              <w:keepLines/>
              <w:widowControl w:val="0"/>
              <w:tabs>
                <w:tab w:val="clear" w:pos="567"/>
              </w:tabs>
            </w:pPr>
          </w:p>
        </w:tc>
        <w:tc>
          <w:tcPr>
            <w:tcW w:w="4132" w:type="dxa"/>
          </w:tcPr>
          <w:p>
            <w:pPr>
              <w:pStyle w:val="yTableNAm"/>
              <w:tabs>
                <w:tab w:val="clear" w:pos="567"/>
              </w:tabs>
              <w:ind w:left="226" w:hanging="226"/>
            </w:pPr>
            <w:r>
              <w:t>•</w:t>
            </w:r>
            <w:r>
              <w:tab/>
              <w:t>single phase (metered)</w:t>
            </w:r>
          </w:p>
        </w:tc>
        <w:tc>
          <w:tcPr>
            <w:tcW w:w="1276" w:type="dxa"/>
          </w:tcPr>
          <w:p>
            <w:pPr>
              <w:pStyle w:val="yTableNAm"/>
              <w:jc w:val="center"/>
            </w:pPr>
            <w:r>
              <w:t>cost</w:t>
            </w:r>
          </w:p>
        </w:tc>
      </w:tr>
      <w:tr>
        <w:trPr>
          <w:cantSplit/>
        </w:trPr>
        <w:tc>
          <w:tcPr>
            <w:tcW w:w="672" w:type="dxa"/>
            <w:tcBorders>
              <w:bottom w:val="single" w:sz="4" w:space="0" w:color="auto"/>
            </w:tcBorders>
          </w:tcPr>
          <w:p>
            <w:pPr>
              <w:pStyle w:val="zyTableNAm"/>
              <w:tabs>
                <w:tab w:val="clear" w:pos="567"/>
              </w:tabs>
            </w:pPr>
          </w:p>
        </w:tc>
        <w:tc>
          <w:tcPr>
            <w:tcW w:w="4132" w:type="dxa"/>
            <w:tcBorders>
              <w:bottom w:val="single" w:sz="4" w:space="0" w:color="auto"/>
            </w:tcBorders>
          </w:tcPr>
          <w:p>
            <w:pPr>
              <w:pStyle w:val="yTableNAm"/>
              <w:tabs>
                <w:tab w:val="clear" w:pos="567"/>
              </w:tabs>
              <w:ind w:left="226" w:hanging="226"/>
            </w:pPr>
            <w:r>
              <w:t>•</w:t>
            </w:r>
            <w:r>
              <w:tab/>
              <w:t>3</w:t>
            </w:r>
            <w:r>
              <w:noBreakHyphen/>
              <w:t>phase (whether metered or unmetered)</w:t>
            </w:r>
          </w:p>
        </w:tc>
        <w:tc>
          <w:tcPr>
            <w:tcW w:w="1276" w:type="dxa"/>
            <w:tcBorders>
              <w:bottom w:val="single" w:sz="4" w:space="0" w:color="auto"/>
            </w:tcBorders>
          </w:tcPr>
          <w:p>
            <w:pPr>
              <w:pStyle w:val="yTableNAm"/>
              <w:jc w:val="center"/>
            </w:pPr>
            <w:r>
              <w:t>cost</w:t>
            </w:r>
          </w:p>
        </w:tc>
      </w:tr>
    </w:tbl>
    <w:p>
      <w:pPr>
        <w:pStyle w:val="yFootnotesection"/>
      </w:pPr>
      <w:r>
        <w:tab/>
        <w:t>[Clause 27 inserted in Gazette 22 Jul 2015 p. 2986.]</w:t>
      </w:r>
    </w:p>
    <w:p>
      <w:pPr>
        <w:pStyle w:val="yHeading5"/>
      </w:pPr>
      <w:bookmarkStart w:id="349" w:name="_Toc455151590"/>
      <w:r>
        <w:rPr>
          <w:rStyle w:val="CharSClsNo"/>
        </w:rPr>
        <w:t>28</w:t>
      </w:r>
      <w:r>
        <w:t>.</w:t>
      </w:r>
      <w:r>
        <w:tab/>
        <w:t>Water supply</w:t>
      </w:r>
      <w:bookmarkEnd w:id="349"/>
    </w:p>
    <w:p>
      <w:pPr>
        <w:pStyle w:val="ySubsection"/>
      </w:pPr>
      <w:r>
        <w:tab/>
      </w:r>
      <w:r>
        <w:tab/>
        <w:t>The charges for water supply to a vessel in a place are set out in Table 28.1.</w:t>
      </w:r>
    </w:p>
    <w:p>
      <w:pPr>
        <w:pStyle w:val="yTHeadingNAm"/>
        <w:ind w:left="993"/>
      </w:pPr>
      <w:r>
        <w:t>Table 28.1 (Water supply)</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72"/>
        <w:gridCol w:w="4104"/>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0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Borders>
              <w:top w:val="single" w:sz="4" w:space="0" w:color="auto"/>
              <w:bottom w:val="single" w:sz="4" w:space="0" w:color="auto"/>
            </w:tcBorders>
          </w:tcPr>
          <w:p>
            <w:pPr>
              <w:pStyle w:val="yTableNAm"/>
            </w:pPr>
            <w:r>
              <w:t>1.</w:t>
            </w:r>
          </w:p>
        </w:tc>
        <w:tc>
          <w:tcPr>
            <w:tcW w:w="4104" w:type="dxa"/>
            <w:tcBorders>
              <w:top w:val="single" w:sz="4" w:space="0" w:color="auto"/>
              <w:bottom w:val="single" w:sz="4" w:space="0" w:color="auto"/>
            </w:tcBorders>
          </w:tcPr>
          <w:p>
            <w:pPr>
              <w:pStyle w:val="yTableNAm"/>
            </w:pPr>
            <w:r>
              <w:t>For water supply (metered)</w:t>
            </w:r>
          </w:p>
        </w:tc>
        <w:tc>
          <w:tcPr>
            <w:tcW w:w="1276" w:type="dxa"/>
            <w:tcBorders>
              <w:top w:val="single" w:sz="4" w:space="0" w:color="auto"/>
              <w:bottom w:val="single" w:sz="4" w:space="0" w:color="auto"/>
            </w:tcBorders>
          </w:tcPr>
          <w:p>
            <w:pPr>
              <w:pStyle w:val="yTableNAm"/>
              <w:jc w:val="center"/>
            </w:pPr>
            <w:r>
              <w:t>cost</w:t>
            </w:r>
          </w:p>
        </w:tc>
      </w:tr>
    </w:tbl>
    <w:p>
      <w:pPr>
        <w:pStyle w:val="yFootnotesection"/>
      </w:pPr>
      <w:r>
        <w:tab/>
        <w:t>[Clause 28 inserted in Gazette 22 Jul 2015 p. 2986.]</w:t>
      </w:r>
    </w:p>
    <w:p>
      <w:pPr>
        <w:pStyle w:val="yHeading5"/>
      </w:pPr>
      <w:bookmarkStart w:id="350" w:name="_Toc455151591"/>
      <w:r>
        <w:rPr>
          <w:rStyle w:val="CharSClsNo"/>
        </w:rPr>
        <w:t>29</w:t>
      </w:r>
      <w:r>
        <w:t>.</w:t>
      </w:r>
      <w:r>
        <w:tab/>
        <w:t>Rubbish removal (r. 53A)</w:t>
      </w:r>
      <w:bookmarkEnd w:id="350"/>
    </w:p>
    <w:p>
      <w:pPr>
        <w:pStyle w:val="ySubsection"/>
      </w:pPr>
      <w:r>
        <w:tab/>
      </w:r>
      <w:r>
        <w:tab/>
        <w:t>The charges to be paid under regulation 53A are set out in Table 29.1.</w:t>
      </w:r>
    </w:p>
    <w:p>
      <w:pPr>
        <w:pStyle w:val="yTHeadingNAm"/>
        <w:ind w:left="993"/>
      </w:pPr>
      <w:r>
        <w:t>Table 29.1 (Rubbish removal)</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72"/>
        <w:gridCol w:w="4132"/>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3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32" w:type="dxa"/>
          </w:tcPr>
          <w:p>
            <w:pPr>
              <w:pStyle w:val="yTableNAm"/>
            </w:pPr>
            <w:r>
              <w:t xml:space="preserve">For rubbish removal — </w:t>
            </w:r>
          </w:p>
        </w:tc>
        <w:tc>
          <w:tcPr>
            <w:tcW w:w="1276" w:type="dxa"/>
          </w:tcPr>
          <w:p>
            <w:pPr>
              <w:pStyle w:val="yTableNAm"/>
              <w:jc w:val="center"/>
            </w:pPr>
          </w:p>
        </w:tc>
      </w:tr>
      <w:tr>
        <w:trPr>
          <w:cantSplit/>
        </w:trPr>
        <w:tc>
          <w:tcPr>
            <w:tcW w:w="672" w:type="dxa"/>
          </w:tcPr>
          <w:p>
            <w:pPr>
              <w:pStyle w:val="zyTableNAm"/>
            </w:pPr>
          </w:p>
        </w:tc>
        <w:tc>
          <w:tcPr>
            <w:tcW w:w="4132" w:type="dxa"/>
          </w:tcPr>
          <w:p>
            <w:pPr>
              <w:pStyle w:val="yTableNAm"/>
              <w:tabs>
                <w:tab w:val="clear" w:pos="567"/>
              </w:tabs>
              <w:ind w:left="226" w:hanging="226"/>
            </w:pPr>
            <w:r>
              <w:t>•</w:t>
            </w:r>
            <w:r>
              <w:tab/>
              <w:t>excess quantity, or from a source other than a vessel for which charges for using the harbour have been paid, per half skip supplied and emptied</w:t>
            </w:r>
          </w:p>
        </w:tc>
        <w:tc>
          <w:tcPr>
            <w:tcW w:w="1276" w:type="dxa"/>
          </w:tcPr>
          <w:p>
            <w:pPr>
              <w:pStyle w:val="yTableNAm"/>
              <w:jc w:val="center"/>
            </w:pPr>
            <w:r>
              <w:br/>
            </w:r>
            <w:r>
              <w:br/>
            </w:r>
            <w:r>
              <w:br/>
              <w:t>cost</w:t>
            </w:r>
          </w:p>
        </w:tc>
      </w:tr>
      <w:tr>
        <w:trPr>
          <w:cantSplit/>
        </w:trPr>
        <w:tc>
          <w:tcPr>
            <w:tcW w:w="672" w:type="dxa"/>
          </w:tcPr>
          <w:p>
            <w:pPr>
              <w:pStyle w:val="zyTableNAm"/>
            </w:pPr>
          </w:p>
        </w:tc>
        <w:tc>
          <w:tcPr>
            <w:tcW w:w="4132" w:type="dxa"/>
          </w:tcPr>
          <w:p>
            <w:pPr>
              <w:pStyle w:val="yTableNAm"/>
              <w:tabs>
                <w:tab w:val="clear" w:pos="567"/>
              </w:tabs>
              <w:ind w:left="226" w:hanging="226"/>
            </w:pPr>
            <w:r>
              <w:t>•</w:t>
            </w:r>
            <w:r>
              <w:tab/>
              <w:t>waste oil from vessels in excess of 150 L</w:t>
            </w:r>
          </w:p>
        </w:tc>
        <w:tc>
          <w:tcPr>
            <w:tcW w:w="1276" w:type="dxa"/>
          </w:tcPr>
          <w:p>
            <w:pPr>
              <w:pStyle w:val="yTableNAm"/>
              <w:jc w:val="center"/>
            </w:pPr>
            <w:r>
              <w:t>cost</w:t>
            </w:r>
          </w:p>
        </w:tc>
      </w:tr>
      <w:tr>
        <w:trPr>
          <w:cantSplit/>
        </w:trPr>
        <w:tc>
          <w:tcPr>
            <w:tcW w:w="672" w:type="dxa"/>
          </w:tcPr>
          <w:p>
            <w:pPr>
              <w:pStyle w:val="zyTableNAm"/>
            </w:pPr>
          </w:p>
        </w:tc>
        <w:tc>
          <w:tcPr>
            <w:tcW w:w="4132" w:type="dxa"/>
          </w:tcPr>
          <w:p>
            <w:pPr>
              <w:pStyle w:val="yTableNAm"/>
              <w:tabs>
                <w:tab w:val="clear" w:pos="567"/>
              </w:tabs>
              <w:ind w:left="226" w:hanging="226"/>
            </w:pPr>
            <w:r>
              <w:t>•</w:t>
            </w:r>
            <w:r>
              <w:tab/>
              <w:t>waste oil drum not removed by owner, per 20 L drum</w:t>
            </w:r>
          </w:p>
        </w:tc>
        <w:tc>
          <w:tcPr>
            <w:tcW w:w="1276" w:type="dxa"/>
          </w:tcPr>
          <w:p>
            <w:pPr>
              <w:pStyle w:val="yTableNAm"/>
              <w:jc w:val="center"/>
            </w:pPr>
            <w:r>
              <w:br/>
              <w:t>cost</w:t>
            </w:r>
          </w:p>
        </w:tc>
      </w:tr>
      <w:tr>
        <w:trPr>
          <w:cantSplit/>
        </w:trPr>
        <w:tc>
          <w:tcPr>
            <w:tcW w:w="672" w:type="dxa"/>
            <w:tcBorders>
              <w:bottom w:val="single" w:sz="4" w:space="0" w:color="auto"/>
            </w:tcBorders>
          </w:tcPr>
          <w:p>
            <w:pPr>
              <w:pStyle w:val="zyTableNAm"/>
            </w:pPr>
          </w:p>
        </w:tc>
        <w:tc>
          <w:tcPr>
            <w:tcW w:w="4132" w:type="dxa"/>
            <w:tcBorders>
              <w:bottom w:val="single" w:sz="4" w:space="0" w:color="auto"/>
            </w:tcBorders>
          </w:tcPr>
          <w:p>
            <w:pPr>
              <w:pStyle w:val="yTableNAm"/>
              <w:tabs>
                <w:tab w:val="clear" w:pos="567"/>
              </w:tabs>
              <w:ind w:left="226" w:hanging="226"/>
            </w:pPr>
            <w:r>
              <w:t>•</w:t>
            </w:r>
            <w:r>
              <w:tab/>
              <w:t>rubbish not put in supplied bins</w:t>
            </w:r>
          </w:p>
        </w:tc>
        <w:tc>
          <w:tcPr>
            <w:tcW w:w="1276" w:type="dxa"/>
            <w:tcBorders>
              <w:bottom w:val="single" w:sz="4" w:space="0" w:color="auto"/>
            </w:tcBorders>
          </w:tcPr>
          <w:p>
            <w:pPr>
              <w:pStyle w:val="yTableNAm"/>
              <w:jc w:val="center"/>
            </w:pPr>
            <w:r>
              <w:t>cost</w:t>
            </w:r>
          </w:p>
        </w:tc>
      </w:tr>
    </w:tbl>
    <w:p>
      <w:pPr>
        <w:pStyle w:val="yFootnotesection"/>
      </w:pPr>
      <w:r>
        <w:tab/>
        <w:t>[Clause 29 inserted in Gazette 22 Jul 2015 p. 2986</w:t>
      </w:r>
      <w:r>
        <w:noBreakHyphen/>
        <w:t>7.]</w:t>
      </w:r>
    </w:p>
    <w:p>
      <w:pPr>
        <w:pStyle w:val="yHeading5"/>
      </w:pPr>
      <w:bookmarkStart w:id="351" w:name="_Toc455151592"/>
      <w:r>
        <w:rPr>
          <w:rStyle w:val="CharSClsNo"/>
        </w:rPr>
        <w:t>30</w:t>
      </w:r>
      <w:r>
        <w:t>.</w:t>
      </w:r>
      <w:r>
        <w:tab/>
        <w:t>Passengers and cargo</w:t>
      </w:r>
      <w:bookmarkEnd w:id="351"/>
    </w:p>
    <w:p>
      <w:pPr>
        <w:pStyle w:val="ySubsection"/>
      </w:pPr>
      <w:r>
        <w:tab/>
      </w:r>
      <w:r>
        <w:tab/>
        <w:t>The charges to be paid for the loading and unloading of passengers and cargo are set out in Table 30.1.</w:t>
      </w:r>
    </w:p>
    <w:p>
      <w:pPr>
        <w:pStyle w:val="yTHeadingNAm"/>
        <w:ind w:left="993"/>
      </w:pPr>
      <w:r>
        <w:t>Table 30.1 (Passengers and cargo)</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30"/>
        <w:gridCol w:w="4146"/>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146" w:type="dxa"/>
          </w:tcPr>
          <w:p>
            <w:pPr>
              <w:pStyle w:val="yTableNAm"/>
            </w:pPr>
            <w:r>
              <w:t xml:space="preserve">For the use of a pen, berth or service jetty by cruise liner transfer vessel to load or unload passengers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an amount calculated per metre of the vessel’s length at the daily rate of</w:t>
            </w:r>
          </w:p>
        </w:tc>
        <w:tc>
          <w:tcPr>
            <w:tcW w:w="1276" w:type="dxa"/>
          </w:tcPr>
          <w:p>
            <w:pPr>
              <w:pStyle w:val="yTableNAm"/>
              <w:jc w:val="center"/>
            </w:pPr>
            <w:r>
              <w:br/>
            </w:r>
            <w:r>
              <w:rPr>
                <w:szCs w:val="22"/>
              </w:rPr>
              <w:t>10.45</w:t>
            </w:r>
          </w:p>
        </w:tc>
      </w:tr>
      <w:tr>
        <w:trPr>
          <w:cantSplit/>
        </w:trPr>
        <w:tc>
          <w:tcPr>
            <w:tcW w:w="630" w:type="dxa"/>
          </w:tcPr>
          <w:p>
            <w:pPr>
              <w:pStyle w:val="zyTableNAm"/>
            </w:pPr>
          </w:p>
        </w:tc>
        <w:tc>
          <w:tcPr>
            <w:tcW w:w="4146" w:type="dxa"/>
          </w:tcPr>
          <w:p>
            <w:pPr>
              <w:pStyle w:val="yTableNAm"/>
              <w:tabs>
                <w:tab w:val="clear" w:pos="567"/>
              </w:tabs>
              <w:ind w:left="226" w:hanging="226"/>
            </w:pPr>
            <w:r>
              <w:t>•</w:t>
            </w:r>
            <w:r>
              <w:tab/>
              <w:t>plus a charge per passenger of</w:t>
            </w:r>
          </w:p>
        </w:tc>
        <w:tc>
          <w:tcPr>
            <w:tcW w:w="1276" w:type="dxa"/>
          </w:tcPr>
          <w:p>
            <w:pPr>
              <w:pStyle w:val="yTableNAm"/>
              <w:jc w:val="center"/>
            </w:pPr>
            <w:r>
              <w:rPr>
                <w:szCs w:val="22"/>
              </w:rPr>
              <w:t>4.40</w:t>
            </w:r>
          </w:p>
        </w:tc>
      </w:tr>
      <w:tr>
        <w:trPr>
          <w:cantSplit/>
        </w:trPr>
        <w:tc>
          <w:tcPr>
            <w:tcW w:w="630" w:type="dxa"/>
          </w:tcPr>
          <w:p>
            <w:pPr>
              <w:pStyle w:val="yTableNAm"/>
            </w:pPr>
            <w:r>
              <w:t>2.</w:t>
            </w:r>
          </w:p>
        </w:tc>
        <w:tc>
          <w:tcPr>
            <w:tcW w:w="4146" w:type="dxa"/>
          </w:tcPr>
          <w:p>
            <w:pPr>
              <w:pStyle w:val="yTableNAm"/>
            </w:pPr>
            <w:r>
              <w:t>For the loading or unloading of general cargo from or to a vessel at the service wharf or service jetty, or an appurtenant area if loaded from or to a vessel, an amount calculated per tonne, per cubic metre at the rate of</w:t>
            </w:r>
          </w:p>
        </w:tc>
        <w:tc>
          <w:tcPr>
            <w:tcW w:w="1276" w:type="dxa"/>
          </w:tcPr>
          <w:p>
            <w:pPr>
              <w:pStyle w:val="yTableNAm"/>
              <w:jc w:val="center"/>
            </w:pPr>
            <w:r>
              <w:br/>
            </w:r>
            <w:r>
              <w:br/>
            </w:r>
            <w:r>
              <w:br/>
            </w:r>
            <w:r>
              <w:br/>
            </w:r>
            <w:r>
              <w:rPr>
                <w:szCs w:val="22"/>
              </w:rPr>
              <w:t>6.90</w:t>
            </w:r>
          </w:p>
        </w:tc>
      </w:tr>
      <w:tr>
        <w:trPr>
          <w:cantSplit/>
        </w:trPr>
        <w:tc>
          <w:tcPr>
            <w:tcW w:w="630" w:type="dxa"/>
            <w:tcBorders>
              <w:bottom w:val="single" w:sz="4" w:space="0" w:color="auto"/>
            </w:tcBorders>
          </w:tcPr>
          <w:p>
            <w:pPr>
              <w:pStyle w:val="yTableNAm"/>
            </w:pPr>
            <w:r>
              <w:t>3.</w:t>
            </w:r>
          </w:p>
        </w:tc>
        <w:tc>
          <w:tcPr>
            <w:tcW w:w="4146" w:type="dxa"/>
            <w:tcBorders>
              <w:bottom w:val="single" w:sz="4" w:space="0" w:color="auto"/>
            </w:tcBorders>
          </w:tcPr>
          <w:p>
            <w:pPr>
              <w:pStyle w:val="yTableNAm"/>
            </w:pPr>
            <w:r>
              <w:t>If a vessel is lifted at the service wharf or service jetty, or an appurtenant area, an amount calculated per metre of the vessel’s length at the rate of</w:t>
            </w:r>
          </w:p>
        </w:tc>
        <w:tc>
          <w:tcPr>
            <w:tcW w:w="1276" w:type="dxa"/>
            <w:tcBorders>
              <w:bottom w:val="single" w:sz="4" w:space="0" w:color="auto"/>
            </w:tcBorders>
          </w:tcPr>
          <w:p>
            <w:pPr>
              <w:pStyle w:val="yTableNAm"/>
              <w:jc w:val="center"/>
            </w:pPr>
            <w:r>
              <w:br/>
            </w:r>
            <w:r>
              <w:br/>
            </w:r>
            <w:r>
              <w:br/>
            </w:r>
            <w:r>
              <w:rPr>
                <w:szCs w:val="22"/>
              </w:rPr>
              <w:t>15.20</w:t>
            </w:r>
          </w:p>
        </w:tc>
      </w:tr>
    </w:tbl>
    <w:p>
      <w:pPr>
        <w:pStyle w:val="yFootnotesection"/>
      </w:pPr>
      <w:r>
        <w:tab/>
        <w:t>[Clause 30 inserted in Gazette 22 Jul 2015 p. 2987; amended in Gazette 15 Apr 2016 p. 1180.]</w:t>
      </w:r>
    </w:p>
    <w:p>
      <w:pPr>
        <w:pStyle w:val="yHeading5"/>
      </w:pPr>
      <w:bookmarkStart w:id="352" w:name="_Toc455151593"/>
      <w:r>
        <w:rPr>
          <w:rStyle w:val="CharSClsNo"/>
        </w:rPr>
        <w:t>31</w:t>
      </w:r>
      <w:r>
        <w:t>.</w:t>
      </w:r>
      <w:r>
        <w:tab/>
        <w:t>Slip services (r. 96)</w:t>
      </w:r>
      <w:bookmarkEnd w:id="352"/>
    </w:p>
    <w:p>
      <w:pPr>
        <w:pStyle w:val="ySubsection"/>
      </w:pPr>
      <w:r>
        <w:tab/>
      </w:r>
      <w:r>
        <w:tab/>
        <w:t>The charges to be paid under regulation 96 for services at a slip controlled and managed by the Department at a place for which no such charges are prescribed in Division 1 are set out in Table 31.1.</w:t>
      </w:r>
    </w:p>
    <w:p>
      <w:pPr>
        <w:pStyle w:val="yTHeadingNAm"/>
        <w:keepLines/>
        <w:widowControl w:val="0"/>
        <w:ind w:left="993"/>
      </w:pPr>
      <w:r>
        <w:t>Table 31.1 (Slip services)</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30"/>
        <w:gridCol w:w="4146"/>
        <w:gridCol w:w="1276"/>
      </w:tblGrid>
      <w:tr>
        <w:trPr>
          <w:cantSplit/>
          <w:tblHeader/>
        </w:trPr>
        <w:tc>
          <w:tcPr>
            <w:tcW w:w="630" w:type="dxa"/>
            <w:tcBorders>
              <w:top w:val="single" w:sz="4" w:space="0" w:color="auto"/>
              <w:bottom w:val="single" w:sz="4" w:space="0" w:color="auto"/>
            </w:tcBorders>
          </w:tcPr>
          <w:p>
            <w:pPr>
              <w:pStyle w:val="yTableNAm"/>
              <w:keepNext/>
              <w:keepLines/>
              <w:widowControl w:val="0"/>
            </w:pPr>
            <w:r>
              <w:rPr>
                <w:b/>
              </w:rPr>
              <w:t>Item</w:t>
            </w:r>
          </w:p>
        </w:tc>
        <w:tc>
          <w:tcPr>
            <w:tcW w:w="4146" w:type="dxa"/>
            <w:tcBorders>
              <w:top w:val="single" w:sz="4" w:space="0" w:color="auto"/>
              <w:bottom w:val="single" w:sz="4" w:space="0" w:color="auto"/>
            </w:tcBorders>
          </w:tcPr>
          <w:p>
            <w:pPr>
              <w:pStyle w:val="yTableNAm"/>
              <w:keepNext/>
              <w:keepLines/>
              <w:widowControl w:val="0"/>
            </w:pPr>
            <w:r>
              <w:rPr>
                <w:b/>
              </w:rPr>
              <w:t>Service</w:t>
            </w:r>
          </w:p>
        </w:tc>
        <w:tc>
          <w:tcPr>
            <w:tcW w:w="1276" w:type="dxa"/>
            <w:tcBorders>
              <w:top w:val="single" w:sz="4" w:space="0" w:color="auto"/>
              <w:bottom w:val="single" w:sz="4" w:space="0" w:color="auto"/>
            </w:tcBorders>
          </w:tcPr>
          <w:p>
            <w:pPr>
              <w:pStyle w:val="yTableNAm"/>
              <w:keepNext/>
              <w:keepLines/>
              <w:widowControl w:val="0"/>
              <w:jc w:val="center"/>
            </w:pPr>
            <w:r>
              <w:rPr>
                <w:b/>
              </w:rPr>
              <w:t>$</w:t>
            </w:r>
          </w:p>
        </w:tc>
      </w:tr>
      <w:tr>
        <w:trPr>
          <w:cantSplit/>
        </w:trPr>
        <w:tc>
          <w:tcPr>
            <w:tcW w:w="630" w:type="dxa"/>
          </w:tcPr>
          <w:p>
            <w:pPr>
              <w:pStyle w:val="yTableNAm"/>
              <w:keepNext/>
              <w:keepLines/>
              <w:widowControl w:val="0"/>
            </w:pPr>
            <w:r>
              <w:t>1.</w:t>
            </w:r>
          </w:p>
        </w:tc>
        <w:tc>
          <w:tcPr>
            <w:tcW w:w="4146" w:type="dxa"/>
          </w:tcPr>
          <w:p>
            <w:pPr>
              <w:pStyle w:val="yTableNAm"/>
              <w:keepNext/>
              <w:keepLines/>
              <w:widowControl w:val="0"/>
            </w:pPr>
            <w:r>
              <w:t xml:space="preserve">For the use of a slip — </w:t>
            </w:r>
          </w:p>
        </w:tc>
        <w:tc>
          <w:tcPr>
            <w:tcW w:w="1276" w:type="dxa"/>
          </w:tcPr>
          <w:p>
            <w:pPr>
              <w:pStyle w:val="yTableNAm"/>
              <w:keepNext/>
              <w:keepLines/>
              <w:widowControl w:val="0"/>
              <w:jc w:val="center"/>
            </w:pPr>
          </w:p>
        </w:tc>
      </w:tr>
      <w:tr>
        <w:trPr>
          <w:cantSplit/>
        </w:trPr>
        <w:tc>
          <w:tcPr>
            <w:tcW w:w="630" w:type="dxa"/>
          </w:tcPr>
          <w:p>
            <w:pPr>
              <w:pStyle w:val="zyTableNAm"/>
              <w:keepNext/>
              <w:keepLines/>
              <w:widowControl w:val="0"/>
            </w:pPr>
          </w:p>
        </w:tc>
        <w:tc>
          <w:tcPr>
            <w:tcW w:w="4146" w:type="dxa"/>
          </w:tcPr>
          <w:p>
            <w:pPr>
              <w:pStyle w:val="yTableNAm"/>
              <w:keepNext/>
              <w:keepLines/>
              <w:widowControl w:val="0"/>
              <w:tabs>
                <w:tab w:val="clear" w:pos="567"/>
              </w:tabs>
              <w:ind w:left="226" w:hanging="226"/>
            </w:pPr>
            <w:r>
              <w:t>•</w:t>
            </w:r>
            <w:r>
              <w:tab/>
              <w:t>from 1 April to 31 August, an amount per day of</w:t>
            </w:r>
          </w:p>
        </w:tc>
        <w:tc>
          <w:tcPr>
            <w:tcW w:w="1276" w:type="dxa"/>
          </w:tcPr>
          <w:p>
            <w:pPr>
              <w:pStyle w:val="yTableNAm"/>
              <w:keepNext/>
              <w:keepLines/>
              <w:widowControl w:val="0"/>
              <w:jc w:val="center"/>
            </w:pPr>
            <w:r>
              <w:br/>
            </w:r>
            <w:r>
              <w:rPr>
                <w:szCs w:val="22"/>
              </w:rPr>
              <w:t>72.60</w:t>
            </w:r>
          </w:p>
        </w:tc>
      </w:tr>
      <w:tr>
        <w:trPr>
          <w:cantSplit/>
        </w:trPr>
        <w:tc>
          <w:tcPr>
            <w:tcW w:w="630" w:type="dxa"/>
          </w:tcPr>
          <w:p>
            <w:pPr>
              <w:pStyle w:val="zyTableNAm"/>
            </w:pPr>
          </w:p>
        </w:tc>
        <w:tc>
          <w:tcPr>
            <w:tcW w:w="4146" w:type="dxa"/>
          </w:tcPr>
          <w:p>
            <w:pPr>
              <w:pStyle w:val="yTableNAm"/>
              <w:tabs>
                <w:tab w:val="clear" w:pos="567"/>
              </w:tabs>
              <w:ind w:left="226" w:hanging="226"/>
            </w:pPr>
            <w:r>
              <w:t>•</w:t>
            </w:r>
            <w:r>
              <w:tab/>
              <w:t>from 1 September to 31 March, an amount per day of</w:t>
            </w:r>
          </w:p>
        </w:tc>
        <w:tc>
          <w:tcPr>
            <w:tcW w:w="1276" w:type="dxa"/>
          </w:tcPr>
          <w:p>
            <w:pPr>
              <w:pStyle w:val="yTableNAm"/>
              <w:jc w:val="center"/>
            </w:pPr>
            <w:r>
              <w:br/>
            </w:r>
            <w:r>
              <w:rPr>
                <w:szCs w:val="22"/>
              </w:rPr>
              <w:t>145.20</w:t>
            </w:r>
          </w:p>
        </w:tc>
      </w:tr>
      <w:tr>
        <w:trPr>
          <w:cantSplit/>
        </w:trPr>
        <w:tc>
          <w:tcPr>
            <w:tcW w:w="630" w:type="dxa"/>
          </w:tcPr>
          <w:p>
            <w:pPr>
              <w:pStyle w:val="yTableNAm"/>
            </w:pPr>
            <w:r>
              <w:t>2.</w:t>
            </w:r>
          </w:p>
        </w:tc>
        <w:tc>
          <w:tcPr>
            <w:tcW w:w="4146" w:type="dxa"/>
          </w:tcPr>
          <w:p>
            <w:pPr>
              <w:pStyle w:val="yTableNAm"/>
            </w:pPr>
            <w:r>
              <w:t xml:space="preserve">For haulage up and down slip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if an annual fee for use of a mooring, pen or alongside berth has been paid for the relevant vessel, an amount per haulage of</w:t>
            </w:r>
          </w:p>
        </w:tc>
        <w:tc>
          <w:tcPr>
            <w:tcW w:w="1276" w:type="dxa"/>
          </w:tcPr>
          <w:p>
            <w:pPr>
              <w:pStyle w:val="yTableNAm"/>
              <w:jc w:val="center"/>
            </w:pPr>
            <w:r>
              <w:br/>
            </w:r>
            <w:r>
              <w:br/>
            </w:r>
            <w:r>
              <w:rPr>
                <w:szCs w:val="22"/>
              </w:rPr>
              <w:t>246.95</w:t>
            </w:r>
          </w:p>
        </w:tc>
      </w:tr>
      <w:tr>
        <w:trPr>
          <w:cantSplit/>
        </w:trPr>
        <w:tc>
          <w:tcPr>
            <w:tcW w:w="630" w:type="dxa"/>
          </w:tcPr>
          <w:p>
            <w:pPr>
              <w:pStyle w:val="zyTableNAm"/>
            </w:pPr>
          </w:p>
        </w:tc>
        <w:tc>
          <w:tcPr>
            <w:tcW w:w="4146" w:type="dxa"/>
          </w:tcPr>
          <w:p>
            <w:pPr>
              <w:pStyle w:val="yTableNAm"/>
              <w:tabs>
                <w:tab w:val="clear" w:pos="567"/>
              </w:tabs>
              <w:ind w:left="226" w:hanging="226"/>
            </w:pPr>
            <w:r>
              <w:t>•</w:t>
            </w:r>
            <w:r>
              <w:tab/>
              <w:t>in any other case, an amount per haulage of</w:t>
            </w:r>
          </w:p>
        </w:tc>
        <w:tc>
          <w:tcPr>
            <w:tcW w:w="1276" w:type="dxa"/>
          </w:tcPr>
          <w:p>
            <w:pPr>
              <w:pStyle w:val="yTableNAm"/>
              <w:jc w:val="center"/>
            </w:pPr>
            <w:r>
              <w:br/>
            </w:r>
            <w:r>
              <w:rPr>
                <w:szCs w:val="22"/>
              </w:rPr>
              <w:t>295.35</w:t>
            </w:r>
          </w:p>
        </w:tc>
      </w:tr>
      <w:tr>
        <w:trPr>
          <w:cantSplit/>
        </w:trPr>
        <w:tc>
          <w:tcPr>
            <w:tcW w:w="630" w:type="dxa"/>
          </w:tcPr>
          <w:p>
            <w:pPr>
              <w:pStyle w:val="yTableNAm"/>
            </w:pPr>
            <w:r>
              <w:t>3.</w:t>
            </w:r>
          </w:p>
        </w:tc>
        <w:tc>
          <w:tcPr>
            <w:tcW w:w="4146" w:type="dxa"/>
          </w:tcPr>
          <w:p>
            <w:pPr>
              <w:pStyle w:val="yTableNAm"/>
            </w:pPr>
            <w:r>
              <w:t xml:space="preserve">For the use of the Department’s land immediately appurtenant or adjacent to a slip for maintenance or storage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for the first 30 days, an amount per day of</w:t>
            </w:r>
          </w:p>
        </w:tc>
        <w:tc>
          <w:tcPr>
            <w:tcW w:w="1276" w:type="dxa"/>
          </w:tcPr>
          <w:p>
            <w:pPr>
              <w:pStyle w:val="yTableNAm"/>
              <w:jc w:val="center"/>
            </w:pPr>
            <w:r>
              <w:rPr>
                <w:szCs w:val="22"/>
              </w:rPr>
              <w:t>19.25</w:t>
            </w:r>
          </w:p>
        </w:tc>
      </w:tr>
      <w:tr>
        <w:trPr>
          <w:cantSplit/>
        </w:trPr>
        <w:tc>
          <w:tcPr>
            <w:tcW w:w="630" w:type="dxa"/>
          </w:tcPr>
          <w:p>
            <w:pPr>
              <w:pStyle w:val="zyTableNAm"/>
            </w:pPr>
          </w:p>
        </w:tc>
        <w:tc>
          <w:tcPr>
            <w:tcW w:w="4146" w:type="dxa"/>
          </w:tcPr>
          <w:p>
            <w:pPr>
              <w:pStyle w:val="yTableNAm"/>
              <w:tabs>
                <w:tab w:val="clear" w:pos="567"/>
              </w:tabs>
              <w:ind w:left="226" w:hanging="226"/>
            </w:pPr>
            <w:r>
              <w:t>•</w:t>
            </w:r>
            <w:r>
              <w:tab/>
              <w:t>after the first 30 days, an amount per day of</w:t>
            </w:r>
          </w:p>
        </w:tc>
        <w:tc>
          <w:tcPr>
            <w:tcW w:w="1276" w:type="dxa"/>
          </w:tcPr>
          <w:p>
            <w:pPr>
              <w:pStyle w:val="yTableNAm"/>
              <w:jc w:val="center"/>
            </w:pPr>
            <w:r>
              <w:br/>
            </w:r>
            <w:r>
              <w:rPr>
                <w:szCs w:val="22"/>
              </w:rPr>
              <w:t>43.45</w:t>
            </w:r>
          </w:p>
        </w:tc>
      </w:tr>
      <w:tr>
        <w:trPr>
          <w:cantSplit/>
        </w:trPr>
        <w:tc>
          <w:tcPr>
            <w:tcW w:w="630" w:type="dxa"/>
          </w:tcPr>
          <w:p>
            <w:pPr>
              <w:pStyle w:val="yTableNAm"/>
            </w:pPr>
            <w:r>
              <w:t>4.</w:t>
            </w:r>
          </w:p>
        </w:tc>
        <w:tc>
          <w:tcPr>
            <w:tcW w:w="4146" w:type="dxa"/>
          </w:tcPr>
          <w:p>
            <w:pPr>
              <w:pStyle w:val="yTableNAm"/>
            </w:pPr>
            <w:r>
              <w:t xml:space="preserve">For the use of the Department’s land in the harbour appurtenant to but not immediately adjacent to the slip for maintenance or storage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for the first 90 days, an amount per day of</w:t>
            </w:r>
          </w:p>
        </w:tc>
        <w:tc>
          <w:tcPr>
            <w:tcW w:w="1276" w:type="dxa"/>
          </w:tcPr>
          <w:p>
            <w:pPr>
              <w:pStyle w:val="yTableNAm"/>
              <w:jc w:val="center"/>
            </w:pPr>
            <w:r>
              <w:rPr>
                <w:szCs w:val="22"/>
              </w:rPr>
              <w:t>19.25</w:t>
            </w:r>
          </w:p>
        </w:tc>
      </w:tr>
      <w:tr>
        <w:trPr>
          <w:cantSplit/>
        </w:trPr>
        <w:tc>
          <w:tcPr>
            <w:tcW w:w="630" w:type="dxa"/>
            <w:tcBorders>
              <w:bottom w:val="single" w:sz="4" w:space="0" w:color="auto"/>
            </w:tcBorders>
          </w:tcPr>
          <w:p>
            <w:pPr>
              <w:pStyle w:val="zyTableNAm"/>
              <w:keepNext/>
            </w:pPr>
          </w:p>
        </w:tc>
        <w:tc>
          <w:tcPr>
            <w:tcW w:w="4146" w:type="dxa"/>
            <w:tcBorders>
              <w:bottom w:val="single" w:sz="4" w:space="0" w:color="auto"/>
            </w:tcBorders>
          </w:tcPr>
          <w:p>
            <w:pPr>
              <w:pStyle w:val="yTableNAm"/>
              <w:keepNext/>
              <w:tabs>
                <w:tab w:val="clear" w:pos="567"/>
              </w:tabs>
              <w:ind w:left="226" w:hanging="226"/>
            </w:pPr>
            <w:r>
              <w:t>•</w:t>
            </w:r>
            <w:r>
              <w:tab/>
              <w:t>after the first 90 days, an amount per day of</w:t>
            </w:r>
          </w:p>
        </w:tc>
        <w:tc>
          <w:tcPr>
            <w:tcW w:w="1276" w:type="dxa"/>
            <w:tcBorders>
              <w:bottom w:val="single" w:sz="4" w:space="0" w:color="auto"/>
            </w:tcBorders>
          </w:tcPr>
          <w:p>
            <w:pPr>
              <w:pStyle w:val="yTableNAm"/>
              <w:keepNext/>
              <w:jc w:val="center"/>
            </w:pPr>
            <w:r>
              <w:br/>
            </w:r>
            <w:r>
              <w:rPr>
                <w:szCs w:val="22"/>
              </w:rPr>
              <w:t>43.45</w:t>
            </w:r>
          </w:p>
        </w:tc>
      </w:tr>
    </w:tbl>
    <w:p>
      <w:pPr>
        <w:pStyle w:val="yFootnotesection"/>
      </w:pPr>
      <w:r>
        <w:tab/>
        <w:t>[Clause 31 inserted in Gazette 22 Jul 2015 p. 2987</w:t>
      </w:r>
      <w:r>
        <w:noBreakHyphen/>
        <w:t>9; amended in Gazette 5 Apr 2016 p. 1025; 15 Apr 2016 p. 1180.]</w:t>
      </w:r>
    </w:p>
    <w:p>
      <w:pPr>
        <w:pStyle w:val="yHeading5"/>
      </w:pPr>
      <w:bookmarkStart w:id="353" w:name="_Toc455151594"/>
      <w:r>
        <w:rPr>
          <w:rStyle w:val="CharSClsNo"/>
        </w:rPr>
        <w:t>32</w:t>
      </w:r>
      <w:r>
        <w:t>.</w:t>
      </w:r>
      <w:r>
        <w:tab/>
        <w:t>Floating dinghy pens</w:t>
      </w:r>
      <w:bookmarkEnd w:id="353"/>
    </w:p>
    <w:p>
      <w:pPr>
        <w:pStyle w:val="ySubsection"/>
      </w:pPr>
      <w:r>
        <w:tab/>
      </w:r>
      <w:r>
        <w:tab/>
        <w:t xml:space="preserve">The charges to be paid for the use of floating dinghy pens at a place are </w:t>
      </w:r>
      <w:r>
        <w:rPr>
          <w:szCs w:val="22"/>
        </w:rPr>
        <w:t xml:space="preserve">$279.40 </w:t>
      </w:r>
      <w:r>
        <w:t>per year.</w:t>
      </w:r>
    </w:p>
    <w:p>
      <w:pPr>
        <w:pStyle w:val="yFootnotesection"/>
      </w:pPr>
      <w:r>
        <w:tab/>
        <w:t>[Clause 32 inserted in Gazette 22 Jul 2015 p. 2989; amended in Gazette 15 Apr 2016 p. 1180.]</w:t>
      </w:r>
    </w:p>
    <w:p>
      <w:pPr>
        <w:pStyle w:val="yScheduleHeading"/>
      </w:pPr>
      <w:bookmarkStart w:id="354" w:name="_Toc440457150"/>
      <w:bookmarkStart w:id="355" w:name="_Toc443638843"/>
      <w:bookmarkStart w:id="356" w:name="_Toc447619989"/>
      <w:bookmarkStart w:id="357" w:name="_Toc448479851"/>
      <w:bookmarkStart w:id="358" w:name="_Toc455066791"/>
      <w:bookmarkStart w:id="359" w:name="_Toc455066995"/>
      <w:bookmarkStart w:id="360" w:name="_Toc455151595"/>
      <w:r>
        <w:rPr>
          <w:rStyle w:val="CharSchNo"/>
        </w:rPr>
        <w:t>Schedule 1A</w:t>
      </w:r>
      <w:r>
        <w:rPr>
          <w:rStyle w:val="CharSDivNo"/>
        </w:rPr>
        <w:t> </w:t>
      </w:r>
      <w:r>
        <w:t>—</w:t>
      </w:r>
      <w:r>
        <w:rPr>
          <w:rStyle w:val="CharSDivText"/>
        </w:rPr>
        <w:t> </w:t>
      </w:r>
      <w:r>
        <w:rPr>
          <w:rStyle w:val="CharSchText"/>
        </w:rPr>
        <w:t>Fuel oil wharfage</w:t>
      </w:r>
      <w:bookmarkEnd w:id="354"/>
      <w:bookmarkEnd w:id="355"/>
      <w:bookmarkEnd w:id="356"/>
      <w:bookmarkEnd w:id="357"/>
      <w:bookmarkEnd w:id="358"/>
      <w:bookmarkEnd w:id="359"/>
      <w:bookmarkEnd w:id="360"/>
    </w:p>
    <w:p>
      <w:pPr>
        <w:pStyle w:val="yShoulderClause"/>
      </w:pPr>
      <w:r>
        <w:t>[r. 11B(2)]</w:t>
      </w:r>
    </w:p>
    <w:p>
      <w:pPr>
        <w:pStyle w:val="yFootnoteheading"/>
      </w:pPr>
      <w:r>
        <w:tab/>
        <w:t>[Heading inserted in Gazette 22 Jul 2015 p. 2989.]</w:t>
      </w:r>
    </w:p>
    <w:p>
      <w:pPr>
        <w:pStyle w:val="yHeading5"/>
      </w:pPr>
      <w:bookmarkStart w:id="361" w:name="_Toc455151596"/>
      <w:r>
        <w:rPr>
          <w:rStyle w:val="CharSClsNo"/>
        </w:rPr>
        <w:t>1</w:t>
      </w:r>
      <w:r>
        <w:t>.</w:t>
      </w:r>
      <w:r>
        <w:tab/>
        <w:t>Wharfage for fuel (r. 11B(2))</w:t>
      </w:r>
      <w:bookmarkEnd w:id="361"/>
    </w:p>
    <w:p>
      <w:pPr>
        <w:pStyle w:val="ySubsection"/>
      </w:pPr>
      <w:r>
        <w:tab/>
      </w:r>
      <w:r>
        <w:tab/>
        <w:t>The rate to be paid for fuel oil under regulation 11B(2) at a place listed in the Table is set out opposite the place.</w:t>
      </w:r>
    </w:p>
    <w:p>
      <w:pPr>
        <w:pStyle w:val="yTHeadingNAm"/>
        <w:ind w:left="993"/>
      </w:pPr>
      <w:r>
        <w:t>Table (Wharfage for fuel oil)</w:t>
      </w:r>
    </w:p>
    <w:tbl>
      <w:tblPr>
        <w:tblW w:w="6095" w:type="dxa"/>
        <w:tblInd w:w="1050" w:type="dxa"/>
        <w:tblLayout w:type="fixed"/>
        <w:tblCellMar>
          <w:top w:w="57" w:type="dxa"/>
          <w:left w:w="57" w:type="dxa"/>
          <w:right w:w="57" w:type="dxa"/>
        </w:tblCellMar>
        <w:tblLook w:val="0000" w:firstRow="0" w:lastRow="0" w:firstColumn="0" w:lastColumn="0" w:noHBand="0" w:noVBand="0"/>
      </w:tblPr>
      <w:tblGrid>
        <w:gridCol w:w="708"/>
        <w:gridCol w:w="4253"/>
        <w:gridCol w:w="1134"/>
      </w:tblGrid>
      <w:tr>
        <w:trPr>
          <w:cantSplit/>
          <w:tblHeader/>
        </w:trPr>
        <w:tc>
          <w:tcPr>
            <w:tcW w:w="708" w:type="dxa"/>
            <w:tcBorders>
              <w:top w:val="single" w:sz="4" w:space="0" w:color="auto"/>
              <w:bottom w:val="single" w:sz="4" w:space="0" w:color="auto"/>
            </w:tcBorders>
          </w:tcPr>
          <w:p>
            <w:pPr>
              <w:pStyle w:val="yTableNAm"/>
            </w:pPr>
            <w:r>
              <w:rPr>
                <w:b/>
              </w:rPr>
              <w:t>Item</w:t>
            </w:r>
          </w:p>
        </w:tc>
        <w:tc>
          <w:tcPr>
            <w:tcW w:w="4253"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$/L</w:t>
            </w:r>
          </w:p>
        </w:tc>
      </w:tr>
      <w:tr>
        <w:trPr>
          <w:cantSplit/>
        </w:trPr>
        <w:tc>
          <w:tcPr>
            <w:tcW w:w="708" w:type="dxa"/>
          </w:tcPr>
          <w:p>
            <w:pPr>
              <w:pStyle w:val="yTableNAm"/>
            </w:pPr>
            <w:r>
              <w:t>1.</w:t>
            </w:r>
          </w:p>
        </w:tc>
        <w:tc>
          <w:tcPr>
            <w:tcW w:w="4253" w:type="dxa"/>
          </w:tcPr>
          <w:p>
            <w:pPr>
              <w:pStyle w:val="yTableNAm"/>
            </w:pPr>
            <w:r>
              <w:t>Albany, at Albany Waterfront Marina</w:t>
            </w:r>
          </w:p>
        </w:tc>
        <w:tc>
          <w:tcPr>
            <w:tcW w:w="1134" w:type="dxa"/>
          </w:tcPr>
          <w:p>
            <w:pPr>
              <w:pStyle w:val="yTableNAm"/>
              <w:jc w:val="center"/>
            </w:pPr>
            <w:r>
              <w:rPr>
                <w:szCs w:val="22"/>
              </w:rPr>
              <w:t>0.056</w:t>
            </w:r>
          </w:p>
        </w:tc>
      </w:tr>
      <w:tr>
        <w:trPr>
          <w:cantSplit/>
        </w:trPr>
        <w:tc>
          <w:tcPr>
            <w:tcW w:w="708" w:type="dxa"/>
          </w:tcPr>
          <w:p>
            <w:pPr>
              <w:pStyle w:val="yTableNAm"/>
            </w:pPr>
            <w:r>
              <w:t>2.</w:t>
            </w:r>
          </w:p>
        </w:tc>
        <w:tc>
          <w:tcPr>
            <w:tcW w:w="4253" w:type="dxa"/>
          </w:tcPr>
          <w:p>
            <w:pPr>
              <w:pStyle w:val="yTableNAm"/>
            </w:pPr>
            <w:r>
              <w:t>Albany, at Emu Point Boat Harbour</w:t>
            </w:r>
          </w:p>
        </w:tc>
        <w:tc>
          <w:tcPr>
            <w:tcW w:w="1134" w:type="dxa"/>
          </w:tcPr>
          <w:p>
            <w:pPr>
              <w:pStyle w:val="yTableNAm"/>
              <w:jc w:val="center"/>
            </w:pPr>
            <w:r>
              <w:rPr>
                <w:szCs w:val="22"/>
              </w:rPr>
              <w:t>0.056</w:t>
            </w:r>
          </w:p>
        </w:tc>
      </w:tr>
      <w:tr>
        <w:trPr>
          <w:cantSplit/>
        </w:trPr>
        <w:tc>
          <w:tcPr>
            <w:tcW w:w="708" w:type="dxa"/>
          </w:tcPr>
          <w:p>
            <w:pPr>
              <w:pStyle w:val="yTableNAm"/>
            </w:pPr>
            <w:r>
              <w:t>3.</w:t>
            </w:r>
          </w:p>
        </w:tc>
        <w:tc>
          <w:tcPr>
            <w:tcW w:w="4253" w:type="dxa"/>
          </w:tcPr>
          <w:p>
            <w:pPr>
              <w:pStyle w:val="yTableNAm"/>
            </w:pPr>
            <w:r>
              <w:t>Augusta (Ellis Street) Maritime Facility</w:t>
            </w:r>
          </w:p>
        </w:tc>
        <w:tc>
          <w:tcPr>
            <w:tcW w:w="1134" w:type="dxa"/>
          </w:tcPr>
          <w:p>
            <w:pPr>
              <w:pStyle w:val="yTableNAm"/>
              <w:jc w:val="center"/>
            </w:pPr>
            <w:r>
              <w:rPr>
                <w:szCs w:val="22"/>
              </w:rPr>
              <w:t>0.056</w:t>
            </w:r>
          </w:p>
        </w:tc>
      </w:tr>
      <w:tr>
        <w:trPr>
          <w:cantSplit/>
        </w:trPr>
        <w:tc>
          <w:tcPr>
            <w:tcW w:w="708" w:type="dxa"/>
          </w:tcPr>
          <w:p>
            <w:pPr>
              <w:pStyle w:val="yTableNAm"/>
            </w:pPr>
            <w:r>
              <w:t>4.</w:t>
            </w:r>
          </w:p>
        </w:tc>
        <w:tc>
          <w:tcPr>
            <w:tcW w:w="4253" w:type="dxa"/>
          </w:tcPr>
          <w:p>
            <w:pPr>
              <w:pStyle w:val="yTableNAm"/>
            </w:pPr>
            <w:r>
              <w:t>Augusta Boat Harbour</w:t>
            </w:r>
          </w:p>
        </w:tc>
        <w:tc>
          <w:tcPr>
            <w:tcW w:w="1134" w:type="dxa"/>
          </w:tcPr>
          <w:p>
            <w:pPr>
              <w:pStyle w:val="yTableNAm"/>
              <w:jc w:val="center"/>
            </w:pPr>
            <w:r>
              <w:rPr>
                <w:szCs w:val="22"/>
              </w:rPr>
              <w:t>0.056</w:t>
            </w:r>
          </w:p>
        </w:tc>
      </w:tr>
      <w:tr>
        <w:trPr>
          <w:cantSplit/>
        </w:trPr>
        <w:tc>
          <w:tcPr>
            <w:tcW w:w="708" w:type="dxa"/>
          </w:tcPr>
          <w:p>
            <w:pPr>
              <w:pStyle w:val="yTableNAm"/>
            </w:pPr>
            <w:r>
              <w:t>5.</w:t>
            </w:r>
          </w:p>
        </w:tc>
        <w:tc>
          <w:tcPr>
            <w:tcW w:w="4253" w:type="dxa"/>
          </w:tcPr>
          <w:p>
            <w:pPr>
              <w:pStyle w:val="yTableNAm"/>
            </w:pPr>
            <w:r>
              <w:t>Barrack Street Jetty</w:t>
            </w:r>
          </w:p>
        </w:tc>
        <w:tc>
          <w:tcPr>
            <w:tcW w:w="1134" w:type="dxa"/>
          </w:tcPr>
          <w:p>
            <w:pPr>
              <w:pStyle w:val="yTableNAm"/>
              <w:jc w:val="center"/>
            </w:pPr>
            <w:r>
              <w:rPr>
                <w:szCs w:val="22"/>
              </w:rPr>
              <w:t>0.056</w:t>
            </w:r>
          </w:p>
        </w:tc>
      </w:tr>
      <w:tr>
        <w:trPr>
          <w:cantSplit/>
        </w:trPr>
        <w:tc>
          <w:tcPr>
            <w:tcW w:w="708" w:type="dxa"/>
          </w:tcPr>
          <w:p>
            <w:pPr>
              <w:pStyle w:val="yTableNAm"/>
            </w:pPr>
            <w:r>
              <w:t>6.</w:t>
            </w:r>
          </w:p>
        </w:tc>
        <w:tc>
          <w:tcPr>
            <w:tcW w:w="4253" w:type="dxa"/>
          </w:tcPr>
          <w:p>
            <w:pPr>
              <w:pStyle w:val="yTableNAm"/>
            </w:pPr>
            <w:r>
              <w:t>Bremer Bay</w:t>
            </w:r>
          </w:p>
        </w:tc>
        <w:tc>
          <w:tcPr>
            <w:tcW w:w="1134" w:type="dxa"/>
          </w:tcPr>
          <w:p>
            <w:pPr>
              <w:pStyle w:val="yTableNAm"/>
              <w:jc w:val="center"/>
            </w:pPr>
            <w:r>
              <w:rPr>
                <w:szCs w:val="22"/>
              </w:rPr>
              <w:t>0.056</w:t>
            </w:r>
          </w:p>
        </w:tc>
      </w:tr>
      <w:tr>
        <w:trPr>
          <w:cantSplit/>
        </w:trPr>
        <w:tc>
          <w:tcPr>
            <w:tcW w:w="708" w:type="dxa"/>
          </w:tcPr>
          <w:p>
            <w:pPr>
              <w:pStyle w:val="yTableNAm"/>
            </w:pPr>
            <w:r>
              <w:t>7.</w:t>
            </w:r>
          </w:p>
        </w:tc>
        <w:tc>
          <w:tcPr>
            <w:tcW w:w="4253" w:type="dxa"/>
          </w:tcPr>
          <w:p>
            <w:pPr>
              <w:pStyle w:val="yTableNAm"/>
            </w:pPr>
            <w:r>
              <w:t>Bunbury, at Casuarina Boat Harbour</w:t>
            </w:r>
          </w:p>
        </w:tc>
        <w:tc>
          <w:tcPr>
            <w:tcW w:w="1134" w:type="dxa"/>
          </w:tcPr>
          <w:p>
            <w:pPr>
              <w:pStyle w:val="yTableNAm"/>
              <w:jc w:val="center"/>
            </w:pPr>
            <w:r>
              <w:rPr>
                <w:szCs w:val="22"/>
              </w:rPr>
              <w:t>0.056</w:t>
            </w:r>
          </w:p>
        </w:tc>
      </w:tr>
      <w:tr>
        <w:trPr>
          <w:cantSplit/>
        </w:trPr>
        <w:tc>
          <w:tcPr>
            <w:tcW w:w="708" w:type="dxa"/>
          </w:tcPr>
          <w:p>
            <w:pPr>
              <w:pStyle w:val="yTableNAm"/>
            </w:pPr>
            <w:r>
              <w:t>8.</w:t>
            </w:r>
          </w:p>
        </w:tc>
        <w:tc>
          <w:tcPr>
            <w:tcW w:w="4253" w:type="dxa"/>
          </w:tcPr>
          <w:p>
            <w:pPr>
              <w:pStyle w:val="yTableNAm"/>
            </w:pPr>
            <w:r>
              <w:t>Carnarvon</w:t>
            </w:r>
          </w:p>
        </w:tc>
        <w:tc>
          <w:tcPr>
            <w:tcW w:w="1134" w:type="dxa"/>
          </w:tcPr>
          <w:p>
            <w:pPr>
              <w:pStyle w:val="yTableNAm"/>
              <w:jc w:val="center"/>
            </w:pPr>
            <w:r>
              <w:rPr>
                <w:szCs w:val="22"/>
              </w:rPr>
              <w:t>0.056</w:t>
            </w:r>
          </w:p>
        </w:tc>
      </w:tr>
      <w:tr>
        <w:trPr>
          <w:cantSplit/>
        </w:trPr>
        <w:tc>
          <w:tcPr>
            <w:tcW w:w="708" w:type="dxa"/>
          </w:tcPr>
          <w:p>
            <w:pPr>
              <w:pStyle w:val="yTableNAm"/>
            </w:pPr>
            <w:r>
              <w:t>9.</w:t>
            </w:r>
          </w:p>
        </w:tc>
        <w:tc>
          <w:tcPr>
            <w:tcW w:w="4253" w:type="dxa"/>
          </w:tcPr>
          <w:p>
            <w:pPr>
              <w:pStyle w:val="yTableNAm"/>
            </w:pPr>
            <w:r>
              <w:t>Cervantes</w:t>
            </w:r>
          </w:p>
        </w:tc>
        <w:tc>
          <w:tcPr>
            <w:tcW w:w="1134" w:type="dxa"/>
          </w:tcPr>
          <w:p>
            <w:pPr>
              <w:pStyle w:val="yTableNAm"/>
              <w:jc w:val="center"/>
            </w:pPr>
            <w:r>
              <w:rPr>
                <w:szCs w:val="22"/>
              </w:rPr>
              <w:t>0.056</w:t>
            </w:r>
          </w:p>
        </w:tc>
      </w:tr>
      <w:tr>
        <w:trPr>
          <w:cantSplit/>
        </w:trPr>
        <w:tc>
          <w:tcPr>
            <w:tcW w:w="708" w:type="dxa"/>
          </w:tcPr>
          <w:p>
            <w:pPr>
              <w:pStyle w:val="yTableNAm"/>
            </w:pPr>
            <w:r>
              <w:t>10.</w:t>
            </w:r>
          </w:p>
        </w:tc>
        <w:tc>
          <w:tcPr>
            <w:tcW w:w="4253" w:type="dxa"/>
          </w:tcPr>
          <w:p>
            <w:pPr>
              <w:pStyle w:val="yTableNAm"/>
            </w:pPr>
            <w:r>
              <w:t>Denham</w:t>
            </w:r>
          </w:p>
        </w:tc>
        <w:tc>
          <w:tcPr>
            <w:tcW w:w="1134" w:type="dxa"/>
          </w:tcPr>
          <w:p>
            <w:pPr>
              <w:pStyle w:val="yTableNAm"/>
              <w:jc w:val="center"/>
            </w:pPr>
            <w:r>
              <w:rPr>
                <w:szCs w:val="22"/>
              </w:rPr>
              <w:t>0.056</w:t>
            </w:r>
          </w:p>
        </w:tc>
      </w:tr>
      <w:tr>
        <w:trPr>
          <w:cantSplit/>
        </w:trPr>
        <w:tc>
          <w:tcPr>
            <w:tcW w:w="708" w:type="dxa"/>
          </w:tcPr>
          <w:p>
            <w:pPr>
              <w:pStyle w:val="yTableNAm"/>
            </w:pPr>
            <w:r>
              <w:t>11.</w:t>
            </w:r>
          </w:p>
        </w:tc>
        <w:tc>
          <w:tcPr>
            <w:tcW w:w="4253" w:type="dxa"/>
          </w:tcPr>
          <w:p>
            <w:pPr>
              <w:pStyle w:val="yTableNAm"/>
            </w:pPr>
            <w:r>
              <w:t>Esperance</w:t>
            </w:r>
          </w:p>
        </w:tc>
        <w:tc>
          <w:tcPr>
            <w:tcW w:w="1134" w:type="dxa"/>
          </w:tcPr>
          <w:p>
            <w:pPr>
              <w:pStyle w:val="yTableNAm"/>
              <w:jc w:val="center"/>
            </w:pPr>
            <w:r>
              <w:rPr>
                <w:szCs w:val="22"/>
              </w:rPr>
              <w:t>0.056</w:t>
            </w:r>
          </w:p>
        </w:tc>
      </w:tr>
      <w:tr>
        <w:trPr>
          <w:cantSplit/>
        </w:trPr>
        <w:tc>
          <w:tcPr>
            <w:tcW w:w="708" w:type="dxa"/>
          </w:tcPr>
          <w:p>
            <w:pPr>
              <w:pStyle w:val="yTableNAm"/>
            </w:pPr>
            <w:r>
              <w:t>12.</w:t>
            </w:r>
          </w:p>
        </w:tc>
        <w:tc>
          <w:tcPr>
            <w:tcW w:w="4253" w:type="dxa"/>
          </w:tcPr>
          <w:p>
            <w:pPr>
              <w:pStyle w:val="yTableNAm"/>
            </w:pPr>
            <w:r>
              <w:t>Exmouth</w:t>
            </w:r>
          </w:p>
        </w:tc>
        <w:tc>
          <w:tcPr>
            <w:tcW w:w="1134" w:type="dxa"/>
          </w:tcPr>
          <w:p>
            <w:pPr>
              <w:pStyle w:val="yTableNAm"/>
              <w:jc w:val="center"/>
            </w:pPr>
            <w:r>
              <w:rPr>
                <w:szCs w:val="22"/>
              </w:rPr>
              <w:t>0.056</w:t>
            </w:r>
          </w:p>
        </w:tc>
      </w:tr>
      <w:tr>
        <w:trPr>
          <w:cantSplit/>
        </w:trPr>
        <w:tc>
          <w:tcPr>
            <w:tcW w:w="708" w:type="dxa"/>
          </w:tcPr>
          <w:p>
            <w:pPr>
              <w:pStyle w:val="yTableNAm"/>
            </w:pPr>
            <w:r>
              <w:t>13.</w:t>
            </w:r>
          </w:p>
        </w:tc>
        <w:tc>
          <w:tcPr>
            <w:tcW w:w="4253" w:type="dxa"/>
          </w:tcPr>
          <w:p>
            <w:pPr>
              <w:pStyle w:val="yTableNAm"/>
            </w:pPr>
            <w:r>
              <w:t>Fremantle, at Fremantle Fishing Boat Harbour</w:t>
            </w:r>
          </w:p>
        </w:tc>
        <w:tc>
          <w:tcPr>
            <w:tcW w:w="1134" w:type="dxa"/>
          </w:tcPr>
          <w:p>
            <w:pPr>
              <w:pStyle w:val="yTableNAm"/>
              <w:jc w:val="center"/>
            </w:pPr>
            <w:r>
              <w:rPr>
                <w:szCs w:val="22"/>
              </w:rPr>
              <w:t>0.056</w:t>
            </w:r>
          </w:p>
        </w:tc>
      </w:tr>
      <w:tr>
        <w:trPr>
          <w:cantSplit/>
        </w:trPr>
        <w:tc>
          <w:tcPr>
            <w:tcW w:w="708" w:type="dxa"/>
          </w:tcPr>
          <w:p>
            <w:pPr>
              <w:pStyle w:val="yTableNAm"/>
            </w:pPr>
            <w:r>
              <w:t>14.</w:t>
            </w:r>
          </w:p>
        </w:tc>
        <w:tc>
          <w:tcPr>
            <w:tcW w:w="4253" w:type="dxa"/>
          </w:tcPr>
          <w:p>
            <w:pPr>
              <w:pStyle w:val="yTableNAm"/>
            </w:pPr>
            <w:r>
              <w:t>Green Head</w:t>
            </w:r>
          </w:p>
        </w:tc>
        <w:tc>
          <w:tcPr>
            <w:tcW w:w="1134" w:type="dxa"/>
          </w:tcPr>
          <w:p>
            <w:pPr>
              <w:pStyle w:val="yTableNAm"/>
              <w:jc w:val="center"/>
            </w:pPr>
            <w:r>
              <w:rPr>
                <w:szCs w:val="22"/>
              </w:rPr>
              <w:t>0.056</w:t>
            </w:r>
          </w:p>
        </w:tc>
      </w:tr>
      <w:tr>
        <w:trPr>
          <w:cantSplit/>
        </w:trPr>
        <w:tc>
          <w:tcPr>
            <w:tcW w:w="708" w:type="dxa"/>
          </w:tcPr>
          <w:p>
            <w:pPr>
              <w:pStyle w:val="yTableNAm"/>
            </w:pPr>
            <w:r>
              <w:t>15.</w:t>
            </w:r>
          </w:p>
        </w:tc>
        <w:tc>
          <w:tcPr>
            <w:tcW w:w="4253" w:type="dxa"/>
          </w:tcPr>
          <w:p>
            <w:pPr>
              <w:pStyle w:val="yTableNAm"/>
            </w:pPr>
            <w:r>
              <w:t>Hillarys Boat Harbour</w:t>
            </w:r>
          </w:p>
        </w:tc>
        <w:tc>
          <w:tcPr>
            <w:tcW w:w="1134" w:type="dxa"/>
          </w:tcPr>
          <w:p>
            <w:pPr>
              <w:pStyle w:val="yTableNAm"/>
              <w:jc w:val="center"/>
            </w:pPr>
            <w:r>
              <w:rPr>
                <w:szCs w:val="22"/>
              </w:rPr>
              <w:t>0.056</w:t>
            </w:r>
          </w:p>
        </w:tc>
      </w:tr>
      <w:tr>
        <w:trPr>
          <w:cantSplit/>
        </w:trPr>
        <w:tc>
          <w:tcPr>
            <w:tcW w:w="708" w:type="dxa"/>
          </w:tcPr>
          <w:p>
            <w:pPr>
              <w:pStyle w:val="yTableNAm"/>
            </w:pPr>
            <w:r>
              <w:t>16.</w:t>
            </w:r>
          </w:p>
        </w:tc>
        <w:tc>
          <w:tcPr>
            <w:tcW w:w="4253" w:type="dxa"/>
          </w:tcPr>
          <w:p>
            <w:pPr>
              <w:pStyle w:val="yTableNAm"/>
            </w:pPr>
            <w:r>
              <w:t>Hopetoun</w:t>
            </w:r>
          </w:p>
        </w:tc>
        <w:tc>
          <w:tcPr>
            <w:tcW w:w="1134" w:type="dxa"/>
          </w:tcPr>
          <w:p>
            <w:pPr>
              <w:pStyle w:val="yTableNAm"/>
              <w:jc w:val="center"/>
            </w:pPr>
            <w:r>
              <w:rPr>
                <w:szCs w:val="22"/>
              </w:rPr>
              <w:t>0.056</w:t>
            </w:r>
          </w:p>
        </w:tc>
      </w:tr>
      <w:tr>
        <w:trPr>
          <w:cantSplit/>
        </w:trPr>
        <w:tc>
          <w:tcPr>
            <w:tcW w:w="708" w:type="dxa"/>
          </w:tcPr>
          <w:p>
            <w:pPr>
              <w:pStyle w:val="yTableNAm"/>
            </w:pPr>
            <w:r>
              <w:t>17.</w:t>
            </w:r>
          </w:p>
        </w:tc>
        <w:tc>
          <w:tcPr>
            <w:tcW w:w="4253" w:type="dxa"/>
          </w:tcPr>
          <w:p>
            <w:pPr>
              <w:pStyle w:val="yTableNAm"/>
            </w:pPr>
            <w:r>
              <w:t>Jurien</w:t>
            </w:r>
          </w:p>
        </w:tc>
        <w:tc>
          <w:tcPr>
            <w:tcW w:w="1134" w:type="dxa"/>
          </w:tcPr>
          <w:p>
            <w:pPr>
              <w:pStyle w:val="yTableNAm"/>
              <w:jc w:val="center"/>
            </w:pPr>
            <w:r>
              <w:rPr>
                <w:szCs w:val="22"/>
              </w:rPr>
              <w:t>0.056</w:t>
            </w:r>
          </w:p>
        </w:tc>
      </w:tr>
      <w:tr>
        <w:trPr>
          <w:cantSplit/>
        </w:trPr>
        <w:tc>
          <w:tcPr>
            <w:tcW w:w="708" w:type="dxa"/>
          </w:tcPr>
          <w:p>
            <w:pPr>
              <w:pStyle w:val="yTableNAm"/>
            </w:pPr>
            <w:r>
              <w:t>18.</w:t>
            </w:r>
          </w:p>
        </w:tc>
        <w:tc>
          <w:tcPr>
            <w:tcW w:w="4253" w:type="dxa"/>
          </w:tcPr>
          <w:p>
            <w:pPr>
              <w:pStyle w:val="yTableNAm"/>
            </w:pPr>
            <w:r>
              <w:t>Kalbarri</w:t>
            </w:r>
          </w:p>
        </w:tc>
        <w:tc>
          <w:tcPr>
            <w:tcW w:w="1134" w:type="dxa"/>
          </w:tcPr>
          <w:p>
            <w:pPr>
              <w:pStyle w:val="yTableNAm"/>
              <w:jc w:val="center"/>
            </w:pPr>
            <w:r>
              <w:rPr>
                <w:szCs w:val="22"/>
              </w:rPr>
              <w:t>0.056</w:t>
            </w:r>
          </w:p>
        </w:tc>
      </w:tr>
      <w:tr>
        <w:trPr>
          <w:cantSplit/>
        </w:trPr>
        <w:tc>
          <w:tcPr>
            <w:tcW w:w="708" w:type="dxa"/>
          </w:tcPr>
          <w:p>
            <w:pPr>
              <w:pStyle w:val="yTableNAm"/>
            </w:pPr>
            <w:r>
              <w:t>19.</w:t>
            </w:r>
          </w:p>
        </w:tc>
        <w:tc>
          <w:tcPr>
            <w:tcW w:w="4253" w:type="dxa"/>
          </w:tcPr>
          <w:p>
            <w:pPr>
              <w:pStyle w:val="yTableNAm"/>
            </w:pPr>
            <w:r>
              <w:t>Lancelin</w:t>
            </w:r>
          </w:p>
        </w:tc>
        <w:tc>
          <w:tcPr>
            <w:tcW w:w="1134" w:type="dxa"/>
          </w:tcPr>
          <w:p>
            <w:pPr>
              <w:pStyle w:val="yTableNAm"/>
              <w:jc w:val="center"/>
            </w:pPr>
            <w:r>
              <w:rPr>
                <w:szCs w:val="22"/>
              </w:rPr>
              <w:t>0.056</w:t>
            </w:r>
          </w:p>
        </w:tc>
      </w:tr>
      <w:tr>
        <w:trPr>
          <w:cantSplit/>
        </w:trPr>
        <w:tc>
          <w:tcPr>
            <w:tcW w:w="708" w:type="dxa"/>
          </w:tcPr>
          <w:p>
            <w:pPr>
              <w:pStyle w:val="yTableNAm"/>
            </w:pPr>
            <w:r>
              <w:t>20.</w:t>
            </w:r>
          </w:p>
        </w:tc>
        <w:tc>
          <w:tcPr>
            <w:tcW w:w="4253" w:type="dxa"/>
          </w:tcPr>
          <w:p>
            <w:pPr>
              <w:pStyle w:val="yTableNAm"/>
            </w:pPr>
            <w:r>
              <w:t>Leeman</w:t>
            </w:r>
          </w:p>
        </w:tc>
        <w:tc>
          <w:tcPr>
            <w:tcW w:w="1134" w:type="dxa"/>
          </w:tcPr>
          <w:p>
            <w:pPr>
              <w:pStyle w:val="yTableNAm"/>
              <w:jc w:val="center"/>
            </w:pPr>
            <w:r>
              <w:rPr>
                <w:szCs w:val="22"/>
              </w:rPr>
              <w:t>0.056</w:t>
            </w:r>
          </w:p>
        </w:tc>
      </w:tr>
      <w:tr>
        <w:trPr>
          <w:cantSplit/>
        </w:trPr>
        <w:tc>
          <w:tcPr>
            <w:tcW w:w="708" w:type="dxa"/>
          </w:tcPr>
          <w:p>
            <w:pPr>
              <w:pStyle w:val="yTableNAm"/>
            </w:pPr>
            <w:r>
              <w:t>21.</w:t>
            </w:r>
          </w:p>
        </w:tc>
        <w:tc>
          <w:tcPr>
            <w:tcW w:w="4253" w:type="dxa"/>
          </w:tcPr>
          <w:p>
            <w:pPr>
              <w:pStyle w:val="yTableNAm"/>
            </w:pPr>
            <w:r>
              <w:t>Onslow, at Beadon Creek Boat Harbour</w:t>
            </w:r>
          </w:p>
        </w:tc>
        <w:tc>
          <w:tcPr>
            <w:tcW w:w="1134" w:type="dxa"/>
          </w:tcPr>
          <w:p>
            <w:pPr>
              <w:pStyle w:val="yTableNAm"/>
              <w:jc w:val="center"/>
            </w:pPr>
            <w:r>
              <w:rPr>
                <w:szCs w:val="22"/>
              </w:rPr>
              <w:t>0.056</w:t>
            </w:r>
          </w:p>
        </w:tc>
      </w:tr>
      <w:tr>
        <w:trPr>
          <w:cantSplit/>
        </w:trPr>
        <w:tc>
          <w:tcPr>
            <w:tcW w:w="708" w:type="dxa"/>
          </w:tcPr>
          <w:p>
            <w:pPr>
              <w:pStyle w:val="yTableNAm"/>
            </w:pPr>
            <w:r>
              <w:t>22.</w:t>
            </w:r>
          </w:p>
        </w:tc>
        <w:tc>
          <w:tcPr>
            <w:tcW w:w="4253" w:type="dxa"/>
          </w:tcPr>
          <w:p>
            <w:pPr>
              <w:pStyle w:val="yTableNAm"/>
            </w:pPr>
            <w:r>
              <w:t>Point Samson, at Johns Creek Boat Harbour</w:t>
            </w:r>
          </w:p>
        </w:tc>
        <w:tc>
          <w:tcPr>
            <w:tcW w:w="1134" w:type="dxa"/>
          </w:tcPr>
          <w:p>
            <w:pPr>
              <w:pStyle w:val="yTableNAm"/>
              <w:jc w:val="center"/>
            </w:pPr>
            <w:r>
              <w:rPr>
                <w:szCs w:val="22"/>
              </w:rPr>
              <w:t>0.056</w:t>
            </w:r>
          </w:p>
        </w:tc>
      </w:tr>
      <w:tr>
        <w:trPr>
          <w:cantSplit/>
        </w:trPr>
        <w:tc>
          <w:tcPr>
            <w:tcW w:w="708" w:type="dxa"/>
          </w:tcPr>
          <w:p>
            <w:pPr>
              <w:pStyle w:val="yTableNAm"/>
            </w:pPr>
            <w:r>
              <w:t>23.</w:t>
            </w:r>
          </w:p>
        </w:tc>
        <w:tc>
          <w:tcPr>
            <w:tcW w:w="4253" w:type="dxa"/>
          </w:tcPr>
          <w:p>
            <w:pPr>
              <w:pStyle w:val="yTableNAm"/>
            </w:pPr>
            <w:r>
              <w:t>Port Denison</w:t>
            </w:r>
          </w:p>
        </w:tc>
        <w:tc>
          <w:tcPr>
            <w:tcW w:w="1134" w:type="dxa"/>
          </w:tcPr>
          <w:p>
            <w:pPr>
              <w:pStyle w:val="yTableNAm"/>
              <w:jc w:val="center"/>
            </w:pPr>
            <w:r>
              <w:rPr>
                <w:szCs w:val="22"/>
              </w:rPr>
              <w:t>0.056</w:t>
            </w:r>
          </w:p>
        </w:tc>
      </w:tr>
      <w:tr>
        <w:trPr>
          <w:cantSplit/>
        </w:trPr>
        <w:tc>
          <w:tcPr>
            <w:tcW w:w="708" w:type="dxa"/>
          </w:tcPr>
          <w:p>
            <w:pPr>
              <w:pStyle w:val="yTableNAm"/>
            </w:pPr>
            <w:r>
              <w:t>24.</w:t>
            </w:r>
          </w:p>
        </w:tc>
        <w:tc>
          <w:tcPr>
            <w:tcW w:w="4253" w:type="dxa"/>
          </w:tcPr>
          <w:p>
            <w:pPr>
              <w:pStyle w:val="yTableNAm"/>
            </w:pPr>
            <w:r>
              <w:t>Port Gregory</w:t>
            </w:r>
          </w:p>
        </w:tc>
        <w:tc>
          <w:tcPr>
            <w:tcW w:w="1134" w:type="dxa"/>
          </w:tcPr>
          <w:p>
            <w:pPr>
              <w:pStyle w:val="yTableNAm"/>
              <w:jc w:val="center"/>
            </w:pPr>
            <w:r>
              <w:rPr>
                <w:szCs w:val="22"/>
              </w:rPr>
              <w:t>0.056</w:t>
            </w:r>
          </w:p>
        </w:tc>
      </w:tr>
      <w:tr>
        <w:trPr>
          <w:cantSplit/>
        </w:trPr>
        <w:tc>
          <w:tcPr>
            <w:tcW w:w="708" w:type="dxa"/>
          </w:tcPr>
          <w:p>
            <w:pPr>
              <w:pStyle w:val="yTableNAm"/>
            </w:pPr>
            <w:r>
              <w:t>25.</w:t>
            </w:r>
          </w:p>
        </w:tc>
        <w:tc>
          <w:tcPr>
            <w:tcW w:w="4253" w:type="dxa"/>
          </w:tcPr>
          <w:p>
            <w:pPr>
              <w:pStyle w:val="yTableNAm"/>
            </w:pPr>
            <w:r>
              <w:t>Two Rocks Marina</w:t>
            </w:r>
          </w:p>
        </w:tc>
        <w:tc>
          <w:tcPr>
            <w:tcW w:w="1134" w:type="dxa"/>
          </w:tcPr>
          <w:p>
            <w:pPr>
              <w:pStyle w:val="yTableNAm"/>
              <w:jc w:val="center"/>
            </w:pPr>
            <w:r>
              <w:rPr>
                <w:szCs w:val="22"/>
              </w:rPr>
              <w:t>0.056</w:t>
            </w:r>
          </w:p>
        </w:tc>
      </w:tr>
      <w:tr>
        <w:trPr>
          <w:cantSplit/>
        </w:trPr>
        <w:tc>
          <w:tcPr>
            <w:tcW w:w="708" w:type="dxa"/>
            <w:tcBorders>
              <w:bottom w:val="single" w:sz="4" w:space="0" w:color="auto"/>
            </w:tcBorders>
          </w:tcPr>
          <w:p>
            <w:pPr>
              <w:pStyle w:val="yTableNAm"/>
            </w:pPr>
            <w:r>
              <w:t>26.</w:t>
            </w:r>
          </w:p>
        </w:tc>
        <w:tc>
          <w:tcPr>
            <w:tcW w:w="4253" w:type="dxa"/>
            <w:tcBorders>
              <w:bottom w:val="single" w:sz="4" w:space="0" w:color="auto"/>
            </w:tcBorders>
          </w:tcPr>
          <w:p>
            <w:pPr>
              <w:pStyle w:val="yTableNAm"/>
            </w:pPr>
            <w:r>
              <w:t>Wyndham</w:t>
            </w:r>
          </w:p>
        </w:tc>
        <w:tc>
          <w:tcPr>
            <w:tcW w:w="1134" w:type="dxa"/>
            <w:tcBorders>
              <w:bottom w:val="single" w:sz="4" w:space="0" w:color="auto"/>
            </w:tcBorders>
          </w:tcPr>
          <w:p>
            <w:pPr>
              <w:pStyle w:val="yTableNAm"/>
              <w:jc w:val="center"/>
            </w:pPr>
            <w:r>
              <w:rPr>
                <w:szCs w:val="22"/>
              </w:rPr>
              <w:t>0.01109</w:t>
            </w:r>
          </w:p>
        </w:tc>
      </w:tr>
    </w:tbl>
    <w:p>
      <w:pPr>
        <w:pStyle w:val="yFootnotesection"/>
      </w:pPr>
      <w:r>
        <w:tab/>
        <w:t>[Clause 1 inserted in Gazette 22 Jul 2015 p. 2989</w:t>
      </w:r>
      <w:r>
        <w:noBreakHyphen/>
        <w:t>90; amended in Gazette 15 Apr 2016 p. 1181.]</w:t>
      </w:r>
    </w:p>
    <w:p>
      <w:pPr>
        <w:pStyle w:val="yScheduleHeading"/>
      </w:pPr>
      <w:bookmarkStart w:id="362" w:name="_Toc440457152"/>
      <w:bookmarkStart w:id="363" w:name="_Toc443638845"/>
      <w:bookmarkStart w:id="364" w:name="_Toc447619991"/>
      <w:bookmarkStart w:id="365" w:name="_Toc448479853"/>
      <w:bookmarkStart w:id="366" w:name="_Toc455066793"/>
      <w:bookmarkStart w:id="367" w:name="_Toc455066997"/>
      <w:bookmarkStart w:id="368" w:name="_Toc455151597"/>
      <w:r>
        <w:rPr>
          <w:rStyle w:val="CharSchNo"/>
        </w:rPr>
        <w:t>Schedule 2</w:t>
      </w:r>
      <w:r>
        <w:t> — </w:t>
      </w:r>
      <w:r>
        <w:rPr>
          <w:rStyle w:val="CharSchText"/>
        </w:rPr>
        <w:t>Port of Perth charges</w:t>
      </w:r>
      <w:bookmarkEnd w:id="362"/>
      <w:bookmarkEnd w:id="363"/>
      <w:bookmarkEnd w:id="364"/>
      <w:bookmarkEnd w:id="365"/>
      <w:bookmarkEnd w:id="366"/>
      <w:bookmarkEnd w:id="367"/>
      <w:bookmarkEnd w:id="368"/>
    </w:p>
    <w:p>
      <w:pPr>
        <w:pStyle w:val="yShoulderClause"/>
      </w:pPr>
      <w:r>
        <w:t>[r. 72]</w:t>
      </w:r>
    </w:p>
    <w:p>
      <w:pPr>
        <w:pStyle w:val="yFootnoteheading"/>
      </w:pPr>
      <w:r>
        <w:tab/>
        <w:t>[Heading inserted in Gazette 22 Jul 2015 p. 2990.]</w:t>
      </w:r>
    </w:p>
    <w:p>
      <w:pPr>
        <w:pStyle w:val="yHeading3"/>
      </w:pPr>
      <w:bookmarkStart w:id="369" w:name="_Toc440457153"/>
      <w:bookmarkStart w:id="370" w:name="_Toc443638846"/>
      <w:bookmarkStart w:id="371" w:name="_Toc447619992"/>
      <w:bookmarkStart w:id="372" w:name="_Toc448479854"/>
      <w:bookmarkStart w:id="373" w:name="_Toc455066794"/>
      <w:bookmarkStart w:id="374" w:name="_Toc455066998"/>
      <w:bookmarkStart w:id="375" w:name="_Toc455151598"/>
      <w:r>
        <w:rPr>
          <w:rStyle w:val="CharSDivNo"/>
        </w:rPr>
        <w:t>Division 1A</w:t>
      </w:r>
      <w:r>
        <w:rPr>
          <w:b w:val="0"/>
        </w:rPr>
        <w:t> — </w:t>
      </w:r>
      <w:r>
        <w:rPr>
          <w:rStyle w:val="CharSDivText"/>
        </w:rPr>
        <w:t>Application and Standard rates</w:t>
      </w:r>
      <w:bookmarkEnd w:id="369"/>
      <w:bookmarkEnd w:id="370"/>
      <w:bookmarkEnd w:id="371"/>
      <w:bookmarkEnd w:id="372"/>
      <w:bookmarkEnd w:id="373"/>
      <w:bookmarkEnd w:id="374"/>
      <w:bookmarkEnd w:id="375"/>
    </w:p>
    <w:p>
      <w:pPr>
        <w:pStyle w:val="yFootnoteheading"/>
      </w:pPr>
      <w:r>
        <w:tab/>
        <w:t>[Heading inserted in Gazette 22 Jul 2015 p. 2990.]</w:t>
      </w:r>
    </w:p>
    <w:p>
      <w:pPr>
        <w:pStyle w:val="yHeading5"/>
      </w:pPr>
      <w:bookmarkStart w:id="376" w:name="_Toc455151599"/>
      <w:r>
        <w:rPr>
          <w:rStyle w:val="CharSClsNo"/>
        </w:rPr>
        <w:t>1A</w:t>
      </w:r>
      <w:r>
        <w:t>.</w:t>
      </w:r>
      <w:r>
        <w:tab/>
        <w:t>Application of this Schedule</w:t>
      </w:r>
      <w:bookmarkEnd w:id="376"/>
    </w:p>
    <w:p>
      <w:pPr>
        <w:pStyle w:val="ySubsection"/>
      </w:pPr>
      <w:r>
        <w:tab/>
      </w:r>
      <w:r>
        <w:tab/>
        <w:t>The charges in this Schedule apply to the specified jetties and harbours in addition to the charges that apply State</w:t>
      </w:r>
      <w:r>
        <w:noBreakHyphen/>
        <w:t>wide under Schedule 1 Division 2.</w:t>
      </w:r>
    </w:p>
    <w:p>
      <w:pPr>
        <w:pStyle w:val="yFootnotesection"/>
      </w:pPr>
      <w:r>
        <w:tab/>
        <w:t>[Clause 1A inserted in Gazette 22 Jul 2015 p. 2990.]</w:t>
      </w:r>
    </w:p>
    <w:p>
      <w:pPr>
        <w:pStyle w:val="yHeading5"/>
      </w:pPr>
      <w:bookmarkStart w:id="377" w:name="_Toc455151600"/>
      <w:r>
        <w:rPr>
          <w:rStyle w:val="CharSClsNo"/>
        </w:rPr>
        <w:t>1B</w:t>
      </w:r>
      <w:r>
        <w:t>.</w:t>
      </w:r>
      <w:r>
        <w:tab/>
        <w:t>Standard rates for this Schedule</w:t>
      </w:r>
      <w:bookmarkEnd w:id="377"/>
    </w:p>
    <w:p>
      <w:pPr>
        <w:pStyle w:val="ySubsection"/>
      </w:pPr>
      <w:r>
        <w:tab/>
      </w:r>
      <w:r>
        <w:tab/>
        <w:t xml:space="preserve">In this Schedule, the following rates are standard rates — </w:t>
      </w:r>
    </w:p>
    <w:p>
      <w:pPr>
        <w:pStyle w:val="ySubsection"/>
        <w:rPr>
          <w:b/>
        </w:rPr>
      </w:pPr>
      <w:r>
        <w:rPr>
          <w:b/>
        </w:rPr>
        <w:tab/>
      </w:r>
      <w:r>
        <w:rPr>
          <w:b/>
        </w:rPr>
        <w:tab/>
        <w:t xml:space="preserve">Rate 1: a casual daily rate of </w:t>
      </w:r>
      <w:r>
        <w:rPr>
          <w:b/>
          <w:szCs w:val="22"/>
        </w:rPr>
        <w:t>$7.30</w:t>
      </w:r>
      <w:r>
        <w:rPr>
          <w:b/>
        </w:rPr>
        <w:t xml:space="preserve"> per metre of the vessel’s length</w:t>
      </w:r>
    </w:p>
    <w:p>
      <w:pPr>
        <w:pStyle w:val="ySubsection"/>
      </w:pPr>
      <w:r>
        <w:tab/>
      </w:r>
      <w:r>
        <w:tab/>
        <w:t>Typically used to calculate the standard daily rate for casual use of a pen or alongside berth (whether or not the alongside berth is on a service wharf or jetty) for a commercial vessel.</w:t>
      </w:r>
    </w:p>
    <w:p>
      <w:pPr>
        <w:pStyle w:val="ySubsection"/>
        <w:rPr>
          <w:b/>
        </w:rPr>
      </w:pPr>
      <w:r>
        <w:rPr>
          <w:b/>
        </w:rPr>
        <w:tab/>
      </w:r>
      <w:r>
        <w:rPr>
          <w:b/>
        </w:rPr>
        <w:tab/>
        <w:t xml:space="preserve">Rate 2: a casual daily rate of </w:t>
      </w:r>
      <w:r>
        <w:rPr>
          <w:b/>
          <w:szCs w:val="22"/>
        </w:rPr>
        <w:t>$51.15</w:t>
      </w:r>
    </w:p>
    <w:p>
      <w:pPr>
        <w:pStyle w:val="ySubsection"/>
      </w:pPr>
      <w:r>
        <w:tab/>
      </w:r>
      <w:r>
        <w:tab/>
        <w:t>Typically used to calculate the standard daily rate for casual use of a pen or alongside berth for a recreational vessel.</w:t>
      </w:r>
    </w:p>
    <w:p>
      <w:pPr>
        <w:pStyle w:val="ySubsection"/>
        <w:rPr>
          <w:b/>
        </w:rPr>
      </w:pPr>
      <w:r>
        <w:rPr>
          <w:b/>
        </w:rPr>
        <w:tab/>
      </w:r>
      <w:r>
        <w:rPr>
          <w:b/>
        </w:rPr>
        <w:tab/>
        <w:t xml:space="preserve">Rate 3: an annual rate of </w:t>
      </w:r>
      <w:r>
        <w:rPr>
          <w:b/>
          <w:szCs w:val="22"/>
        </w:rPr>
        <w:t>$82.00</w:t>
      </w:r>
      <w:r>
        <w:rPr>
          <w:b/>
        </w:rPr>
        <w:t xml:space="preserve"> per metre of the vessel’s length</w:t>
      </w:r>
    </w:p>
    <w:p>
      <w:pPr>
        <w:pStyle w:val="ySubsection"/>
      </w:pPr>
      <w:r>
        <w:tab/>
      </w:r>
      <w:r>
        <w:tab/>
        <w:t>Typically used to calculate the standard annual rate for short term use of a service wharf or jetty for a vessel.</w:t>
      </w:r>
    </w:p>
    <w:p>
      <w:pPr>
        <w:pStyle w:val="yFootnotesection"/>
      </w:pPr>
      <w:r>
        <w:tab/>
        <w:t>[Clause 1B inserted in Gazette 22 Jul 2015 p. 2991; amended in Gazette 15 Apr 2016 p. 1181.]</w:t>
      </w:r>
    </w:p>
    <w:p>
      <w:pPr>
        <w:pStyle w:val="yHeading5"/>
      </w:pPr>
      <w:bookmarkStart w:id="378" w:name="_Toc455151601"/>
      <w:r>
        <w:rPr>
          <w:rStyle w:val="CharSClsNo"/>
        </w:rPr>
        <w:t>1C</w:t>
      </w:r>
      <w:r>
        <w:t>.</w:t>
      </w:r>
      <w:r>
        <w:tab/>
        <w:t>Transferability of annual payments</w:t>
      </w:r>
      <w:bookmarkEnd w:id="378"/>
    </w:p>
    <w:p>
      <w:pPr>
        <w:pStyle w:val="ySubsection"/>
      </w:pPr>
      <w:r>
        <w:tab/>
        <w:t>(1)</w:t>
      </w:r>
      <w:r>
        <w:tab/>
        <w:t>A vessel for which there has been paid an annual amount for short term use of a service wharf or jetty at one of the specified places in a Schedule, may use the service wharf or jetty for up to an hour in a day at any of the other specified places.</w:t>
      </w:r>
    </w:p>
    <w:p>
      <w:pPr>
        <w:pStyle w:val="ySubsection"/>
      </w:pPr>
      <w:r>
        <w:tab/>
        <w:t>(2)</w:t>
      </w:r>
      <w:r>
        <w:tab/>
        <w:t>A vessel for which there has been paid an amount to the Department for annual use of a pen, alongside berth or mooring at a specified place in a Schedule, may use the service wharf or jetty for up to an hour in a day at any of the other specified places.</w:t>
      </w:r>
    </w:p>
    <w:p>
      <w:pPr>
        <w:pStyle w:val="yFootnotesection"/>
      </w:pPr>
      <w:r>
        <w:tab/>
        <w:t>[Clause 1C inserted in Gazette 22 Jul 2015 p. 2991.]</w:t>
      </w:r>
    </w:p>
    <w:p>
      <w:pPr>
        <w:pStyle w:val="yHeading5"/>
      </w:pPr>
      <w:bookmarkStart w:id="379" w:name="_Toc455151602"/>
      <w:r>
        <w:rPr>
          <w:rStyle w:val="CharSClsNo"/>
        </w:rPr>
        <w:t>1D</w:t>
      </w:r>
      <w:r>
        <w:t>.</w:t>
      </w:r>
      <w:r>
        <w:tab/>
        <w:t>Service wharf or jetty entitlements</w:t>
      </w:r>
      <w:bookmarkEnd w:id="379"/>
    </w:p>
    <w:p>
      <w:pPr>
        <w:pStyle w:val="ySubsection"/>
      </w:pPr>
      <w:r>
        <w:tab/>
      </w:r>
      <w:r>
        <w:tab/>
        <w:t>A vessel for which there has been paid an amount to the Department for use of a pen, alongside berth or mooring at a specified place in a Schedule may have access to the service wharf or jetty for up to an hour in a day for the duration of that stay at that specified place.</w:t>
      </w:r>
    </w:p>
    <w:p>
      <w:pPr>
        <w:pStyle w:val="yFootnotesection"/>
      </w:pPr>
      <w:r>
        <w:tab/>
        <w:t>[Clause 1D inserted in Gazette 22 Jul 2015 p. 2991.]</w:t>
      </w:r>
    </w:p>
    <w:p>
      <w:pPr>
        <w:pStyle w:val="yHeading5"/>
      </w:pPr>
      <w:bookmarkStart w:id="380" w:name="_Toc455151603"/>
      <w:bookmarkStart w:id="381" w:name="_Toc440457158"/>
      <w:bookmarkStart w:id="382" w:name="_Toc443638851"/>
      <w:r>
        <w:rPr>
          <w:rStyle w:val="CharSClsNo"/>
        </w:rPr>
        <w:t>1E</w:t>
      </w:r>
      <w:r>
        <w:t>.</w:t>
      </w:r>
      <w:r>
        <w:tab/>
        <w:t>Active loading and unloading</w:t>
      </w:r>
      <w:bookmarkEnd w:id="380"/>
    </w:p>
    <w:p>
      <w:pPr>
        <w:pStyle w:val="ySubsection"/>
      </w:pPr>
      <w:r>
        <w:tab/>
      </w:r>
      <w:r>
        <w:tab/>
        <w:t xml:space="preserve">A fishing vessel for which there has been paid an amount in accordance with clause 1C or 1D may remain at a service wharf or jetty for longer than the one hour allowed under those items,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1E inserted in Gazette 5 Apr 2016 p. 1025.]</w:t>
      </w:r>
    </w:p>
    <w:p>
      <w:pPr>
        <w:pStyle w:val="yHeading5"/>
      </w:pPr>
      <w:bookmarkStart w:id="383" w:name="_Toc455151604"/>
      <w:r>
        <w:rPr>
          <w:rStyle w:val="CharSClsNo"/>
        </w:rPr>
        <w:t>1F</w:t>
      </w:r>
      <w:r>
        <w:t>.</w:t>
      </w:r>
      <w:r>
        <w:tab/>
        <w:t>Wyndham excluded</w:t>
      </w:r>
      <w:bookmarkEnd w:id="383"/>
    </w:p>
    <w:p>
      <w:pPr>
        <w:pStyle w:val="ySubsection"/>
      </w:pPr>
      <w:r>
        <w:rPr>
          <w:szCs w:val="22"/>
        </w:rPr>
        <w:tab/>
      </w:r>
      <w:r>
        <w:rPr>
          <w:szCs w:val="22"/>
        </w:rPr>
        <w:tab/>
      </w:r>
      <w:r>
        <w:t>Clauses 1B, 1C, 1D and 1E do not apply to a vessel in the Port of Wyndham.</w:t>
      </w:r>
    </w:p>
    <w:p>
      <w:pPr>
        <w:pStyle w:val="yFootnotesection"/>
      </w:pPr>
      <w:r>
        <w:tab/>
        <w:t>[Clause 1F inserted in Gazette 5 Apr 2016 p. 1025.]</w:t>
      </w:r>
    </w:p>
    <w:p>
      <w:pPr>
        <w:pStyle w:val="yHeading3"/>
      </w:pPr>
      <w:bookmarkStart w:id="384" w:name="_Toc447619999"/>
      <w:bookmarkStart w:id="385" w:name="_Toc448479861"/>
      <w:bookmarkStart w:id="386" w:name="_Toc455066801"/>
      <w:bookmarkStart w:id="387" w:name="_Toc455067005"/>
      <w:bookmarkStart w:id="388" w:name="_Toc455151605"/>
      <w:r>
        <w:rPr>
          <w:rStyle w:val="CharSDivNo"/>
        </w:rPr>
        <w:t>Division 1</w:t>
      </w:r>
      <w:r>
        <w:rPr>
          <w:b w:val="0"/>
        </w:rPr>
        <w:t> — </w:t>
      </w:r>
      <w:r>
        <w:rPr>
          <w:rStyle w:val="CharSDivText"/>
        </w:rPr>
        <w:t>Specific charges for Port of Perth jetties</w:t>
      </w:r>
      <w:bookmarkEnd w:id="381"/>
      <w:bookmarkEnd w:id="382"/>
      <w:bookmarkEnd w:id="384"/>
      <w:bookmarkEnd w:id="385"/>
      <w:bookmarkEnd w:id="386"/>
      <w:bookmarkEnd w:id="387"/>
      <w:bookmarkEnd w:id="388"/>
    </w:p>
    <w:p>
      <w:pPr>
        <w:pStyle w:val="yFootnoteheading"/>
      </w:pPr>
      <w:r>
        <w:tab/>
        <w:t>[Heading inserted in Gazette 22 Jul 2015 p. 2992.]</w:t>
      </w:r>
    </w:p>
    <w:p>
      <w:pPr>
        <w:pStyle w:val="yHeading5"/>
      </w:pPr>
      <w:bookmarkStart w:id="389" w:name="_Toc455151606"/>
      <w:r>
        <w:rPr>
          <w:rStyle w:val="CharSClsNo"/>
        </w:rPr>
        <w:t>1</w:t>
      </w:r>
      <w:r>
        <w:t>.</w:t>
      </w:r>
      <w:r>
        <w:tab/>
        <w:t xml:space="preserve">Barrack Street and </w:t>
      </w:r>
      <w:smartTag w:uri="urn:schemas-microsoft-com:office:smarttags" w:element="Street">
        <w:smartTag w:uri="urn:schemas-microsoft-com:office:smarttags" w:element="address">
          <w:r>
            <w:t>Mends Street</w:t>
          </w:r>
        </w:smartTag>
      </w:smartTag>
      <w:r>
        <w:t xml:space="preserve"> jetties</w:t>
      </w:r>
      <w:bookmarkEnd w:id="389"/>
    </w:p>
    <w:p>
      <w:pPr>
        <w:pStyle w:val="ySubsection"/>
      </w:pPr>
      <w:r>
        <w:tab/>
        <w:t>(1)</w:t>
      </w:r>
      <w:r>
        <w:tab/>
        <w:t xml:space="preserve">This clause applies to jetties at </w:t>
      </w:r>
      <w:smartTag w:uri="urn:schemas-microsoft-com:office:smarttags" w:element="Street">
        <w:smartTag w:uri="urn:schemas-microsoft-com:office:smarttags" w:element="address">
          <w:r>
            <w:t>Barrack Street</w:t>
          </w:r>
        </w:smartTag>
      </w:smartTag>
      <w:r>
        <w:t xml:space="preserve"> and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1.1.</w:t>
      </w:r>
    </w:p>
    <w:p>
      <w:pPr>
        <w:pStyle w:val="yTHeadingNAm"/>
        <w:ind w:left="993"/>
      </w:pPr>
      <w:r>
        <w:t>Table 1.1 (Jetty permits)</w:t>
      </w:r>
    </w:p>
    <w:tbl>
      <w:tblPr>
        <w:tblW w:w="6010" w:type="dxa"/>
        <w:tblInd w:w="1135" w:type="dxa"/>
        <w:tblLayout w:type="fixed"/>
        <w:tblCellMar>
          <w:top w:w="57" w:type="dxa"/>
          <w:left w:w="57" w:type="dxa"/>
          <w:right w:w="57" w:type="dxa"/>
        </w:tblCellMar>
        <w:tblLook w:val="0000" w:firstRow="0" w:lastRow="0" w:firstColumn="0" w:lastColumn="0" w:noHBand="0" w:noVBand="0"/>
      </w:tblPr>
      <w:tblGrid>
        <w:gridCol w:w="630"/>
        <w:gridCol w:w="5380"/>
      </w:tblGrid>
      <w:tr>
        <w:trPr>
          <w:cantSplit/>
          <w:tblHeader/>
        </w:trPr>
        <w:tc>
          <w:tcPr>
            <w:tcW w:w="630" w:type="dxa"/>
            <w:tcBorders>
              <w:top w:val="single" w:sz="4" w:space="0" w:color="auto"/>
              <w:bottom w:val="single" w:sz="4" w:space="0" w:color="auto"/>
            </w:tcBorders>
          </w:tcPr>
          <w:p>
            <w:pPr>
              <w:pStyle w:val="yTableNAm"/>
            </w:pPr>
            <w:r>
              <w:rPr>
                <w:b/>
              </w:rPr>
              <w:t>Item</w:t>
            </w:r>
          </w:p>
        </w:tc>
        <w:tc>
          <w:tcPr>
            <w:tcW w:w="5380" w:type="dxa"/>
            <w:tcBorders>
              <w:top w:val="single" w:sz="4" w:space="0" w:color="auto"/>
              <w:bottom w:val="single" w:sz="4" w:space="0" w:color="auto"/>
            </w:tcBorders>
          </w:tcPr>
          <w:p>
            <w:pPr>
              <w:pStyle w:val="yTableNAm"/>
            </w:pPr>
            <w:r>
              <w:rPr>
                <w:b/>
              </w:rPr>
              <w:t>Service and charge</w:t>
            </w:r>
          </w:p>
        </w:tc>
      </w:tr>
      <w:tr>
        <w:trPr>
          <w:cantSplit/>
        </w:trPr>
        <w:tc>
          <w:tcPr>
            <w:tcW w:w="630" w:type="dxa"/>
          </w:tcPr>
          <w:p>
            <w:pPr>
              <w:pStyle w:val="yTableNAm"/>
            </w:pPr>
            <w:r>
              <w:t>1.</w:t>
            </w:r>
          </w:p>
        </w:tc>
        <w:tc>
          <w:tcPr>
            <w:tcW w:w="5380" w:type="dxa"/>
          </w:tcPr>
          <w:p>
            <w:pPr>
              <w:pStyle w:val="yTableNAm"/>
            </w:pPr>
            <w:r>
              <w:t>For a vessel for 12 months — the higher of $4 429.71 and the result of the following calculation —</w:t>
            </w:r>
          </w:p>
        </w:tc>
      </w:tr>
      <w:tr>
        <w:trPr>
          <w:cantSplit/>
        </w:trPr>
        <w:tc>
          <w:tcPr>
            <w:tcW w:w="630" w:type="dxa"/>
          </w:tcPr>
          <w:p>
            <w:pPr>
              <w:pStyle w:val="zyTableNAm"/>
            </w:pPr>
          </w:p>
        </w:tc>
        <w:tc>
          <w:tcPr>
            <w:tcW w:w="5380" w:type="dxa"/>
          </w:tcPr>
          <w:p>
            <w:pPr>
              <w:pStyle w:val="yTableNAm"/>
              <w:tabs>
                <w:tab w:val="clear" w:pos="567"/>
              </w:tabs>
              <w:ind w:left="226" w:hanging="226"/>
            </w:pPr>
            <w:r>
              <w:t>•</w:t>
            </w:r>
            <w:r>
              <w:tab/>
              <w:t>$62.01 per passenger calculated on the vessel’s passenger carrying capacity under its highest class of survey</w:t>
            </w:r>
          </w:p>
        </w:tc>
      </w:tr>
      <w:tr>
        <w:trPr>
          <w:cantSplit/>
        </w:trPr>
        <w:tc>
          <w:tcPr>
            <w:tcW w:w="630" w:type="dxa"/>
          </w:tcPr>
          <w:p>
            <w:pPr>
              <w:pStyle w:val="zyTableNAm"/>
            </w:pPr>
          </w:p>
        </w:tc>
        <w:tc>
          <w:tcPr>
            <w:tcW w:w="5380" w:type="dxa"/>
          </w:tcPr>
          <w:p>
            <w:pPr>
              <w:pStyle w:val="yTableNAm"/>
              <w:tabs>
                <w:tab w:val="clear" w:pos="567"/>
              </w:tabs>
              <w:ind w:left="226" w:hanging="226"/>
            </w:pPr>
            <w:r>
              <w:t>•</w:t>
            </w:r>
            <w:r>
              <w:tab/>
              <w:t>plus —</w:t>
            </w:r>
          </w:p>
        </w:tc>
      </w:tr>
      <w:tr>
        <w:trPr>
          <w:cantSplit/>
        </w:trPr>
        <w:tc>
          <w:tcPr>
            <w:tcW w:w="630" w:type="dxa"/>
          </w:tcPr>
          <w:p>
            <w:pPr>
              <w:pStyle w:val="zyTableNAm"/>
            </w:pPr>
          </w:p>
        </w:tc>
        <w:tc>
          <w:tcPr>
            <w:tcW w:w="5380" w:type="dxa"/>
          </w:tcPr>
          <w:p>
            <w:pPr>
              <w:pStyle w:val="yTableNAm"/>
              <w:tabs>
                <w:tab w:val="clear" w:pos="567"/>
              </w:tabs>
              <w:ind w:left="787" w:hanging="284"/>
            </w:pPr>
            <w:r>
              <w:t>•</w:t>
            </w:r>
            <w:r>
              <w:tab/>
              <w:t>for a vessel up to 35 m long, the higher of $7 973.45 and $442.97 per metre of the vessel’s length; or</w:t>
            </w:r>
          </w:p>
        </w:tc>
      </w:tr>
      <w:tr>
        <w:trPr>
          <w:cantSplit/>
        </w:trPr>
        <w:tc>
          <w:tcPr>
            <w:tcW w:w="630" w:type="dxa"/>
          </w:tcPr>
          <w:p>
            <w:pPr>
              <w:pStyle w:val="zyTableNAm"/>
            </w:pPr>
          </w:p>
        </w:tc>
        <w:tc>
          <w:tcPr>
            <w:tcW w:w="5380" w:type="dxa"/>
          </w:tcPr>
          <w:p>
            <w:pPr>
              <w:pStyle w:val="yTableNAm"/>
              <w:tabs>
                <w:tab w:val="clear" w:pos="567"/>
              </w:tabs>
              <w:ind w:left="787" w:hanging="284"/>
            </w:pPr>
            <w:r>
              <w:t>•</w:t>
            </w:r>
            <w:r>
              <w:tab/>
              <w:t>for a vessel 35 m long or over, $708.76 per metre of the vessel’s length</w:t>
            </w:r>
          </w:p>
        </w:tc>
      </w:tr>
      <w:tr>
        <w:trPr>
          <w:cantSplit/>
        </w:trPr>
        <w:tc>
          <w:tcPr>
            <w:tcW w:w="630" w:type="dxa"/>
          </w:tcPr>
          <w:p>
            <w:pPr>
              <w:pStyle w:val="zyTableNAm"/>
            </w:pPr>
          </w:p>
        </w:tc>
        <w:tc>
          <w:tcPr>
            <w:tcW w:w="5380" w:type="dxa"/>
          </w:tcPr>
          <w:p>
            <w:pPr>
              <w:pStyle w:val="yTableNAm"/>
              <w:tabs>
                <w:tab w:val="clear" w:pos="567"/>
              </w:tabs>
              <w:ind w:left="787" w:hanging="284"/>
            </w:pPr>
            <w:r>
              <w:t>•</w:t>
            </w:r>
            <w:r>
              <w:tab/>
              <w:t>minus — $6 201.61</w:t>
            </w:r>
          </w:p>
        </w:tc>
      </w:tr>
      <w:tr>
        <w:trPr>
          <w:cantSplit/>
        </w:trPr>
        <w:tc>
          <w:tcPr>
            <w:tcW w:w="630" w:type="dxa"/>
            <w:tcBorders>
              <w:bottom w:val="single" w:sz="4" w:space="0" w:color="auto"/>
            </w:tcBorders>
          </w:tcPr>
          <w:p>
            <w:pPr>
              <w:pStyle w:val="yTableNAm"/>
            </w:pPr>
            <w:r>
              <w:t>2.</w:t>
            </w:r>
          </w:p>
        </w:tc>
        <w:tc>
          <w:tcPr>
            <w:tcW w:w="5380" w:type="dxa"/>
            <w:tcBorders>
              <w:bottom w:val="single" w:sz="4" w:space="0" w:color="auto"/>
            </w:tcBorders>
          </w:tcPr>
          <w:p>
            <w:pPr>
              <w:pStyle w:val="yTableNAm"/>
            </w:pPr>
            <w:r>
              <w:t>Sullage charge for a vessel for which the item 1 charge has not been paid, per pump out — $88.60</w:t>
            </w:r>
          </w:p>
        </w:tc>
      </w:tr>
    </w:tbl>
    <w:p>
      <w:pPr>
        <w:pStyle w:val="yFootnotesection"/>
      </w:pPr>
      <w:r>
        <w:tab/>
        <w:t>[Clause 1 inserted in Gazette 22 Jul 2015 p. 2992.]</w:t>
      </w:r>
    </w:p>
    <w:p>
      <w:pPr>
        <w:pStyle w:val="yHeading5"/>
      </w:pPr>
      <w:bookmarkStart w:id="390" w:name="_Toc455151607"/>
      <w:r>
        <w:rPr>
          <w:rStyle w:val="CharSClsNo"/>
        </w:rPr>
        <w:t>2</w:t>
      </w:r>
      <w:r>
        <w:t>.</w:t>
      </w:r>
      <w:r>
        <w:tab/>
        <w:t xml:space="preserve">Other jetties in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bookmarkEnd w:id="390"/>
    </w:p>
    <w:p>
      <w:pPr>
        <w:pStyle w:val="ySubsection"/>
      </w:pPr>
      <w:r>
        <w:tab/>
        <w:t>(1)</w:t>
      </w:r>
      <w:r>
        <w:tab/>
        <w:t xml:space="preserve">This clause applies to jetties in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other than at </w:t>
      </w:r>
      <w:smartTag w:uri="urn:schemas-microsoft-com:office:smarttags" w:element="Street">
        <w:smartTag w:uri="urn:schemas-microsoft-com:office:smarttags" w:element="address">
          <w:r>
            <w:t>Barrack Street</w:t>
          </w:r>
        </w:smartTag>
      </w:smartTag>
      <w:r>
        <w:t xml:space="preserve"> or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2.1.</w:t>
      </w:r>
    </w:p>
    <w:p>
      <w:pPr>
        <w:pStyle w:val="yTHeadingNAm"/>
        <w:ind w:left="1134"/>
      </w:pPr>
      <w:r>
        <w:t>Table 2.1 (Jetty permits)</w:t>
      </w:r>
    </w:p>
    <w:tbl>
      <w:tblPr>
        <w:tblW w:w="5982" w:type="dxa"/>
        <w:tblInd w:w="1163" w:type="dxa"/>
        <w:tblLayout w:type="fixed"/>
        <w:tblCellMar>
          <w:top w:w="57" w:type="dxa"/>
          <w:left w:w="57" w:type="dxa"/>
          <w:right w:w="57" w:type="dxa"/>
        </w:tblCellMar>
        <w:tblLook w:val="0000" w:firstRow="0" w:lastRow="0" w:firstColumn="0" w:lastColumn="0" w:noHBand="0" w:noVBand="0"/>
      </w:tblPr>
      <w:tblGrid>
        <w:gridCol w:w="602"/>
        <w:gridCol w:w="4246"/>
        <w:gridCol w:w="1134"/>
      </w:tblGrid>
      <w:tr>
        <w:trPr>
          <w:cantSplit/>
          <w:tblHeader/>
        </w:trPr>
        <w:tc>
          <w:tcPr>
            <w:tcW w:w="602" w:type="dxa"/>
            <w:tcBorders>
              <w:top w:val="single" w:sz="4" w:space="0" w:color="auto"/>
              <w:bottom w:val="single" w:sz="4" w:space="0" w:color="auto"/>
            </w:tcBorders>
          </w:tcPr>
          <w:p>
            <w:pPr>
              <w:pStyle w:val="yTableNAm"/>
            </w:pPr>
            <w:r>
              <w:rPr>
                <w:b/>
              </w:rPr>
              <w:t>Item</w:t>
            </w:r>
          </w:p>
        </w:tc>
        <w:tc>
          <w:tcPr>
            <w:tcW w:w="4246"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02" w:type="dxa"/>
            <w:tcBorders>
              <w:top w:val="single" w:sz="4" w:space="0" w:color="auto"/>
              <w:bottom w:val="single" w:sz="4" w:space="0" w:color="auto"/>
            </w:tcBorders>
          </w:tcPr>
          <w:p>
            <w:pPr>
              <w:pStyle w:val="yTableNAm"/>
            </w:pPr>
            <w:r>
              <w:t>1.</w:t>
            </w:r>
          </w:p>
        </w:tc>
        <w:tc>
          <w:tcPr>
            <w:tcW w:w="4246" w:type="dxa"/>
            <w:tcBorders>
              <w:top w:val="single" w:sz="4" w:space="0" w:color="auto"/>
              <w:bottom w:val="single" w:sz="4" w:space="0" w:color="auto"/>
            </w:tcBorders>
          </w:tcPr>
          <w:p>
            <w:pPr>
              <w:pStyle w:val="yTableNAm"/>
            </w:pPr>
            <w:r>
              <w:t>For short term use by a vessel, an amount calculated using standard Rate 3</w:t>
            </w:r>
          </w:p>
        </w:tc>
        <w:tc>
          <w:tcPr>
            <w:tcW w:w="1134" w:type="dxa"/>
            <w:tcBorders>
              <w:top w:val="single" w:sz="4" w:space="0" w:color="auto"/>
              <w:bottom w:val="single" w:sz="4" w:space="0" w:color="auto"/>
            </w:tcBorders>
          </w:tcPr>
          <w:p>
            <w:pPr>
              <w:pStyle w:val="yTableNAm"/>
              <w:jc w:val="center"/>
            </w:pPr>
          </w:p>
        </w:tc>
      </w:tr>
    </w:tbl>
    <w:p>
      <w:pPr>
        <w:pStyle w:val="yFootnotesection"/>
      </w:pPr>
      <w:r>
        <w:tab/>
        <w:t>[Clause 2 inserted in Gazette 22 Jul 2015 p. 2992</w:t>
      </w:r>
      <w:r>
        <w:noBreakHyphen/>
        <w:t>3.]</w:t>
      </w:r>
    </w:p>
    <w:p>
      <w:pPr>
        <w:pStyle w:val="yHeading3"/>
      </w:pPr>
      <w:bookmarkStart w:id="391" w:name="_Toc440457161"/>
      <w:bookmarkStart w:id="392" w:name="_Toc443638854"/>
      <w:bookmarkStart w:id="393" w:name="_Toc447620002"/>
      <w:bookmarkStart w:id="394" w:name="_Toc448479864"/>
      <w:bookmarkStart w:id="395" w:name="_Toc455066804"/>
      <w:bookmarkStart w:id="396" w:name="_Toc455067008"/>
      <w:bookmarkStart w:id="397" w:name="_Toc455151608"/>
      <w:r>
        <w:rPr>
          <w:rStyle w:val="CharSDivNo"/>
        </w:rPr>
        <w:t>Division 2</w:t>
      </w:r>
      <w:r>
        <w:rPr>
          <w:b w:val="0"/>
        </w:rPr>
        <w:t> — </w:t>
      </w:r>
      <w:r>
        <w:rPr>
          <w:rStyle w:val="CharSDivText"/>
        </w:rPr>
        <w:t>Charges for boat pens</w:t>
      </w:r>
      <w:bookmarkEnd w:id="391"/>
      <w:bookmarkEnd w:id="392"/>
      <w:bookmarkEnd w:id="393"/>
      <w:bookmarkEnd w:id="394"/>
      <w:bookmarkEnd w:id="395"/>
      <w:bookmarkEnd w:id="396"/>
      <w:bookmarkEnd w:id="397"/>
    </w:p>
    <w:p>
      <w:pPr>
        <w:pStyle w:val="yFootnoteheading"/>
      </w:pPr>
      <w:r>
        <w:tab/>
        <w:t>[Heading inserted in Gazette 22 Jul 2015 p. 2993.]</w:t>
      </w:r>
    </w:p>
    <w:p>
      <w:pPr>
        <w:pStyle w:val="yHeading5"/>
      </w:pPr>
      <w:bookmarkStart w:id="398" w:name="_Toc455151609"/>
      <w:r>
        <w:rPr>
          <w:rStyle w:val="CharSClsNo"/>
        </w:rPr>
        <w:t>3</w:t>
      </w:r>
      <w:r>
        <w:t>.</w:t>
      </w:r>
      <w:r>
        <w:tab/>
        <w:t xml:space="preserve">Fremantle,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98"/>
    </w:p>
    <w:p>
      <w:pPr>
        <w:pStyle w:val="ySubsection"/>
      </w:pPr>
      <w:r>
        <w:tab/>
        <w:t>(1)</w:t>
      </w:r>
      <w:r>
        <w:tab/>
        <w:t xml:space="preserve">This clause applies to the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Fremantle.</w:t>
      </w:r>
    </w:p>
    <w:p>
      <w:pPr>
        <w:pStyle w:val="ySubsection"/>
      </w:pPr>
      <w:r>
        <w:tab/>
        <w:t>(2)</w:t>
      </w:r>
      <w:r>
        <w:tab/>
        <w:t>The charges to be paid under regulation 72 for a permit to use a boat pen are set out in Table 3.1.</w:t>
      </w:r>
    </w:p>
    <w:p>
      <w:pPr>
        <w:pStyle w:val="yTHeadingNAm"/>
        <w:ind w:left="1134"/>
      </w:pPr>
      <w:r>
        <w:t>Table 3.1 (Pen permits)</w:t>
      </w:r>
    </w:p>
    <w:tbl>
      <w:tblPr>
        <w:tblW w:w="5982" w:type="dxa"/>
        <w:tblInd w:w="1163" w:type="dxa"/>
        <w:tblLayout w:type="fixed"/>
        <w:tblCellMar>
          <w:top w:w="57" w:type="dxa"/>
          <w:left w:w="57" w:type="dxa"/>
          <w:right w:w="57" w:type="dxa"/>
        </w:tblCellMar>
        <w:tblLook w:val="0000" w:firstRow="0" w:lastRow="0" w:firstColumn="0" w:lastColumn="0" w:noHBand="0" w:noVBand="0"/>
      </w:tblPr>
      <w:tblGrid>
        <w:gridCol w:w="630"/>
        <w:gridCol w:w="4218"/>
        <w:gridCol w:w="1134"/>
      </w:tblGrid>
      <w:tr>
        <w:trPr>
          <w:cantSplit/>
          <w:tblHeader/>
        </w:trPr>
        <w:tc>
          <w:tcPr>
            <w:tcW w:w="630" w:type="dxa"/>
            <w:tcBorders>
              <w:top w:val="single" w:sz="4" w:space="0" w:color="auto"/>
              <w:bottom w:val="single" w:sz="4" w:space="0" w:color="auto"/>
            </w:tcBorders>
          </w:tcPr>
          <w:p>
            <w:pPr>
              <w:pStyle w:val="yTableNAm"/>
            </w:pPr>
            <w:r>
              <w:rPr>
                <w:b/>
              </w:rPr>
              <w:t>Item</w:t>
            </w:r>
          </w:p>
        </w:tc>
        <w:tc>
          <w:tcPr>
            <w:tcW w:w="4218"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218" w:type="dxa"/>
          </w:tcPr>
          <w:p>
            <w:pPr>
              <w:pStyle w:val="yTableNAm"/>
            </w:pPr>
            <w:r>
              <w:t>For the use of a pen with a walkway, an amount calculated per metre of the pen’s length using the annual rate of</w:t>
            </w:r>
          </w:p>
        </w:tc>
        <w:tc>
          <w:tcPr>
            <w:tcW w:w="1134" w:type="dxa"/>
          </w:tcPr>
          <w:p>
            <w:pPr>
              <w:pStyle w:val="yTableNAm"/>
              <w:jc w:val="center"/>
            </w:pPr>
            <w:r>
              <w:br/>
            </w:r>
            <w:r>
              <w:br/>
            </w:r>
            <w:r>
              <w:rPr>
                <w:szCs w:val="22"/>
              </w:rPr>
              <w:t>599.50</w:t>
            </w:r>
          </w:p>
        </w:tc>
      </w:tr>
      <w:tr>
        <w:trPr>
          <w:cantSplit/>
        </w:trPr>
        <w:tc>
          <w:tcPr>
            <w:tcW w:w="630" w:type="dxa"/>
          </w:tcPr>
          <w:p>
            <w:pPr>
              <w:pStyle w:val="yTableNAm"/>
            </w:pPr>
            <w:r>
              <w:t>2.</w:t>
            </w:r>
          </w:p>
        </w:tc>
        <w:tc>
          <w:tcPr>
            <w:tcW w:w="4218" w:type="dxa"/>
          </w:tcPr>
          <w:p>
            <w:pPr>
              <w:pStyle w:val="yTableNAm"/>
            </w:pPr>
            <w:r>
              <w:t>For the use of a pen without a walkway, an amount calculated per metre of the pen’s length using the annual rate of</w:t>
            </w:r>
          </w:p>
        </w:tc>
        <w:tc>
          <w:tcPr>
            <w:tcW w:w="1134" w:type="dxa"/>
          </w:tcPr>
          <w:p>
            <w:pPr>
              <w:pStyle w:val="yTableNAm"/>
              <w:jc w:val="center"/>
            </w:pPr>
            <w:r>
              <w:br/>
            </w:r>
            <w:r>
              <w:br/>
            </w:r>
            <w:r>
              <w:rPr>
                <w:szCs w:val="22"/>
              </w:rPr>
              <w:t>539.00</w:t>
            </w:r>
          </w:p>
        </w:tc>
      </w:tr>
      <w:tr>
        <w:trPr>
          <w:cantSplit/>
        </w:trPr>
        <w:tc>
          <w:tcPr>
            <w:tcW w:w="630" w:type="dxa"/>
          </w:tcPr>
          <w:p>
            <w:pPr>
              <w:pStyle w:val="yTableNAm"/>
            </w:pPr>
            <w:r>
              <w:t>3.</w:t>
            </w:r>
          </w:p>
        </w:tc>
        <w:tc>
          <w:tcPr>
            <w:tcW w:w="4218" w:type="dxa"/>
          </w:tcPr>
          <w:p>
            <w:pPr>
              <w:pStyle w:val="yTableNAm"/>
            </w:pPr>
            <w:r>
              <w:t>For the use of an alongside berth, an amount calculated per metre of the vessel’s length using the annual rate of</w:t>
            </w:r>
          </w:p>
        </w:tc>
        <w:tc>
          <w:tcPr>
            <w:tcW w:w="1134" w:type="dxa"/>
          </w:tcPr>
          <w:p>
            <w:pPr>
              <w:pStyle w:val="yTableNAm"/>
              <w:jc w:val="center"/>
            </w:pPr>
            <w:r>
              <w:br/>
            </w:r>
            <w:r>
              <w:br/>
            </w:r>
            <w:r>
              <w:rPr>
                <w:szCs w:val="22"/>
              </w:rPr>
              <w:t>599.50</w:t>
            </w:r>
          </w:p>
        </w:tc>
      </w:tr>
      <w:tr>
        <w:trPr>
          <w:cantSplit/>
        </w:trPr>
        <w:tc>
          <w:tcPr>
            <w:tcW w:w="630" w:type="dxa"/>
            <w:tcBorders>
              <w:bottom w:val="single" w:sz="4" w:space="0" w:color="auto"/>
            </w:tcBorders>
          </w:tcPr>
          <w:p>
            <w:pPr>
              <w:pStyle w:val="yTableNAm"/>
            </w:pPr>
            <w:r>
              <w:t>4.</w:t>
            </w:r>
          </w:p>
        </w:tc>
        <w:tc>
          <w:tcPr>
            <w:tcW w:w="4218" w:type="dxa"/>
            <w:tcBorders>
              <w:bottom w:val="single" w:sz="4" w:space="0" w:color="auto"/>
            </w:tcBorders>
          </w:tcPr>
          <w:p>
            <w:pPr>
              <w:pStyle w:val="yTableNAm"/>
            </w:pPr>
            <w:r>
              <w:t>For the casual daily use of a pen or alongside berth by a recreational vessel, an amount calculated using standard Rate 2</w:t>
            </w:r>
          </w:p>
        </w:tc>
        <w:tc>
          <w:tcPr>
            <w:tcW w:w="1134" w:type="dxa"/>
            <w:tcBorders>
              <w:bottom w:val="single" w:sz="4" w:space="0" w:color="auto"/>
            </w:tcBorders>
          </w:tcPr>
          <w:p>
            <w:pPr>
              <w:pStyle w:val="yTableNAm"/>
              <w:jc w:val="center"/>
            </w:pPr>
          </w:p>
        </w:tc>
      </w:tr>
    </w:tbl>
    <w:p>
      <w:pPr>
        <w:pStyle w:val="yFootnotesection"/>
      </w:pPr>
      <w:r>
        <w:tab/>
        <w:t>[Clause 3 inserted in Gazette 22 Jul 2015 p. 2993; amended in Gazette 15 Apr 2016 p. 1181.]</w:t>
      </w:r>
    </w:p>
    <w:p>
      <w:pPr>
        <w:pStyle w:val="yHeading5"/>
      </w:pPr>
      <w:bookmarkStart w:id="399" w:name="_Toc455151610"/>
      <w:r>
        <w:rPr>
          <w:rStyle w:val="CharSClsNo"/>
        </w:rPr>
        <w:t>4</w:t>
      </w:r>
      <w:r>
        <w:t>.</w:t>
      </w:r>
      <w:r>
        <w:tab/>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99"/>
    </w:p>
    <w:p>
      <w:pPr>
        <w:pStyle w:val="ySubsection"/>
      </w:pPr>
      <w:r>
        <w:tab/>
        <w:t>(1)</w:t>
      </w:r>
      <w:r>
        <w:tab/>
        <w:t xml:space="preserve">This clause applies to the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charges to be paid under regulation 72 for a permit to use a jetty or boat pen are set out in Table 4.1.</w:t>
      </w:r>
    </w:p>
    <w:p>
      <w:pPr>
        <w:pStyle w:val="yTHeadingNAm"/>
        <w:ind w:left="1134"/>
      </w:pPr>
      <w:r>
        <w:t>Table 4.1 (Jetty and pen permits)</w:t>
      </w:r>
    </w:p>
    <w:tbl>
      <w:tblPr>
        <w:tblW w:w="0" w:type="auto"/>
        <w:tblInd w:w="1191" w:type="dxa"/>
        <w:tblLayout w:type="fixed"/>
        <w:tblCellMar>
          <w:top w:w="57" w:type="dxa"/>
          <w:left w:w="57" w:type="dxa"/>
          <w:right w:w="57" w:type="dxa"/>
        </w:tblCellMar>
        <w:tblLook w:val="0000" w:firstRow="0" w:lastRow="0" w:firstColumn="0" w:lastColumn="0" w:noHBand="0" w:noVBand="0"/>
      </w:tblPr>
      <w:tblGrid>
        <w:gridCol w:w="630"/>
        <w:gridCol w:w="4190"/>
        <w:gridCol w:w="1134"/>
      </w:tblGrid>
      <w:tr>
        <w:trPr>
          <w:tblHeader/>
        </w:trPr>
        <w:tc>
          <w:tcPr>
            <w:tcW w:w="630" w:type="dxa"/>
            <w:tcBorders>
              <w:top w:val="single" w:sz="4" w:space="0" w:color="auto"/>
              <w:bottom w:val="single" w:sz="4" w:space="0" w:color="auto"/>
            </w:tcBorders>
          </w:tcPr>
          <w:p>
            <w:pPr>
              <w:pStyle w:val="yTableNAm"/>
            </w:pPr>
            <w:r>
              <w:rPr>
                <w:b/>
              </w:rPr>
              <w:t>Item</w:t>
            </w:r>
          </w:p>
        </w:tc>
        <w:tc>
          <w:tcPr>
            <w:tcW w:w="4190"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30" w:type="dxa"/>
            <w:tcBorders>
              <w:top w:val="single" w:sz="4" w:space="0" w:color="auto"/>
            </w:tcBorders>
          </w:tcPr>
          <w:p>
            <w:pPr>
              <w:pStyle w:val="yTableNAm"/>
            </w:pPr>
            <w:r>
              <w:t>1.</w:t>
            </w:r>
          </w:p>
        </w:tc>
        <w:tc>
          <w:tcPr>
            <w:tcW w:w="4190" w:type="dxa"/>
            <w:tcBorders>
              <w:top w:val="single" w:sz="4" w:space="0" w:color="auto"/>
            </w:tcBorders>
          </w:tcPr>
          <w:p>
            <w:pPr>
              <w:pStyle w:val="yTableNAm"/>
            </w:pPr>
            <w:r>
              <w:t>For the use, other than casual daily use, of a pen, an amount calculated per metre of the pen’s length using the annual rate of</w:t>
            </w:r>
          </w:p>
        </w:tc>
        <w:tc>
          <w:tcPr>
            <w:tcW w:w="1134" w:type="dxa"/>
            <w:tcBorders>
              <w:top w:val="single" w:sz="4" w:space="0" w:color="auto"/>
            </w:tcBorders>
          </w:tcPr>
          <w:p>
            <w:pPr>
              <w:pStyle w:val="yTableNAm"/>
              <w:jc w:val="center"/>
            </w:pPr>
            <w:r>
              <w:br/>
            </w:r>
            <w:r>
              <w:rPr>
                <w:szCs w:val="24"/>
              </w:rPr>
              <w:br/>
            </w:r>
            <w:r>
              <w:rPr>
                <w:szCs w:val="22"/>
              </w:rPr>
              <w:t>548.90</w:t>
            </w:r>
          </w:p>
        </w:tc>
      </w:tr>
      <w:tr>
        <w:trPr>
          <w:cantSplit/>
        </w:trPr>
        <w:tc>
          <w:tcPr>
            <w:tcW w:w="630" w:type="dxa"/>
          </w:tcPr>
          <w:p>
            <w:pPr>
              <w:pStyle w:val="yTableNAm"/>
            </w:pPr>
            <w:r>
              <w:t>2.</w:t>
            </w:r>
          </w:p>
        </w:tc>
        <w:tc>
          <w:tcPr>
            <w:tcW w:w="4190" w:type="dxa"/>
          </w:tcPr>
          <w:p>
            <w:pPr>
              <w:pStyle w:val="yTableNAm"/>
            </w:pPr>
            <w:r>
              <w:t>For the use, other than casual daily use, of an alongside berth, an amount calculated per metre of the vessel’s length using the annual rate of</w:t>
            </w:r>
          </w:p>
        </w:tc>
        <w:tc>
          <w:tcPr>
            <w:tcW w:w="1134" w:type="dxa"/>
          </w:tcPr>
          <w:p>
            <w:pPr>
              <w:pStyle w:val="yTableNAm"/>
              <w:jc w:val="center"/>
            </w:pPr>
            <w:r>
              <w:br/>
            </w:r>
            <w:r>
              <w:br/>
            </w:r>
            <w:r>
              <w:rPr>
                <w:szCs w:val="24"/>
              </w:rPr>
              <w:br/>
            </w:r>
            <w:r>
              <w:rPr>
                <w:szCs w:val="22"/>
              </w:rPr>
              <w:t>548.90</w:t>
            </w:r>
          </w:p>
        </w:tc>
      </w:tr>
      <w:tr>
        <w:trPr>
          <w:cantSplit/>
        </w:trPr>
        <w:tc>
          <w:tcPr>
            <w:tcW w:w="630" w:type="dxa"/>
          </w:tcPr>
          <w:p>
            <w:pPr>
              <w:pStyle w:val="yTableNAm"/>
            </w:pPr>
            <w:r>
              <w:t>3.</w:t>
            </w:r>
          </w:p>
        </w:tc>
        <w:tc>
          <w:tcPr>
            <w:tcW w:w="4190" w:type="dxa"/>
          </w:tcPr>
          <w:p>
            <w:pPr>
              <w:pStyle w:val="yTableNAm"/>
            </w:pPr>
            <w:r>
              <w:t xml:space="preserve">For the casual daily use of a pen or an alongside berth — </w:t>
            </w:r>
          </w:p>
        </w:tc>
        <w:tc>
          <w:tcPr>
            <w:tcW w:w="1134" w:type="dxa"/>
          </w:tcPr>
          <w:p>
            <w:pPr>
              <w:pStyle w:val="yTableNAm"/>
              <w:jc w:val="center"/>
            </w:pPr>
          </w:p>
        </w:tc>
      </w:tr>
      <w:tr>
        <w:trPr>
          <w:cantSplit/>
        </w:trPr>
        <w:tc>
          <w:tcPr>
            <w:tcW w:w="630" w:type="dxa"/>
          </w:tcPr>
          <w:p>
            <w:pPr>
              <w:pStyle w:val="zyTableNAm"/>
            </w:pPr>
          </w:p>
        </w:tc>
        <w:tc>
          <w:tcPr>
            <w:tcW w:w="4190" w:type="dxa"/>
          </w:tcPr>
          <w:p>
            <w:pPr>
              <w:pStyle w:val="yTableNAm"/>
              <w:tabs>
                <w:tab w:val="clear" w:pos="567"/>
              </w:tabs>
              <w:ind w:left="226" w:hanging="226"/>
            </w:pPr>
            <w:r>
              <w:t>•</w:t>
            </w:r>
            <w:r>
              <w:tab/>
              <w:t>by a commercial vessel, an amount calculated using standard Rate 1</w:t>
            </w:r>
          </w:p>
        </w:tc>
        <w:tc>
          <w:tcPr>
            <w:tcW w:w="1134" w:type="dxa"/>
          </w:tcPr>
          <w:p>
            <w:pPr>
              <w:pStyle w:val="yTableNAm"/>
              <w:jc w:val="center"/>
            </w:pPr>
          </w:p>
        </w:tc>
      </w:tr>
      <w:tr>
        <w:trPr>
          <w:cantSplit/>
        </w:trPr>
        <w:tc>
          <w:tcPr>
            <w:tcW w:w="630" w:type="dxa"/>
          </w:tcPr>
          <w:p>
            <w:pPr>
              <w:pStyle w:val="zyTableNAm"/>
            </w:pPr>
          </w:p>
        </w:tc>
        <w:tc>
          <w:tcPr>
            <w:tcW w:w="4190" w:type="dxa"/>
          </w:tcPr>
          <w:p>
            <w:pPr>
              <w:pStyle w:val="yTableNAm"/>
              <w:tabs>
                <w:tab w:val="clear" w:pos="567"/>
              </w:tabs>
              <w:ind w:left="226" w:hanging="226"/>
            </w:pPr>
            <w:r>
              <w:t>•</w:t>
            </w:r>
            <w:r>
              <w:tab/>
              <w:t>by a recreational vessel, an amount calculated using standard Rate 2</w:t>
            </w:r>
          </w:p>
        </w:tc>
        <w:tc>
          <w:tcPr>
            <w:tcW w:w="1134" w:type="dxa"/>
          </w:tcPr>
          <w:p>
            <w:pPr>
              <w:pStyle w:val="yTableNAm"/>
              <w:jc w:val="center"/>
            </w:pPr>
          </w:p>
        </w:tc>
      </w:tr>
      <w:tr>
        <w:trPr>
          <w:cantSplit/>
        </w:trPr>
        <w:tc>
          <w:tcPr>
            <w:tcW w:w="630" w:type="dxa"/>
            <w:tcBorders>
              <w:bottom w:val="single" w:sz="4" w:space="0" w:color="auto"/>
            </w:tcBorders>
          </w:tcPr>
          <w:p>
            <w:pPr>
              <w:pStyle w:val="yTableNAm"/>
            </w:pPr>
            <w:r>
              <w:t>4.</w:t>
            </w:r>
          </w:p>
        </w:tc>
        <w:tc>
          <w:tcPr>
            <w:tcW w:w="4190" w:type="dxa"/>
            <w:tcBorders>
              <w:bottom w:val="single" w:sz="4" w:space="0" w:color="auto"/>
            </w:tcBorders>
          </w:tcPr>
          <w:p>
            <w:pPr>
              <w:pStyle w:val="yTableNAm"/>
            </w:pPr>
            <w:r>
              <w:t>For the short term use of the service jetty by a vessel, an amount calculated using standard Rate 3</w:t>
            </w:r>
          </w:p>
        </w:tc>
        <w:tc>
          <w:tcPr>
            <w:tcW w:w="1134" w:type="dxa"/>
            <w:tcBorders>
              <w:bottom w:val="single" w:sz="4" w:space="0" w:color="auto"/>
            </w:tcBorders>
          </w:tcPr>
          <w:p>
            <w:pPr>
              <w:pStyle w:val="yTableNAm"/>
              <w:jc w:val="center"/>
            </w:pPr>
          </w:p>
        </w:tc>
      </w:tr>
    </w:tbl>
    <w:p>
      <w:pPr>
        <w:pStyle w:val="yFootnotesection"/>
      </w:pPr>
      <w:r>
        <w:tab/>
        <w:t>[Clause 4 inserted in Gazette 22 Jul 2015 p. 2994; amended in Gazette 15 Apr 2016 p. 1181.]</w:t>
      </w:r>
    </w:p>
    <w:p>
      <w:pPr>
        <w:pStyle w:val="yHeading5"/>
      </w:pPr>
      <w:bookmarkStart w:id="400" w:name="_Toc455151611"/>
      <w:r>
        <w:rPr>
          <w:rStyle w:val="CharSClsNo"/>
        </w:rPr>
        <w:t>5</w:t>
      </w:r>
      <w:r>
        <w:t>.</w:t>
      </w:r>
      <w:r>
        <w:tab/>
        <w:t>Jervoise Bay</w:t>
      </w:r>
      <w:bookmarkEnd w:id="400"/>
    </w:p>
    <w:p>
      <w:pPr>
        <w:pStyle w:val="ySubsection"/>
      </w:pPr>
      <w:r>
        <w:tab/>
        <w:t>(1)</w:t>
      </w:r>
      <w:r>
        <w:tab/>
        <w:t>This clause applies to the Jervoise Bay.</w:t>
      </w:r>
    </w:p>
    <w:p>
      <w:pPr>
        <w:pStyle w:val="ySubsection"/>
      </w:pPr>
      <w:r>
        <w:tab/>
        <w:t>(2)</w:t>
      </w:r>
      <w:r>
        <w:tab/>
        <w:t>The dues and charges to be paid under these regulations are set out in Table 5.1.</w:t>
      </w:r>
    </w:p>
    <w:p>
      <w:pPr>
        <w:pStyle w:val="yTHeadingNAm"/>
        <w:ind w:left="1134"/>
      </w:pPr>
      <w:r>
        <w:t>Table 5.1 (Mooring use)</w:t>
      </w:r>
    </w:p>
    <w:tbl>
      <w:tblPr>
        <w:tblW w:w="5912" w:type="dxa"/>
        <w:tblInd w:w="1233" w:type="dxa"/>
        <w:tblLayout w:type="fixed"/>
        <w:tblCellMar>
          <w:top w:w="57" w:type="dxa"/>
          <w:left w:w="57" w:type="dxa"/>
          <w:right w:w="57" w:type="dxa"/>
        </w:tblCellMar>
        <w:tblLook w:val="0000" w:firstRow="0" w:lastRow="0" w:firstColumn="0" w:lastColumn="0" w:noHBand="0" w:noVBand="0"/>
      </w:tblPr>
      <w:tblGrid>
        <w:gridCol w:w="588"/>
        <w:gridCol w:w="4190"/>
        <w:gridCol w:w="1134"/>
      </w:tblGrid>
      <w:tr>
        <w:trPr>
          <w:cantSplit/>
          <w:tblHeader/>
        </w:trPr>
        <w:tc>
          <w:tcPr>
            <w:tcW w:w="588" w:type="dxa"/>
            <w:tcBorders>
              <w:top w:val="single" w:sz="4" w:space="0" w:color="auto"/>
              <w:bottom w:val="single" w:sz="4" w:space="0" w:color="auto"/>
            </w:tcBorders>
          </w:tcPr>
          <w:p>
            <w:pPr>
              <w:pStyle w:val="yTableNAm"/>
            </w:pPr>
            <w:r>
              <w:rPr>
                <w:b/>
              </w:rPr>
              <w:t>Item</w:t>
            </w:r>
          </w:p>
        </w:tc>
        <w:tc>
          <w:tcPr>
            <w:tcW w:w="4190"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588" w:type="dxa"/>
          </w:tcPr>
          <w:p>
            <w:pPr>
              <w:pStyle w:val="yTableNAm"/>
            </w:pPr>
            <w:r>
              <w:t>1.</w:t>
            </w:r>
          </w:p>
        </w:tc>
        <w:tc>
          <w:tcPr>
            <w:tcW w:w="4190" w:type="dxa"/>
          </w:tcPr>
          <w:p>
            <w:pPr>
              <w:pStyle w:val="yTableNAm"/>
            </w:pPr>
            <w:r>
              <w:t>For the use, other than casual daily use, of a piled mooring, an amount calculated per metre of the vessel’s length using the annual rate of</w:t>
            </w:r>
          </w:p>
        </w:tc>
        <w:tc>
          <w:tcPr>
            <w:tcW w:w="1134" w:type="dxa"/>
          </w:tcPr>
          <w:p>
            <w:pPr>
              <w:pStyle w:val="yTableNAm"/>
              <w:jc w:val="center"/>
            </w:pPr>
            <w:r>
              <w:br/>
            </w:r>
            <w:r>
              <w:br/>
            </w:r>
            <w:r>
              <w:br/>
            </w:r>
            <w:r>
              <w:rPr>
                <w:szCs w:val="22"/>
              </w:rPr>
              <w:t>169.40</w:t>
            </w:r>
          </w:p>
        </w:tc>
      </w:tr>
      <w:tr>
        <w:trPr>
          <w:cantSplit/>
        </w:trPr>
        <w:tc>
          <w:tcPr>
            <w:tcW w:w="588" w:type="dxa"/>
          </w:tcPr>
          <w:p>
            <w:pPr>
              <w:pStyle w:val="yTableNAm"/>
            </w:pPr>
            <w:r>
              <w:t>2.</w:t>
            </w:r>
          </w:p>
        </w:tc>
        <w:tc>
          <w:tcPr>
            <w:tcW w:w="4190" w:type="dxa"/>
          </w:tcPr>
          <w:p>
            <w:pPr>
              <w:pStyle w:val="yTableNAm"/>
            </w:pPr>
            <w:r>
              <w:t>For the casual daily use of a piled mooring by a commercial vessel, an amount calculated using standard Rate 1</w:t>
            </w:r>
          </w:p>
        </w:tc>
        <w:tc>
          <w:tcPr>
            <w:tcW w:w="1134" w:type="dxa"/>
          </w:tcPr>
          <w:p>
            <w:pPr>
              <w:pStyle w:val="yTableNAm"/>
              <w:jc w:val="center"/>
            </w:pPr>
            <w:r>
              <w:br/>
            </w:r>
            <w:r>
              <w:br/>
            </w:r>
          </w:p>
        </w:tc>
      </w:tr>
      <w:tr>
        <w:trPr>
          <w:cantSplit/>
        </w:trPr>
        <w:tc>
          <w:tcPr>
            <w:tcW w:w="588" w:type="dxa"/>
            <w:tcBorders>
              <w:bottom w:val="single" w:sz="4" w:space="0" w:color="auto"/>
            </w:tcBorders>
          </w:tcPr>
          <w:p>
            <w:pPr>
              <w:pStyle w:val="yTableNAm"/>
            </w:pPr>
            <w:r>
              <w:t>3.</w:t>
            </w:r>
          </w:p>
        </w:tc>
        <w:tc>
          <w:tcPr>
            <w:tcW w:w="4190" w:type="dxa"/>
            <w:tcBorders>
              <w:bottom w:val="single" w:sz="4" w:space="0" w:color="auto"/>
            </w:tcBorders>
          </w:tcPr>
          <w:p>
            <w:pPr>
              <w:pStyle w:val="yTableNAm"/>
            </w:pPr>
            <w:r>
              <w:t>For the casual daily use of a piled mooring by a recreational vessel, an amount calculated using standard Rate 2</w:t>
            </w:r>
          </w:p>
        </w:tc>
        <w:tc>
          <w:tcPr>
            <w:tcW w:w="1134" w:type="dxa"/>
            <w:tcBorders>
              <w:bottom w:val="single" w:sz="4" w:space="0" w:color="auto"/>
            </w:tcBorders>
          </w:tcPr>
          <w:p>
            <w:pPr>
              <w:pStyle w:val="yTableNAm"/>
              <w:jc w:val="center"/>
            </w:pPr>
            <w:r>
              <w:br/>
            </w:r>
            <w:r>
              <w:br/>
            </w:r>
          </w:p>
        </w:tc>
      </w:tr>
    </w:tbl>
    <w:p>
      <w:pPr>
        <w:pStyle w:val="yFootnotesection"/>
      </w:pPr>
      <w:r>
        <w:tab/>
        <w:t>[Clause 5 inserted in Gazette 22 Jul 2015 p. 2995; amended in Gazette 15 Apr 2016 p. 1181.]</w:t>
      </w:r>
    </w:p>
    <w:p>
      <w:pPr>
        <w:tabs>
          <w:tab w:val="left" w:pos="423"/>
        </w:tabs>
        <w:ind w:left="423" w:hanging="423"/>
        <w:sectPr>
          <w:headerReference w:type="even" r:id="rId27"/>
          <w:headerReference w:type="default" r:id="rId28"/>
          <w:pgSz w:w="11907" w:h="16840" w:code="9"/>
          <w:pgMar w:top="2376" w:right="2404" w:bottom="3544" w:left="2404" w:header="709" w:footer="3380" w:gutter="0"/>
          <w:cols w:space="720"/>
          <w:noEndnote/>
          <w:docGrid w:linePitch="326"/>
        </w:sectPr>
      </w:pPr>
    </w:p>
    <w:p>
      <w:pPr>
        <w:pStyle w:val="yScheduleHeading"/>
        <w:outlineLvl w:val="0"/>
      </w:pPr>
      <w:bookmarkStart w:id="402" w:name="_Toc440457165"/>
      <w:bookmarkStart w:id="403" w:name="_Toc443638858"/>
      <w:bookmarkStart w:id="404" w:name="_Toc447620006"/>
      <w:bookmarkStart w:id="405" w:name="_Toc448479868"/>
      <w:bookmarkStart w:id="406" w:name="_Toc455066808"/>
      <w:bookmarkStart w:id="407" w:name="_Toc455067012"/>
      <w:bookmarkStart w:id="408" w:name="_Toc455151612"/>
      <w:r>
        <w:rPr>
          <w:rStyle w:val="CharSchNo"/>
        </w:rPr>
        <w:t>Schedule 3</w:t>
      </w:r>
      <w:r>
        <w:rPr>
          <w:rStyle w:val="CharSDivNo"/>
        </w:rPr>
        <w:t> </w:t>
      </w:r>
      <w:r>
        <w:t>—</w:t>
      </w:r>
      <w:r>
        <w:rPr>
          <w:rStyle w:val="CharSDivText"/>
        </w:rPr>
        <w:t> </w:t>
      </w:r>
      <w:r>
        <w:rPr>
          <w:rStyle w:val="CharSchText"/>
        </w:rPr>
        <w:t>Forms</w:t>
      </w:r>
      <w:bookmarkEnd w:id="402"/>
      <w:bookmarkEnd w:id="403"/>
      <w:bookmarkEnd w:id="404"/>
      <w:bookmarkEnd w:id="405"/>
      <w:bookmarkEnd w:id="406"/>
      <w:bookmarkEnd w:id="407"/>
      <w:bookmarkEnd w:id="408"/>
    </w:p>
    <w:p>
      <w:pPr>
        <w:pStyle w:val="yFootnoteheading"/>
      </w:pPr>
      <w:r>
        <w:tab/>
        <w:t>[Heading inserted in Gazette 24 Jun 2005 p. 2829.]</w:t>
      </w:r>
    </w:p>
    <w:p>
      <w:pPr>
        <w:pStyle w:val="yFootnotesection"/>
      </w:pPr>
      <w:r>
        <w:tab/>
        <w:t>[Forms 1 and 2 deleted in Gazette 24 Nov 1972 p. 4491.]</w:t>
      </w:r>
    </w:p>
    <w:p>
      <w:pPr>
        <w:pStyle w:val="yTable"/>
        <w:jc w:val="center"/>
        <w:outlineLvl w:val="0"/>
        <w:rPr>
          <w:b/>
        </w:rPr>
      </w:pPr>
      <w:r>
        <w:rPr>
          <w:b/>
        </w:rPr>
        <w:t>Form 3</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t>Department of Marine and Harbours</w:t>
      </w:r>
      <w:r>
        <w:rPr>
          <w:vertAlign w:val="superscript"/>
        </w:rPr>
        <w:t> 7</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snapToGrid w:val="0"/>
        </w:rPr>
        <w:t>—</w:t>
      </w:r>
      <w:r>
        <w:t xml:space="preserve"> Forward ........................... </w:t>
      </w:r>
      <w:r>
        <w:tab/>
        <w:t>........................................... metres</w:t>
      </w:r>
    </w:p>
    <w:p>
      <w:pPr>
        <w:pStyle w:val="yTable"/>
        <w:tabs>
          <w:tab w:val="left" w:pos="3686"/>
        </w:tabs>
        <w:spacing w:before="0"/>
        <w:ind w:right="8"/>
      </w:pPr>
      <w:r>
        <w:t xml:space="preserve">              </w:t>
      </w:r>
      <w:r>
        <w:rPr>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pPr>
        <w:pStyle w:val="yTable"/>
        <w:tabs>
          <w:tab w:val="left" w:pos="4253"/>
        </w:tabs>
        <w:spacing w:before="240"/>
      </w:pPr>
      <w:r>
        <w:t>Date ...................................................</w:t>
      </w:r>
      <w:r>
        <w:tab/>
        <w:t>...................................................</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 xml:space="preserve">The charge payable is $ ......................................... Details are shown on Docket No. ....................................................................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in Gazette 6 Jul 1984 p. 2029; amended in Gazette 25 Jul 2014 p. 2661.]</w:t>
      </w:r>
    </w:p>
    <w:p>
      <w:pPr>
        <w:pStyle w:val="yEdnoteschedule"/>
        <w:outlineLvl w:val="9"/>
      </w:pPr>
      <w:r>
        <w:t>[Schedule 4 deleted in Gazette 22 Jun 2007 p. 2940.]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outlineLvl w:val="0"/>
      </w:pPr>
      <w:bookmarkStart w:id="409" w:name="_Toc440457166"/>
      <w:bookmarkStart w:id="410" w:name="_Toc443638859"/>
      <w:bookmarkStart w:id="411" w:name="_Toc447620007"/>
      <w:bookmarkStart w:id="412" w:name="_Toc448479869"/>
      <w:bookmarkStart w:id="413" w:name="_Toc455066809"/>
      <w:bookmarkStart w:id="414" w:name="_Toc455067013"/>
      <w:bookmarkStart w:id="415" w:name="_Toc455151613"/>
      <w:r>
        <w:t>Notes</w:t>
      </w:r>
      <w:bookmarkEnd w:id="409"/>
      <w:bookmarkEnd w:id="410"/>
      <w:bookmarkEnd w:id="411"/>
      <w:bookmarkEnd w:id="412"/>
      <w:bookmarkEnd w:id="413"/>
      <w:bookmarkEnd w:id="414"/>
      <w:bookmarkEnd w:id="415"/>
    </w:p>
    <w:p>
      <w:pPr>
        <w:pStyle w:val="nSubsection"/>
      </w:pPr>
      <w:r>
        <w:rPr>
          <w:vertAlign w:val="superscript"/>
        </w:rPr>
        <w:t>1</w:t>
      </w:r>
      <w:r>
        <w:tab/>
        <w:t xml:space="preserve">This is a compilation of the </w:t>
      </w:r>
      <w:r>
        <w:rPr>
          <w:i/>
          <w:noProof/>
        </w:rPr>
        <w:t>Jetties Regulations 1940</w:t>
      </w:r>
      <w:r>
        <w:t xml:space="preserve"> and includes the amendments made by the other written laws referred to in the following table.  The table also contains information about any reprint.</w:t>
      </w:r>
    </w:p>
    <w:p>
      <w:pPr>
        <w:pStyle w:val="nHeading3"/>
      </w:pPr>
      <w:bookmarkStart w:id="416" w:name="_Toc455151614"/>
      <w:r>
        <w:t>Compilation table</w:t>
      </w:r>
      <w:bookmarkEnd w:id="416"/>
    </w:p>
    <w:tbl>
      <w:tblPr>
        <w:tblW w:w="0" w:type="auto"/>
        <w:tblInd w:w="56" w:type="dxa"/>
        <w:tblLayout w:type="fixed"/>
        <w:tblCellMar>
          <w:left w:w="56" w:type="dxa"/>
          <w:right w:w="56" w:type="dxa"/>
        </w:tblCellMar>
        <w:tblLook w:val="0000" w:firstRow="0" w:lastRow="0" w:firstColumn="0" w:lastColumn="0" w:noHBand="0" w:noVBand="0"/>
      </w:tblPr>
      <w:tblGrid>
        <w:gridCol w:w="3090"/>
        <w:gridCol w:w="1276"/>
        <w:gridCol w:w="2722"/>
      </w:tblGrid>
      <w:tr>
        <w:trPr>
          <w:cantSplit/>
          <w:tblHeader/>
        </w:trPr>
        <w:tc>
          <w:tcPr>
            <w:tcW w:w="3090"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090" w:type="dxa"/>
          </w:tcPr>
          <w:p>
            <w:pPr>
              <w:pStyle w:val="nTable"/>
              <w:spacing w:after="40"/>
            </w:pPr>
            <w:r>
              <w:rPr>
                <w:i/>
              </w:rPr>
              <w:t>Jetties Act Regulations 1940 </w:t>
            </w:r>
            <w:r>
              <w:rPr>
                <w:vertAlign w:val="superscript"/>
              </w:rPr>
              <w:t>9, 10</w:t>
            </w:r>
          </w:p>
        </w:tc>
        <w:tc>
          <w:tcPr>
            <w:tcW w:w="1276" w:type="dxa"/>
          </w:tcPr>
          <w:p>
            <w:pPr>
              <w:pStyle w:val="nTable"/>
              <w:spacing w:after="40"/>
            </w:pPr>
            <w:r>
              <w:t>6 Sep 1940 p. 1622</w:t>
            </w:r>
            <w:r>
              <w:noBreakHyphen/>
              <w:t xml:space="preserve">40 </w:t>
            </w:r>
          </w:p>
        </w:tc>
        <w:tc>
          <w:tcPr>
            <w:tcW w:w="2722" w:type="dxa"/>
          </w:tcPr>
          <w:p>
            <w:pPr>
              <w:pStyle w:val="nTable"/>
              <w:spacing w:after="40"/>
            </w:pPr>
            <w:r>
              <w:t xml:space="preserve">6 Sep 1940 (see direction preceding regulations in </w:t>
            </w:r>
            <w:r>
              <w:rPr>
                <w:i/>
              </w:rPr>
              <w:t>Gazette</w:t>
            </w:r>
            <w:r>
              <w:t xml:space="preserve"> 6 Sep 1940 p. 1622)</w:t>
            </w:r>
          </w:p>
        </w:tc>
      </w:tr>
      <w:tr>
        <w:trPr>
          <w:cantSplit/>
        </w:trPr>
        <w:tc>
          <w:tcPr>
            <w:tcW w:w="3090" w:type="dxa"/>
          </w:tcPr>
          <w:p>
            <w:pPr>
              <w:pStyle w:val="nTable"/>
              <w:spacing w:after="40"/>
            </w:pPr>
            <w:r>
              <w:t>Untitled regulations</w:t>
            </w:r>
          </w:p>
        </w:tc>
        <w:tc>
          <w:tcPr>
            <w:tcW w:w="1276" w:type="dxa"/>
          </w:tcPr>
          <w:p>
            <w:pPr>
              <w:pStyle w:val="nTable"/>
              <w:spacing w:after="40"/>
            </w:pPr>
            <w:r>
              <w:t>1 Aug 1941 p. 1073</w:t>
            </w:r>
          </w:p>
        </w:tc>
        <w:tc>
          <w:tcPr>
            <w:tcW w:w="2722" w:type="dxa"/>
          </w:tcPr>
          <w:p>
            <w:pPr>
              <w:pStyle w:val="nTable"/>
              <w:spacing w:after="40"/>
            </w:pPr>
            <w:r>
              <w:t>1 Aug 1941</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b/>
              </w:rPr>
            </w:pPr>
            <w:r>
              <w:t>5 Sep 1941 p. 1244</w:t>
            </w:r>
          </w:p>
        </w:tc>
        <w:tc>
          <w:tcPr>
            <w:tcW w:w="2722" w:type="dxa"/>
          </w:tcPr>
          <w:p>
            <w:pPr>
              <w:pStyle w:val="nTable"/>
              <w:spacing w:after="40"/>
            </w:pPr>
            <w:r>
              <w:t>5 Sep 1941</w:t>
            </w:r>
          </w:p>
        </w:tc>
      </w:tr>
      <w:tr>
        <w:trPr>
          <w:cantSplit/>
        </w:trPr>
        <w:tc>
          <w:tcPr>
            <w:tcW w:w="3090" w:type="dxa"/>
          </w:tcPr>
          <w:p>
            <w:pPr>
              <w:pStyle w:val="nTable"/>
              <w:spacing w:after="40"/>
            </w:pPr>
            <w:r>
              <w:t>Untitled regulations</w:t>
            </w:r>
          </w:p>
        </w:tc>
        <w:tc>
          <w:tcPr>
            <w:tcW w:w="1276" w:type="dxa"/>
          </w:tcPr>
          <w:p>
            <w:pPr>
              <w:pStyle w:val="nTable"/>
              <w:spacing w:after="40"/>
            </w:pPr>
            <w:r>
              <w:t xml:space="preserve">21 Jan 1944 p. 26 </w:t>
            </w:r>
          </w:p>
        </w:tc>
        <w:tc>
          <w:tcPr>
            <w:tcW w:w="2722" w:type="dxa"/>
          </w:tcPr>
          <w:p>
            <w:pPr>
              <w:pStyle w:val="nTable"/>
              <w:spacing w:after="40"/>
            </w:pPr>
            <w:r>
              <w:t>21 Jan 1944</w:t>
            </w:r>
          </w:p>
        </w:tc>
      </w:tr>
      <w:tr>
        <w:trPr>
          <w:cantSplit/>
        </w:trPr>
        <w:tc>
          <w:tcPr>
            <w:tcW w:w="3090" w:type="dxa"/>
          </w:tcPr>
          <w:p>
            <w:pPr>
              <w:pStyle w:val="nTable"/>
              <w:spacing w:after="40"/>
            </w:pPr>
            <w:r>
              <w:t>Untitled regulations</w:t>
            </w:r>
          </w:p>
        </w:tc>
        <w:tc>
          <w:tcPr>
            <w:tcW w:w="1276" w:type="dxa"/>
          </w:tcPr>
          <w:p>
            <w:pPr>
              <w:pStyle w:val="nTable"/>
              <w:spacing w:after="40"/>
            </w:pPr>
            <w:r>
              <w:t>10 Mar 1944 p. 154</w:t>
            </w:r>
          </w:p>
        </w:tc>
        <w:tc>
          <w:tcPr>
            <w:tcW w:w="2722" w:type="dxa"/>
          </w:tcPr>
          <w:p>
            <w:pPr>
              <w:pStyle w:val="nTable"/>
              <w:spacing w:after="40"/>
            </w:pPr>
            <w:r>
              <w:t>10 Mar 1944</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20 Oct 1944 p. 893</w:t>
            </w:r>
          </w:p>
        </w:tc>
        <w:tc>
          <w:tcPr>
            <w:tcW w:w="2722" w:type="dxa"/>
          </w:tcPr>
          <w:p>
            <w:pPr>
              <w:pStyle w:val="nTable"/>
              <w:spacing w:after="40"/>
            </w:pPr>
            <w:r>
              <w:t>20 Oct 1944</w:t>
            </w:r>
          </w:p>
        </w:tc>
      </w:tr>
      <w:tr>
        <w:trPr>
          <w:cantSplit/>
        </w:trPr>
        <w:tc>
          <w:tcPr>
            <w:tcW w:w="3090" w:type="dxa"/>
          </w:tcPr>
          <w:p>
            <w:pPr>
              <w:pStyle w:val="nTable"/>
              <w:spacing w:after="40"/>
            </w:pPr>
            <w:r>
              <w:t>Untitled regulations</w:t>
            </w:r>
          </w:p>
        </w:tc>
        <w:tc>
          <w:tcPr>
            <w:tcW w:w="1276" w:type="dxa"/>
          </w:tcPr>
          <w:p>
            <w:pPr>
              <w:pStyle w:val="nTable"/>
              <w:spacing w:after="40"/>
            </w:pPr>
            <w:r>
              <w:t>11 Jan 1946 p. 13</w:t>
            </w:r>
          </w:p>
        </w:tc>
        <w:tc>
          <w:tcPr>
            <w:tcW w:w="2722" w:type="dxa"/>
          </w:tcPr>
          <w:p>
            <w:pPr>
              <w:pStyle w:val="nTable"/>
              <w:spacing w:after="40"/>
              <w:rPr>
                <w:rFonts w:ascii="Arial" w:hAnsi="Arial"/>
              </w:rPr>
            </w:pPr>
            <w:r>
              <w:t>11 Jan 1946</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 Jan 1947</w:t>
            </w:r>
            <w:r>
              <w:br/>
              <w:t>p. 7</w:t>
            </w:r>
          </w:p>
        </w:tc>
        <w:tc>
          <w:tcPr>
            <w:tcW w:w="2722" w:type="dxa"/>
          </w:tcPr>
          <w:p>
            <w:pPr>
              <w:pStyle w:val="nTable"/>
              <w:spacing w:after="40"/>
            </w:pPr>
            <w:r>
              <w:t>3 Jan 1947</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31 Jan 1947 p. 182</w:t>
            </w:r>
          </w:p>
        </w:tc>
        <w:tc>
          <w:tcPr>
            <w:tcW w:w="2722" w:type="dxa"/>
          </w:tcPr>
          <w:p>
            <w:pPr>
              <w:pStyle w:val="nTable"/>
              <w:spacing w:after="40"/>
            </w:pPr>
            <w:r>
              <w:t>31 Jan 1947</w:t>
            </w:r>
          </w:p>
        </w:tc>
      </w:tr>
      <w:tr>
        <w:trPr>
          <w:cantSplit/>
        </w:trPr>
        <w:tc>
          <w:tcPr>
            <w:tcW w:w="3090" w:type="dxa"/>
          </w:tcPr>
          <w:p>
            <w:pPr>
              <w:pStyle w:val="nTable"/>
              <w:spacing w:after="40"/>
            </w:pPr>
            <w:r>
              <w:t>Untitled regulations</w:t>
            </w:r>
          </w:p>
        </w:tc>
        <w:tc>
          <w:tcPr>
            <w:tcW w:w="1276" w:type="dxa"/>
          </w:tcPr>
          <w:p>
            <w:pPr>
              <w:pStyle w:val="nTable"/>
              <w:spacing w:after="40"/>
            </w:pPr>
            <w:r>
              <w:t>23 May 1947 p. 885</w:t>
            </w:r>
          </w:p>
        </w:tc>
        <w:tc>
          <w:tcPr>
            <w:tcW w:w="2722" w:type="dxa"/>
          </w:tcPr>
          <w:p>
            <w:pPr>
              <w:pStyle w:val="nTable"/>
              <w:spacing w:after="40"/>
            </w:pPr>
            <w:r>
              <w:t>23 May 1947</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29 Oct 1948 p. 2579</w:t>
            </w:r>
          </w:p>
        </w:tc>
        <w:tc>
          <w:tcPr>
            <w:tcW w:w="2722" w:type="dxa"/>
          </w:tcPr>
          <w:p>
            <w:pPr>
              <w:pStyle w:val="nTable"/>
              <w:spacing w:after="40"/>
              <w:rPr>
                <w:rFonts w:ascii="Arial" w:hAnsi="Arial"/>
              </w:rPr>
            </w:pPr>
            <w:r>
              <w:t>29 Oct 1948</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31 Dec 1948 p. 3114</w:t>
            </w:r>
          </w:p>
        </w:tc>
        <w:tc>
          <w:tcPr>
            <w:tcW w:w="2722" w:type="dxa"/>
          </w:tcPr>
          <w:p>
            <w:pPr>
              <w:pStyle w:val="nTable"/>
              <w:spacing w:after="40"/>
            </w:pPr>
            <w:r>
              <w:t>31 Dec 1948</w:t>
            </w:r>
          </w:p>
        </w:tc>
      </w:tr>
      <w:tr>
        <w:trPr>
          <w:cantSplit/>
        </w:trPr>
        <w:tc>
          <w:tcPr>
            <w:tcW w:w="3090" w:type="dxa"/>
          </w:tcPr>
          <w:p>
            <w:pPr>
              <w:pStyle w:val="nTable"/>
              <w:spacing w:after="40"/>
            </w:pPr>
            <w:r>
              <w:t>Untitled regulations</w:t>
            </w:r>
          </w:p>
        </w:tc>
        <w:tc>
          <w:tcPr>
            <w:tcW w:w="1276" w:type="dxa"/>
          </w:tcPr>
          <w:p>
            <w:pPr>
              <w:pStyle w:val="nTable"/>
              <w:spacing w:after="40"/>
            </w:pPr>
            <w:r>
              <w:t>3 Nov 1950 p. 2461</w:t>
            </w:r>
          </w:p>
        </w:tc>
        <w:tc>
          <w:tcPr>
            <w:tcW w:w="2722" w:type="dxa"/>
          </w:tcPr>
          <w:p>
            <w:pPr>
              <w:pStyle w:val="nTable"/>
              <w:spacing w:after="40"/>
            </w:pPr>
            <w:r>
              <w:t>3 Nov 1950</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 Mar 1951 p. 470</w:t>
            </w:r>
          </w:p>
        </w:tc>
        <w:tc>
          <w:tcPr>
            <w:tcW w:w="2722" w:type="dxa"/>
          </w:tcPr>
          <w:p>
            <w:pPr>
              <w:pStyle w:val="nTable"/>
              <w:spacing w:after="40"/>
            </w:pPr>
            <w:r>
              <w:t>2 Mar 1951</w:t>
            </w:r>
          </w:p>
        </w:tc>
      </w:tr>
      <w:tr>
        <w:trPr>
          <w:cantSplit/>
        </w:trPr>
        <w:tc>
          <w:tcPr>
            <w:tcW w:w="3090" w:type="dxa"/>
          </w:tcPr>
          <w:p>
            <w:pPr>
              <w:pStyle w:val="nTable"/>
              <w:spacing w:after="40"/>
            </w:pPr>
            <w:r>
              <w:t>Untitled regulations</w:t>
            </w:r>
          </w:p>
        </w:tc>
        <w:tc>
          <w:tcPr>
            <w:tcW w:w="1276" w:type="dxa"/>
          </w:tcPr>
          <w:p>
            <w:pPr>
              <w:pStyle w:val="nTable"/>
              <w:spacing w:after="40"/>
            </w:pPr>
            <w:r>
              <w:t xml:space="preserve">28 Sep 1951 p. 2575 </w:t>
            </w:r>
          </w:p>
        </w:tc>
        <w:tc>
          <w:tcPr>
            <w:tcW w:w="2722" w:type="dxa"/>
          </w:tcPr>
          <w:p>
            <w:pPr>
              <w:pStyle w:val="nTable"/>
              <w:spacing w:after="40"/>
            </w:pPr>
            <w:r>
              <w:t>28 Sep 1951</w:t>
            </w:r>
          </w:p>
        </w:tc>
      </w:tr>
      <w:tr>
        <w:trPr>
          <w:cantSplit/>
        </w:trPr>
        <w:tc>
          <w:tcPr>
            <w:tcW w:w="3090" w:type="dxa"/>
          </w:tcPr>
          <w:p>
            <w:pPr>
              <w:pStyle w:val="nTable"/>
              <w:spacing w:after="40"/>
            </w:pPr>
            <w:r>
              <w:t>Untitled regulations</w:t>
            </w:r>
          </w:p>
        </w:tc>
        <w:tc>
          <w:tcPr>
            <w:tcW w:w="1276" w:type="dxa"/>
          </w:tcPr>
          <w:p>
            <w:pPr>
              <w:pStyle w:val="nTable"/>
              <w:spacing w:after="40"/>
            </w:pPr>
            <w:r>
              <w:t>2 Nov 1951 p. 3021</w:t>
            </w:r>
          </w:p>
        </w:tc>
        <w:tc>
          <w:tcPr>
            <w:tcW w:w="2722" w:type="dxa"/>
          </w:tcPr>
          <w:p>
            <w:pPr>
              <w:pStyle w:val="nTable"/>
              <w:spacing w:after="40"/>
            </w:pPr>
            <w:r>
              <w:t>2 Nov 1951</w:t>
            </w:r>
          </w:p>
        </w:tc>
      </w:tr>
      <w:tr>
        <w:trPr>
          <w:cantSplit/>
        </w:trPr>
        <w:tc>
          <w:tcPr>
            <w:tcW w:w="3090" w:type="dxa"/>
          </w:tcPr>
          <w:p>
            <w:pPr>
              <w:pStyle w:val="nTable"/>
              <w:spacing w:after="40"/>
            </w:pPr>
            <w:r>
              <w:t>Untitled regulations</w:t>
            </w:r>
          </w:p>
        </w:tc>
        <w:tc>
          <w:tcPr>
            <w:tcW w:w="1276" w:type="dxa"/>
          </w:tcPr>
          <w:p>
            <w:pPr>
              <w:pStyle w:val="nTable"/>
              <w:spacing w:after="40"/>
            </w:pPr>
            <w:r>
              <w:t>2 May 1952 p. 1106</w:t>
            </w:r>
          </w:p>
        </w:tc>
        <w:tc>
          <w:tcPr>
            <w:tcW w:w="2722" w:type="dxa"/>
          </w:tcPr>
          <w:p>
            <w:pPr>
              <w:pStyle w:val="nTable"/>
              <w:spacing w:after="40"/>
              <w:rPr>
                <w:rFonts w:ascii="Arial" w:hAnsi="Arial"/>
              </w:rPr>
            </w:pPr>
            <w:r>
              <w:t>2 May 1952</w:t>
            </w:r>
          </w:p>
        </w:tc>
      </w:tr>
      <w:tr>
        <w:trPr>
          <w:cantSplit/>
        </w:trPr>
        <w:tc>
          <w:tcPr>
            <w:tcW w:w="3090" w:type="dxa"/>
          </w:tcPr>
          <w:p>
            <w:pPr>
              <w:pStyle w:val="nTable"/>
              <w:spacing w:after="40"/>
            </w:pPr>
            <w:r>
              <w:t>Untitled regulations</w:t>
            </w:r>
          </w:p>
        </w:tc>
        <w:tc>
          <w:tcPr>
            <w:tcW w:w="1276" w:type="dxa"/>
          </w:tcPr>
          <w:p>
            <w:pPr>
              <w:pStyle w:val="nTable"/>
              <w:spacing w:after="40"/>
            </w:pPr>
            <w:r>
              <w:t>30 May 1952 p. 1335</w:t>
            </w:r>
          </w:p>
        </w:tc>
        <w:tc>
          <w:tcPr>
            <w:tcW w:w="2722" w:type="dxa"/>
          </w:tcPr>
          <w:p>
            <w:pPr>
              <w:pStyle w:val="nTable"/>
              <w:spacing w:after="40"/>
            </w:pPr>
            <w:r>
              <w:t>30 May 1952</w:t>
            </w:r>
          </w:p>
        </w:tc>
      </w:tr>
      <w:tr>
        <w:trPr>
          <w:cantSplit/>
        </w:trPr>
        <w:tc>
          <w:tcPr>
            <w:tcW w:w="3090" w:type="dxa"/>
          </w:tcPr>
          <w:p>
            <w:pPr>
              <w:pStyle w:val="nTable"/>
              <w:spacing w:after="40"/>
            </w:pPr>
            <w:r>
              <w:t>Untitled regulations</w:t>
            </w:r>
          </w:p>
        </w:tc>
        <w:tc>
          <w:tcPr>
            <w:tcW w:w="1276" w:type="dxa"/>
          </w:tcPr>
          <w:p>
            <w:pPr>
              <w:pStyle w:val="nTable"/>
              <w:spacing w:after="40"/>
            </w:pPr>
            <w:r>
              <w:t>5 Dec 1952 p. 2867</w:t>
            </w:r>
          </w:p>
        </w:tc>
        <w:tc>
          <w:tcPr>
            <w:tcW w:w="2722" w:type="dxa"/>
          </w:tcPr>
          <w:p>
            <w:pPr>
              <w:pStyle w:val="nTable"/>
              <w:spacing w:after="40"/>
            </w:pPr>
            <w:r>
              <w:t>5 Dec 1952</w:t>
            </w:r>
          </w:p>
        </w:tc>
      </w:tr>
      <w:tr>
        <w:trPr>
          <w:cantSplit/>
        </w:trPr>
        <w:tc>
          <w:tcPr>
            <w:tcW w:w="3090" w:type="dxa"/>
          </w:tcPr>
          <w:p>
            <w:pPr>
              <w:pStyle w:val="nTable"/>
              <w:spacing w:after="40"/>
            </w:pPr>
            <w:r>
              <w:t>Untitled regulations</w:t>
            </w:r>
          </w:p>
        </w:tc>
        <w:tc>
          <w:tcPr>
            <w:tcW w:w="1276" w:type="dxa"/>
          </w:tcPr>
          <w:p>
            <w:pPr>
              <w:pStyle w:val="nTable"/>
              <w:spacing w:after="40"/>
            </w:pPr>
            <w:r>
              <w:t>22 May 1953 p. 987</w:t>
            </w:r>
          </w:p>
        </w:tc>
        <w:tc>
          <w:tcPr>
            <w:tcW w:w="2722" w:type="dxa"/>
          </w:tcPr>
          <w:p>
            <w:pPr>
              <w:pStyle w:val="nTable"/>
              <w:spacing w:after="40"/>
            </w:pPr>
            <w:r>
              <w:t>22 May 1953</w:t>
            </w:r>
          </w:p>
        </w:tc>
      </w:tr>
      <w:tr>
        <w:trPr>
          <w:cantSplit/>
        </w:trPr>
        <w:tc>
          <w:tcPr>
            <w:tcW w:w="3090" w:type="dxa"/>
          </w:tcPr>
          <w:p>
            <w:pPr>
              <w:pStyle w:val="nTable"/>
              <w:spacing w:after="40"/>
            </w:pPr>
            <w:r>
              <w:t>Untitled regulations</w:t>
            </w:r>
          </w:p>
        </w:tc>
        <w:tc>
          <w:tcPr>
            <w:tcW w:w="1276" w:type="dxa"/>
          </w:tcPr>
          <w:p>
            <w:pPr>
              <w:pStyle w:val="nTable"/>
              <w:spacing w:after="40"/>
            </w:pPr>
            <w:r>
              <w:t>23 Jul 1954 p. 1291</w:t>
            </w:r>
          </w:p>
        </w:tc>
        <w:tc>
          <w:tcPr>
            <w:tcW w:w="2722" w:type="dxa"/>
          </w:tcPr>
          <w:p>
            <w:pPr>
              <w:pStyle w:val="nTable"/>
              <w:spacing w:after="40"/>
            </w:pPr>
            <w:r>
              <w:t>23 Jul 1954</w:t>
            </w:r>
          </w:p>
        </w:tc>
      </w:tr>
      <w:tr>
        <w:trPr>
          <w:cantSplit/>
        </w:trPr>
        <w:tc>
          <w:tcPr>
            <w:tcW w:w="3090" w:type="dxa"/>
          </w:tcPr>
          <w:p>
            <w:pPr>
              <w:pStyle w:val="nTable"/>
              <w:spacing w:after="40"/>
            </w:pPr>
            <w:r>
              <w:t>Untitled regulations</w:t>
            </w:r>
          </w:p>
        </w:tc>
        <w:tc>
          <w:tcPr>
            <w:tcW w:w="1276" w:type="dxa"/>
          </w:tcPr>
          <w:p>
            <w:pPr>
              <w:pStyle w:val="nTable"/>
              <w:spacing w:after="40"/>
            </w:pPr>
            <w:r>
              <w:t>19 Jul 1956 p. 1781</w:t>
            </w:r>
          </w:p>
        </w:tc>
        <w:tc>
          <w:tcPr>
            <w:tcW w:w="2722" w:type="dxa"/>
          </w:tcPr>
          <w:p>
            <w:pPr>
              <w:pStyle w:val="nTable"/>
              <w:spacing w:after="40"/>
            </w:pPr>
            <w:r>
              <w:t>19 Jul 1956</w:t>
            </w:r>
          </w:p>
        </w:tc>
      </w:tr>
      <w:tr>
        <w:trPr>
          <w:cantSplit/>
        </w:trPr>
        <w:tc>
          <w:tcPr>
            <w:tcW w:w="3090" w:type="dxa"/>
          </w:tcPr>
          <w:p>
            <w:pPr>
              <w:pStyle w:val="nTable"/>
              <w:spacing w:after="40"/>
            </w:pPr>
            <w:r>
              <w:t>Untitled regulations</w:t>
            </w:r>
          </w:p>
        </w:tc>
        <w:tc>
          <w:tcPr>
            <w:tcW w:w="1276" w:type="dxa"/>
          </w:tcPr>
          <w:p>
            <w:pPr>
              <w:pStyle w:val="nTable"/>
              <w:spacing w:after="40"/>
            </w:pPr>
            <w:r>
              <w:t>16 Apr 1957 p. 1127</w:t>
            </w:r>
          </w:p>
        </w:tc>
        <w:tc>
          <w:tcPr>
            <w:tcW w:w="2722" w:type="dxa"/>
          </w:tcPr>
          <w:p>
            <w:pPr>
              <w:pStyle w:val="nTable"/>
              <w:spacing w:after="40"/>
            </w:pPr>
            <w:r>
              <w:t>16 Apr 1957</w:t>
            </w:r>
          </w:p>
        </w:tc>
      </w:tr>
      <w:tr>
        <w:trPr>
          <w:cantSplit/>
        </w:trPr>
        <w:tc>
          <w:tcPr>
            <w:tcW w:w="3090" w:type="dxa"/>
          </w:tcPr>
          <w:p>
            <w:pPr>
              <w:pStyle w:val="nTable"/>
              <w:spacing w:after="40"/>
              <w:rPr>
                <w:i/>
              </w:rPr>
            </w:pPr>
            <w:r>
              <w:t>Untitled regulations</w:t>
            </w:r>
          </w:p>
        </w:tc>
        <w:tc>
          <w:tcPr>
            <w:tcW w:w="1276" w:type="dxa"/>
          </w:tcPr>
          <w:p>
            <w:pPr>
              <w:pStyle w:val="nTable"/>
              <w:spacing w:after="40"/>
            </w:pPr>
            <w:r>
              <w:t>12 Jul 1957 p. 2269-78</w:t>
            </w:r>
          </w:p>
        </w:tc>
        <w:tc>
          <w:tcPr>
            <w:tcW w:w="2722" w:type="dxa"/>
          </w:tcPr>
          <w:p>
            <w:pPr>
              <w:pStyle w:val="nTable"/>
              <w:spacing w:after="40"/>
            </w:pPr>
            <w:r>
              <w:t>12 Jul 1957</w:t>
            </w:r>
          </w:p>
        </w:tc>
      </w:tr>
      <w:tr>
        <w:trPr>
          <w:cantSplit/>
        </w:trPr>
        <w:tc>
          <w:tcPr>
            <w:tcW w:w="3090" w:type="dxa"/>
          </w:tcPr>
          <w:p>
            <w:pPr>
              <w:pStyle w:val="nTable"/>
              <w:spacing w:after="40"/>
              <w:rPr>
                <w:i/>
              </w:rPr>
            </w:pPr>
            <w:r>
              <w:t>Untitled regulations</w:t>
            </w:r>
          </w:p>
        </w:tc>
        <w:tc>
          <w:tcPr>
            <w:tcW w:w="1276" w:type="dxa"/>
          </w:tcPr>
          <w:p>
            <w:pPr>
              <w:pStyle w:val="nTable"/>
              <w:spacing w:after="40"/>
            </w:pPr>
            <w:r>
              <w:t>17 Mar 1960 p. 777-92</w:t>
            </w:r>
          </w:p>
        </w:tc>
        <w:tc>
          <w:tcPr>
            <w:tcW w:w="2722" w:type="dxa"/>
          </w:tcPr>
          <w:p>
            <w:pPr>
              <w:pStyle w:val="nTable"/>
              <w:spacing w:after="40"/>
            </w:pPr>
            <w:r>
              <w:t>17 Mar 1960</w:t>
            </w:r>
          </w:p>
        </w:tc>
      </w:tr>
      <w:tr>
        <w:trPr>
          <w:cantSplit/>
        </w:trPr>
        <w:tc>
          <w:tcPr>
            <w:tcW w:w="3090" w:type="dxa"/>
          </w:tcPr>
          <w:p>
            <w:pPr>
              <w:pStyle w:val="nTable"/>
              <w:spacing w:after="40"/>
              <w:rPr>
                <w:i/>
              </w:rPr>
            </w:pPr>
            <w:r>
              <w:t>Untitled regulations</w:t>
            </w:r>
          </w:p>
        </w:tc>
        <w:tc>
          <w:tcPr>
            <w:tcW w:w="1276" w:type="dxa"/>
          </w:tcPr>
          <w:p>
            <w:pPr>
              <w:pStyle w:val="nTable"/>
              <w:spacing w:after="40"/>
            </w:pPr>
            <w:r>
              <w:t>28 Sep 1960 p. 2987-8</w:t>
            </w:r>
          </w:p>
        </w:tc>
        <w:tc>
          <w:tcPr>
            <w:tcW w:w="2722" w:type="dxa"/>
          </w:tcPr>
          <w:p>
            <w:pPr>
              <w:pStyle w:val="nTable"/>
              <w:spacing w:after="40"/>
            </w:pPr>
            <w:r>
              <w:t>28 Sep 1960</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21 Jul 1961 in </w:t>
            </w:r>
            <w:r>
              <w:rPr>
                <w:b/>
                <w:i/>
              </w:rPr>
              <w:t>Gazette</w:t>
            </w:r>
            <w:r>
              <w:rPr>
                <w:b/>
              </w:rPr>
              <w:t xml:space="preserve"> 1 Aug 1961 p. 2323-68</w:t>
            </w:r>
            <w:r>
              <w:t xml:space="preserve"> (includes amendments listed above) </w:t>
            </w:r>
          </w:p>
        </w:tc>
      </w:tr>
      <w:tr>
        <w:trPr>
          <w:cantSplit/>
        </w:trPr>
        <w:tc>
          <w:tcPr>
            <w:tcW w:w="3090" w:type="dxa"/>
          </w:tcPr>
          <w:p>
            <w:pPr>
              <w:pStyle w:val="nTable"/>
              <w:spacing w:after="40"/>
              <w:rPr>
                <w:i/>
              </w:rPr>
            </w:pPr>
            <w:r>
              <w:t>Untitled regulations</w:t>
            </w:r>
          </w:p>
        </w:tc>
        <w:tc>
          <w:tcPr>
            <w:tcW w:w="1276" w:type="dxa"/>
          </w:tcPr>
          <w:p>
            <w:pPr>
              <w:pStyle w:val="nTable"/>
              <w:spacing w:after="40"/>
            </w:pPr>
            <w:r>
              <w:t>26 Oct 1962 p. 3482-3</w:t>
            </w:r>
          </w:p>
        </w:tc>
        <w:tc>
          <w:tcPr>
            <w:tcW w:w="2722" w:type="dxa"/>
          </w:tcPr>
          <w:p>
            <w:pPr>
              <w:pStyle w:val="nTable"/>
              <w:spacing w:after="40"/>
            </w:pPr>
            <w:r>
              <w:t>26 Oct 1962</w:t>
            </w:r>
          </w:p>
        </w:tc>
      </w:tr>
      <w:tr>
        <w:trPr>
          <w:cantSplit/>
        </w:trPr>
        <w:tc>
          <w:tcPr>
            <w:tcW w:w="3090" w:type="dxa"/>
          </w:tcPr>
          <w:p>
            <w:pPr>
              <w:pStyle w:val="nTable"/>
              <w:spacing w:after="40"/>
              <w:rPr>
                <w:i/>
              </w:rPr>
            </w:pPr>
            <w:r>
              <w:t>Untitled regulations</w:t>
            </w:r>
          </w:p>
        </w:tc>
        <w:tc>
          <w:tcPr>
            <w:tcW w:w="1276" w:type="dxa"/>
          </w:tcPr>
          <w:p>
            <w:pPr>
              <w:pStyle w:val="nTable"/>
              <w:spacing w:after="40"/>
            </w:pPr>
            <w:r>
              <w:t>20 Dec 1962 p. 4054</w:t>
            </w:r>
          </w:p>
        </w:tc>
        <w:tc>
          <w:tcPr>
            <w:tcW w:w="2722" w:type="dxa"/>
          </w:tcPr>
          <w:p>
            <w:pPr>
              <w:pStyle w:val="nTable"/>
              <w:spacing w:after="40"/>
            </w:pPr>
            <w:r>
              <w:t>20 Dec 1962</w:t>
            </w:r>
          </w:p>
        </w:tc>
      </w:tr>
      <w:tr>
        <w:trPr>
          <w:cantSplit/>
        </w:trPr>
        <w:tc>
          <w:tcPr>
            <w:tcW w:w="3090" w:type="dxa"/>
          </w:tcPr>
          <w:p>
            <w:pPr>
              <w:pStyle w:val="nTable"/>
              <w:spacing w:after="40"/>
              <w:rPr>
                <w:i/>
              </w:rPr>
            </w:pPr>
            <w:r>
              <w:t>Untitled regulations</w:t>
            </w:r>
          </w:p>
        </w:tc>
        <w:tc>
          <w:tcPr>
            <w:tcW w:w="1276" w:type="dxa"/>
          </w:tcPr>
          <w:p>
            <w:pPr>
              <w:pStyle w:val="nTable"/>
              <w:spacing w:after="40"/>
            </w:pPr>
            <w:r>
              <w:t>7 Feb 1963 p. 570</w:t>
            </w:r>
          </w:p>
        </w:tc>
        <w:tc>
          <w:tcPr>
            <w:tcW w:w="2722" w:type="dxa"/>
          </w:tcPr>
          <w:p>
            <w:pPr>
              <w:pStyle w:val="nTable"/>
              <w:spacing w:after="40"/>
            </w:pPr>
            <w:r>
              <w:t>7 Feb 1963</w:t>
            </w:r>
          </w:p>
        </w:tc>
      </w:tr>
      <w:tr>
        <w:trPr>
          <w:cantSplit/>
        </w:trPr>
        <w:tc>
          <w:tcPr>
            <w:tcW w:w="3090" w:type="dxa"/>
          </w:tcPr>
          <w:p>
            <w:pPr>
              <w:pStyle w:val="nTable"/>
              <w:spacing w:after="40"/>
              <w:rPr>
                <w:i/>
              </w:rPr>
            </w:pPr>
            <w:r>
              <w:t>Untitled regulations</w:t>
            </w:r>
          </w:p>
        </w:tc>
        <w:tc>
          <w:tcPr>
            <w:tcW w:w="1276" w:type="dxa"/>
          </w:tcPr>
          <w:p>
            <w:pPr>
              <w:pStyle w:val="nTable"/>
              <w:spacing w:after="40"/>
            </w:pPr>
            <w:r>
              <w:t>16 Sep 1963 p. 2828-31</w:t>
            </w:r>
          </w:p>
        </w:tc>
        <w:tc>
          <w:tcPr>
            <w:tcW w:w="2722" w:type="dxa"/>
          </w:tcPr>
          <w:p>
            <w:pPr>
              <w:pStyle w:val="nTable"/>
              <w:spacing w:after="40"/>
            </w:pPr>
            <w:r>
              <w:t>16 Sep 1963</w:t>
            </w:r>
          </w:p>
        </w:tc>
      </w:tr>
      <w:tr>
        <w:trPr>
          <w:cantSplit/>
        </w:trPr>
        <w:tc>
          <w:tcPr>
            <w:tcW w:w="3090" w:type="dxa"/>
          </w:tcPr>
          <w:p>
            <w:pPr>
              <w:pStyle w:val="nTable"/>
              <w:spacing w:after="40"/>
              <w:rPr>
                <w:i/>
              </w:rPr>
            </w:pPr>
            <w:r>
              <w:t>Untitled regulations</w:t>
            </w:r>
          </w:p>
        </w:tc>
        <w:tc>
          <w:tcPr>
            <w:tcW w:w="1276" w:type="dxa"/>
          </w:tcPr>
          <w:p>
            <w:pPr>
              <w:pStyle w:val="nTable"/>
              <w:spacing w:after="40"/>
            </w:pPr>
            <w:r>
              <w:t>23 Jun 1964 p. 2500</w:t>
            </w:r>
          </w:p>
        </w:tc>
        <w:tc>
          <w:tcPr>
            <w:tcW w:w="2722" w:type="dxa"/>
          </w:tcPr>
          <w:p>
            <w:pPr>
              <w:pStyle w:val="nTable"/>
              <w:spacing w:after="40"/>
            </w:pPr>
            <w:r>
              <w:t>23 Jun 1964</w:t>
            </w:r>
          </w:p>
        </w:tc>
      </w:tr>
      <w:tr>
        <w:trPr>
          <w:cantSplit/>
        </w:trPr>
        <w:tc>
          <w:tcPr>
            <w:tcW w:w="3090" w:type="dxa"/>
          </w:tcPr>
          <w:p>
            <w:pPr>
              <w:pStyle w:val="nTable"/>
              <w:spacing w:after="40"/>
              <w:rPr>
                <w:i/>
              </w:rPr>
            </w:pPr>
            <w:r>
              <w:t>Untitled regulations</w:t>
            </w:r>
          </w:p>
        </w:tc>
        <w:tc>
          <w:tcPr>
            <w:tcW w:w="1276" w:type="dxa"/>
          </w:tcPr>
          <w:p>
            <w:pPr>
              <w:pStyle w:val="nTable"/>
              <w:spacing w:after="40"/>
            </w:pPr>
            <w:r>
              <w:t>11 Aug 1964 p. 2880</w:t>
            </w:r>
          </w:p>
        </w:tc>
        <w:tc>
          <w:tcPr>
            <w:tcW w:w="2722" w:type="dxa"/>
          </w:tcPr>
          <w:p>
            <w:pPr>
              <w:pStyle w:val="nTable"/>
              <w:spacing w:after="40"/>
            </w:pPr>
            <w:r>
              <w:t>11 Aug 1964</w:t>
            </w:r>
          </w:p>
        </w:tc>
      </w:tr>
      <w:tr>
        <w:trPr>
          <w:cantSplit/>
        </w:trPr>
        <w:tc>
          <w:tcPr>
            <w:tcW w:w="3090" w:type="dxa"/>
          </w:tcPr>
          <w:p>
            <w:pPr>
              <w:pStyle w:val="nTable"/>
              <w:spacing w:after="40"/>
            </w:pPr>
            <w:r>
              <w:t>Untitled regulations</w:t>
            </w:r>
          </w:p>
        </w:tc>
        <w:tc>
          <w:tcPr>
            <w:tcW w:w="1276" w:type="dxa"/>
          </w:tcPr>
          <w:p>
            <w:pPr>
              <w:pStyle w:val="nTable"/>
              <w:spacing w:after="40"/>
            </w:pPr>
            <w:r>
              <w:t>9 Dec 1964 p. 3907</w:t>
            </w:r>
          </w:p>
        </w:tc>
        <w:tc>
          <w:tcPr>
            <w:tcW w:w="2722" w:type="dxa"/>
          </w:tcPr>
          <w:p>
            <w:pPr>
              <w:pStyle w:val="nTable"/>
              <w:spacing w:after="40"/>
            </w:pPr>
            <w:r>
              <w:t>9 Dec 1964</w:t>
            </w:r>
          </w:p>
        </w:tc>
      </w:tr>
      <w:tr>
        <w:trPr>
          <w:cantSplit/>
        </w:trPr>
        <w:tc>
          <w:tcPr>
            <w:tcW w:w="3090" w:type="dxa"/>
          </w:tcPr>
          <w:p>
            <w:pPr>
              <w:pStyle w:val="nTable"/>
              <w:spacing w:after="40"/>
            </w:pPr>
            <w:r>
              <w:t>Untitled regulations</w:t>
            </w:r>
          </w:p>
        </w:tc>
        <w:tc>
          <w:tcPr>
            <w:tcW w:w="1276" w:type="dxa"/>
          </w:tcPr>
          <w:p>
            <w:pPr>
              <w:pStyle w:val="nTable"/>
              <w:spacing w:after="40"/>
            </w:pPr>
            <w:r>
              <w:t>8 Feb 1965 p. 467</w:t>
            </w:r>
          </w:p>
        </w:tc>
        <w:tc>
          <w:tcPr>
            <w:tcW w:w="2722" w:type="dxa"/>
          </w:tcPr>
          <w:p>
            <w:pPr>
              <w:pStyle w:val="nTable"/>
              <w:spacing w:after="40"/>
            </w:pPr>
            <w:r>
              <w:t>8 Feb 1965</w:t>
            </w:r>
          </w:p>
        </w:tc>
      </w:tr>
      <w:tr>
        <w:trPr>
          <w:cantSplit/>
        </w:trPr>
        <w:tc>
          <w:tcPr>
            <w:tcW w:w="3090" w:type="dxa"/>
          </w:tcPr>
          <w:p>
            <w:pPr>
              <w:pStyle w:val="nTable"/>
              <w:spacing w:after="40"/>
            </w:pPr>
            <w:r>
              <w:t>Untitled regulations</w:t>
            </w:r>
          </w:p>
        </w:tc>
        <w:tc>
          <w:tcPr>
            <w:tcW w:w="1276" w:type="dxa"/>
          </w:tcPr>
          <w:p>
            <w:pPr>
              <w:pStyle w:val="nTable"/>
              <w:spacing w:after="40"/>
            </w:pPr>
            <w:r>
              <w:t>12 May 1965 p. 1464</w:t>
            </w:r>
          </w:p>
        </w:tc>
        <w:tc>
          <w:tcPr>
            <w:tcW w:w="2722" w:type="dxa"/>
          </w:tcPr>
          <w:p>
            <w:pPr>
              <w:pStyle w:val="nTable"/>
              <w:spacing w:after="40"/>
            </w:pPr>
            <w:r>
              <w:t>12 May 1965</w:t>
            </w:r>
          </w:p>
        </w:tc>
      </w:tr>
      <w:tr>
        <w:trPr>
          <w:cantSplit/>
        </w:trPr>
        <w:tc>
          <w:tcPr>
            <w:tcW w:w="3090" w:type="dxa"/>
          </w:tcPr>
          <w:p>
            <w:pPr>
              <w:pStyle w:val="nTable"/>
              <w:spacing w:after="40"/>
            </w:pPr>
            <w:r>
              <w:t>Untitled regulations</w:t>
            </w:r>
          </w:p>
        </w:tc>
        <w:tc>
          <w:tcPr>
            <w:tcW w:w="1276" w:type="dxa"/>
          </w:tcPr>
          <w:p>
            <w:pPr>
              <w:pStyle w:val="nTable"/>
              <w:spacing w:after="40"/>
            </w:pPr>
            <w:r>
              <w:t>26 May 1965 p. 1614</w:t>
            </w:r>
          </w:p>
        </w:tc>
        <w:tc>
          <w:tcPr>
            <w:tcW w:w="2722" w:type="dxa"/>
          </w:tcPr>
          <w:p>
            <w:pPr>
              <w:pStyle w:val="nTable"/>
              <w:spacing w:after="40"/>
            </w:pPr>
            <w:r>
              <w:t>26 May 1965</w:t>
            </w:r>
          </w:p>
        </w:tc>
      </w:tr>
      <w:tr>
        <w:trPr>
          <w:cantSplit/>
        </w:trPr>
        <w:tc>
          <w:tcPr>
            <w:tcW w:w="3090" w:type="dxa"/>
          </w:tcPr>
          <w:p>
            <w:pPr>
              <w:pStyle w:val="nTable"/>
              <w:spacing w:after="40"/>
            </w:pPr>
            <w:r>
              <w:t>Untitled regulations</w:t>
            </w:r>
          </w:p>
        </w:tc>
        <w:tc>
          <w:tcPr>
            <w:tcW w:w="1276" w:type="dxa"/>
          </w:tcPr>
          <w:p>
            <w:pPr>
              <w:pStyle w:val="nTable"/>
              <w:spacing w:after="40"/>
            </w:pPr>
            <w:r>
              <w:t>10 Jun 1965 p. 1726</w:t>
            </w:r>
          </w:p>
        </w:tc>
        <w:tc>
          <w:tcPr>
            <w:tcW w:w="2722" w:type="dxa"/>
          </w:tcPr>
          <w:p>
            <w:pPr>
              <w:pStyle w:val="nTable"/>
              <w:spacing w:after="40"/>
            </w:pPr>
            <w:r>
              <w:t>10 Jun 1965</w:t>
            </w:r>
          </w:p>
        </w:tc>
      </w:tr>
      <w:tr>
        <w:trPr>
          <w:cantSplit/>
        </w:trPr>
        <w:tc>
          <w:tcPr>
            <w:tcW w:w="3090" w:type="dxa"/>
          </w:tcPr>
          <w:p>
            <w:pPr>
              <w:pStyle w:val="nTable"/>
              <w:spacing w:after="40"/>
            </w:pPr>
            <w:r>
              <w:t>Untitled regulations</w:t>
            </w:r>
          </w:p>
        </w:tc>
        <w:tc>
          <w:tcPr>
            <w:tcW w:w="1276" w:type="dxa"/>
          </w:tcPr>
          <w:p>
            <w:pPr>
              <w:pStyle w:val="nTable"/>
              <w:spacing w:after="40"/>
            </w:pPr>
            <w:r>
              <w:t>1 Sep 1965 p. 2590-6</w:t>
            </w:r>
          </w:p>
        </w:tc>
        <w:tc>
          <w:tcPr>
            <w:tcW w:w="2722" w:type="dxa"/>
          </w:tcPr>
          <w:p>
            <w:pPr>
              <w:pStyle w:val="nTable"/>
              <w:spacing w:after="40"/>
            </w:pPr>
            <w:r>
              <w:t>1 Sep 1965</w:t>
            </w:r>
          </w:p>
        </w:tc>
      </w:tr>
      <w:tr>
        <w:trPr>
          <w:cantSplit/>
        </w:trPr>
        <w:tc>
          <w:tcPr>
            <w:tcW w:w="4366" w:type="dxa"/>
            <w:gridSpan w:val="2"/>
          </w:tcPr>
          <w:p>
            <w:pPr>
              <w:pStyle w:val="nTable"/>
              <w:spacing w:after="40"/>
              <w:rPr>
                <w:rFonts w:ascii="Arial" w:hAnsi="Arial"/>
              </w:rPr>
            </w:pPr>
            <w:r>
              <w:rPr>
                <w:i/>
              </w:rPr>
              <w:t xml:space="preserve">Decimal Currency Act 1965 </w:t>
            </w:r>
            <w:r>
              <w:t>assented to 21 Dec 1965</w:t>
            </w:r>
          </w:p>
        </w:tc>
        <w:tc>
          <w:tcPr>
            <w:tcW w:w="2722" w:type="dxa"/>
          </w:tcPr>
          <w:p>
            <w:pPr>
              <w:pStyle w:val="nTable"/>
              <w:spacing w:after="40"/>
            </w:pPr>
            <w:r>
              <w:t>Act other than s. 4-9: 21 Dec 1965 (see s. 2(1));</w:t>
            </w:r>
            <w:r>
              <w:br/>
              <w:t>s. 4-9: 14 Feb 1966 (see s. 2(2))</w:t>
            </w:r>
          </w:p>
        </w:tc>
      </w:tr>
      <w:tr>
        <w:trPr>
          <w:cantSplit/>
        </w:trPr>
        <w:tc>
          <w:tcPr>
            <w:tcW w:w="3090" w:type="dxa"/>
          </w:tcPr>
          <w:p>
            <w:pPr>
              <w:pStyle w:val="nTable"/>
              <w:spacing w:after="40"/>
            </w:pPr>
            <w:r>
              <w:t>Untitled regulations</w:t>
            </w:r>
          </w:p>
        </w:tc>
        <w:tc>
          <w:tcPr>
            <w:tcW w:w="1276" w:type="dxa"/>
          </w:tcPr>
          <w:p>
            <w:pPr>
              <w:pStyle w:val="nTable"/>
              <w:spacing w:after="40"/>
            </w:pPr>
            <w:r>
              <w:t>17 Mar 1966 p. 731</w:t>
            </w:r>
          </w:p>
        </w:tc>
        <w:tc>
          <w:tcPr>
            <w:tcW w:w="2722" w:type="dxa"/>
          </w:tcPr>
          <w:p>
            <w:pPr>
              <w:pStyle w:val="nTable"/>
              <w:spacing w:after="40"/>
            </w:pPr>
            <w:r>
              <w:t>17 Mar 1966</w:t>
            </w:r>
          </w:p>
        </w:tc>
      </w:tr>
      <w:tr>
        <w:trPr>
          <w:cantSplit/>
        </w:trPr>
        <w:tc>
          <w:tcPr>
            <w:tcW w:w="3090" w:type="dxa"/>
          </w:tcPr>
          <w:p>
            <w:pPr>
              <w:pStyle w:val="nTable"/>
              <w:spacing w:after="40"/>
            </w:pPr>
            <w:r>
              <w:t>Untitled regulations</w:t>
            </w:r>
          </w:p>
        </w:tc>
        <w:tc>
          <w:tcPr>
            <w:tcW w:w="1276" w:type="dxa"/>
          </w:tcPr>
          <w:p>
            <w:pPr>
              <w:pStyle w:val="nTable"/>
              <w:spacing w:after="40"/>
            </w:pPr>
            <w:r>
              <w:t>14 Apr 1966 p. 918</w:t>
            </w:r>
          </w:p>
        </w:tc>
        <w:tc>
          <w:tcPr>
            <w:tcW w:w="2722" w:type="dxa"/>
          </w:tcPr>
          <w:p>
            <w:pPr>
              <w:pStyle w:val="nTable"/>
              <w:spacing w:after="40"/>
            </w:pPr>
            <w:r>
              <w:t>14 Apr 1966</w:t>
            </w:r>
          </w:p>
        </w:tc>
      </w:tr>
      <w:tr>
        <w:trPr>
          <w:cantSplit/>
        </w:trPr>
        <w:tc>
          <w:tcPr>
            <w:tcW w:w="3090" w:type="dxa"/>
          </w:tcPr>
          <w:p>
            <w:pPr>
              <w:pStyle w:val="nTable"/>
              <w:spacing w:after="40"/>
            </w:pPr>
            <w:r>
              <w:t>Untitled regulations</w:t>
            </w:r>
          </w:p>
        </w:tc>
        <w:tc>
          <w:tcPr>
            <w:tcW w:w="1276" w:type="dxa"/>
          </w:tcPr>
          <w:p>
            <w:pPr>
              <w:pStyle w:val="nTable"/>
              <w:spacing w:after="40"/>
            </w:pPr>
            <w:r>
              <w:t>4 Jun 1968 p. 1684-93</w:t>
            </w:r>
          </w:p>
        </w:tc>
        <w:tc>
          <w:tcPr>
            <w:tcW w:w="2722" w:type="dxa"/>
          </w:tcPr>
          <w:p>
            <w:pPr>
              <w:pStyle w:val="nTable"/>
              <w:spacing w:after="40"/>
            </w:pPr>
            <w:r>
              <w:t>4 Jun 1968</w:t>
            </w:r>
          </w:p>
        </w:tc>
      </w:tr>
      <w:tr>
        <w:trPr>
          <w:cantSplit/>
        </w:trPr>
        <w:tc>
          <w:tcPr>
            <w:tcW w:w="3090" w:type="dxa"/>
          </w:tcPr>
          <w:p>
            <w:pPr>
              <w:pStyle w:val="nTable"/>
              <w:spacing w:after="40"/>
            </w:pPr>
            <w:r>
              <w:t>Untitled regulations</w:t>
            </w:r>
          </w:p>
        </w:tc>
        <w:tc>
          <w:tcPr>
            <w:tcW w:w="1276" w:type="dxa"/>
          </w:tcPr>
          <w:p>
            <w:pPr>
              <w:pStyle w:val="nTable"/>
              <w:spacing w:after="40"/>
            </w:pPr>
            <w:r>
              <w:t>30 Dec 1968 p. 3949</w:t>
            </w:r>
          </w:p>
        </w:tc>
        <w:tc>
          <w:tcPr>
            <w:tcW w:w="2722" w:type="dxa"/>
          </w:tcPr>
          <w:p>
            <w:pPr>
              <w:pStyle w:val="nTable"/>
              <w:spacing w:after="40"/>
            </w:pPr>
            <w:r>
              <w:t>30 Dec 1968</w:t>
            </w:r>
          </w:p>
        </w:tc>
      </w:tr>
      <w:tr>
        <w:trPr>
          <w:cantSplit/>
        </w:trPr>
        <w:tc>
          <w:tcPr>
            <w:tcW w:w="3090" w:type="dxa"/>
          </w:tcPr>
          <w:p>
            <w:pPr>
              <w:pStyle w:val="nTable"/>
              <w:spacing w:after="40"/>
            </w:pPr>
            <w:r>
              <w:t>Untitled regulations</w:t>
            </w:r>
          </w:p>
        </w:tc>
        <w:tc>
          <w:tcPr>
            <w:tcW w:w="1276" w:type="dxa"/>
          </w:tcPr>
          <w:p>
            <w:pPr>
              <w:pStyle w:val="nTable"/>
              <w:spacing w:after="40"/>
            </w:pPr>
            <w:r>
              <w:t>24 Nov 1972 p. 4486-91</w:t>
            </w:r>
          </w:p>
        </w:tc>
        <w:tc>
          <w:tcPr>
            <w:tcW w:w="2722" w:type="dxa"/>
          </w:tcPr>
          <w:p>
            <w:pPr>
              <w:pStyle w:val="nTable"/>
              <w:spacing w:after="40"/>
            </w:pPr>
            <w:r>
              <w:t>24 Nov 1972</w:t>
            </w:r>
          </w:p>
        </w:tc>
      </w:tr>
      <w:tr>
        <w:trPr>
          <w:cantSplit/>
        </w:trPr>
        <w:tc>
          <w:tcPr>
            <w:tcW w:w="3090" w:type="dxa"/>
          </w:tcPr>
          <w:p>
            <w:pPr>
              <w:pStyle w:val="nTable"/>
              <w:spacing w:after="40"/>
            </w:pPr>
            <w:r>
              <w:t>Untitled regulations</w:t>
            </w:r>
          </w:p>
        </w:tc>
        <w:tc>
          <w:tcPr>
            <w:tcW w:w="1276" w:type="dxa"/>
          </w:tcPr>
          <w:p>
            <w:pPr>
              <w:pStyle w:val="nTable"/>
              <w:spacing w:after="40"/>
            </w:pPr>
            <w:r>
              <w:t>15 Jun 1973 p. 2237</w:t>
            </w:r>
            <w:r>
              <w:noBreakHyphen/>
              <w:t>42 (erratum 13 Dec 1974 p. 5544)</w:t>
            </w:r>
          </w:p>
        </w:tc>
        <w:tc>
          <w:tcPr>
            <w:tcW w:w="2722" w:type="dxa"/>
          </w:tcPr>
          <w:p>
            <w:pPr>
              <w:pStyle w:val="nTable"/>
              <w:spacing w:after="40"/>
            </w:pPr>
            <w:r>
              <w:t>1 Jul 1973</w:t>
            </w:r>
          </w:p>
        </w:tc>
      </w:tr>
      <w:tr>
        <w:trPr>
          <w:cantSplit/>
        </w:trPr>
        <w:tc>
          <w:tcPr>
            <w:tcW w:w="3090" w:type="dxa"/>
          </w:tcPr>
          <w:p>
            <w:pPr>
              <w:pStyle w:val="nTable"/>
              <w:spacing w:after="40"/>
            </w:pPr>
            <w:r>
              <w:t>Untitled regulations</w:t>
            </w:r>
          </w:p>
        </w:tc>
        <w:tc>
          <w:tcPr>
            <w:tcW w:w="1276" w:type="dxa"/>
          </w:tcPr>
          <w:p>
            <w:pPr>
              <w:pStyle w:val="nTable"/>
              <w:spacing w:after="40"/>
            </w:pPr>
            <w:r>
              <w:t>19 Oct 1973 p. 3818-19</w:t>
            </w:r>
          </w:p>
        </w:tc>
        <w:tc>
          <w:tcPr>
            <w:tcW w:w="2722" w:type="dxa"/>
          </w:tcPr>
          <w:p>
            <w:pPr>
              <w:pStyle w:val="nTable"/>
              <w:spacing w:after="40"/>
            </w:pPr>
            <w:r>
              <w:t>19 Oct 1973</w:t>
            </w:r>
          </w:p>
        </w:tc>
      </w:tr>
      <w:tr>
        <w:trPr>
          <w:cantSplit/>
        </w:trPr>
        <w:tc>
          <w:tcPr>
            <w:tcW w:w="3090" w:type="dxa"/>
          </w:tcPr>
          <w:p>
            <w:pPr>
              <w:pStyle w:val="nTable"/>
              <w:spacing w:after="40"/>
            </w:pPr>
            <w:r>
              <w:t>Untitled regulations</w:t>
            </w:r>
          </w:p>
        </w:tc>
        <w:tc>
          <w:tcPr>
            <w:tcW w:w="1276" w:type="dxa"/>
          </w:tcPr>
          <w:p>
            <w:pPr>
              <w:pStyle w:val="nTable"/>
              <w:spacing w:after="40"/>
            </w:pPr>
            <w:r>
              <w:t>9 Nov 1973 p. 4192</w:t>
            </w:r>
          </w:p>
        </w:tc>
        <w:tc>
          <w:tcPr>
            <w:tcW w:w="2722" w:type="dxa"/>
          </w:tcPr>
          <w:p>
            <w:pPr>
              <w:pStyle w:val="nTable"/>
              <w:spacing w:after="40"/>
            </w:pPr>
            <w:r>
              <w:t xml:space="preserve">9 Nov 1973 </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29 Nov 1974 in </w:t>
            </w:r>
            <w:r>
              <w:rPr>
                <w:b/>
                <w:i/>
              </w:rPr>
              <w:t xml:space="preserve">Gazette </w:t>
            </w:r>
            <w:r>
              <w:rPr>
                <w:b/>
              </w:rPr>
              <w:t>10 Dec 1974 p. 5291-318</w:t>
            </w:r>
            <w:r>
              <w:t xml:space="preserve"> (includes amendments listed above)</w:t>
            </w:r>
          </w:p>
        </w:tc>
      </w:tr>
      <w:tr>
        <w:trPr>
          <w:cantSplit/>
        </w:trPr>
        <w:tc>
          <w:tcPr>
            <w:tcW w:w="3090" w:type="dxa"/>
          </w:tcPr>
          <w:p>
            <w:pPr>
              <w:pStyle w:val="nTable"/>
              <w:spacing w:after="40"/>
              <w:rPr>
                <w:rFonts w:ascii="Arial" w:hAnsi="Arial"/>
              </w:rPr>
            </w:pPr>
            <w:r>
              <w:t>Untitled regulations</w:t>
            </w:r>
          </w:p>
        </w:tc>
        <w:tc>
          <w:tcPr>
            <w:tcW w:w="1276" w:type="dxa"/>
          </w:tcPr>
          <w:p>
            <w:pPr>
              <w:pStyle w:val="nTable"/>
              <w:spacing w:after="40"/>
              <w:rPr>
                <w:rFonts w:ascii="Arial" w:hAnsi="Arial"/>
              </w:rPr>
            </w:pPr>
            <w:r>
              <w:t>22 Aug 1975 p. 3040-3</w:t>
            </w:r>
          </w:p>
        </w:tc>
        <w:tc>
          <w:tcPr>
            <w:tcW w:w="2722" w:type="dxa"/>
          </w:tcPr>
          <w:p>
            <w:pPr>
              <w:pStyle w:val="nTable"/>
              <w:spacing w:after="40"/>
              <w:rPr>
                <w:rFonts w:ascii="Arial" w:hAnsi="Arial"/>
              </w:rPr>
            </w:pPr>
            <w:r>
              <w:t>22 Aug 1975</w:t>
            </w:r>
          </w:p>
        </w:tc>
      </w:tr>
      <w:tr>
        <w:trPr>
          <w:cantSplit/>
        </w:trPr>
        <w:tc>
          <w:tcPr>
            <w:tcW w:w="3090" w:type="dxa"/>
          </w:tcPr>
          <w:p>
            <w:pPr>
              <w:pStyle w:val="nTable"/>
              <w:spacing w:after="40"/>
            </w:pPr>
            <w:r>
              <w:t>Untitled regulations</w:t>
            </w:r>
          </w:p>
        </w:tc>
        <w:tc>
          <w:tcPr>
            <w:tcW w:w="1276" w:type="dxa"/>
          </w:tcPr>
          <w:p>
            <w:pPr>
              <w:pStyle w:val="nTable"/>
              <w:spacing w:after="40"/>
            </w:pPr>
            <w:r>
              <w:t>20 Feb 1976 p. 484-7</w:t>
            </w:r>
          </w:p>
        </w:tc>
        <w:tc>
          <w:tcPr>
            <w:tcW w:w="2722" w:type="dxa"/>
          </w:tcPr>
          <w:p>
            <w:pPr>
              <w:pStyle w:val="nTable"/>
              <w:spacing w:after="40"/>
            </w:pPr>
            <w:r>
              <w:t>20 Feb 1976</w:t>
            </w:r>
          </w:p>
        </w:tc>
      </w:tr>
      <w:tr>
        <w:trPr>
          <w:cantSplit/>
        </w:trPr>
        <w:tc>
          <w:tcPr>
            <w:tcW w:w="3090" w:type="dxa"/>
          </w:tcPr>
          <w:p>
            <w:pPr>
              <w:pStyle w:val="nTable"/>
              <w:spacing w:after="40"/>
            </w:pPr>
            <w:r>
              <w:t>Untitled regulations</w:t>
            </w:r>
          </w:p>
        </w:tc>
        <w:tc>
          <w:tcPr>
            <w:tcW w:w="1276" w:type="dxa"/>
          </w:tcPr>
          <w:p>
            <w:pPr>
              <w:pStyle w:val="nTable"/>
              <w:spacing w:after="40"/>
            </w:pPr>
            <w:r>
              <w:t>17 Sep 1976 p. 3463</w:t>
            </w:r>
          </w:p>
        </w:tc>
        <w:tc>
          <w:tcPr>
            <w:tcW w:w="2722" w:type="dxa"/>
          </w:tcPr>
          <w:p>
            <w:pPr>
              <w:pStyle w:val="nTable"/>
              <w:spacing w:after="40"/>
            </w:pPr>
            <w:r>
              <w:t>17 Sep 1976</w:t>
            </w:r>
          </w:p>
        </w:tc>
      </w:tr>
      <w:tr>
        <w:trPr>
          <w:cantSplit/>
        </w:trPr>
        <w:tc>
          <w:tcPr>
            <w:tcW w:w="3090" w:type="dxa"/>
          </w:tcPr>
          <w:p>
            <w:pPr>
              <w:pStyle w:val="nTable"/>
              <w:spacing w:after="40"/>
            </w:pPr>
            <w:r>
              <w:t>Untitled regulations</w:t>
            </w:r>
          </w:p>
        </w:tc>
        <w:tc>
          <w:tcPr>
            <w:tcW w:w="1276" w:type="dxa"/>
          </w:tcPr>
          <w:p>
            <w:pPr>
              <w:pStyle w:val="nTable"/>
              <w:spacing w:after="40"/>
            </w:pPr>
            <w:r>
              <w:t>13 Jan 1978 p. 149-52</w:t>
            </w:r>
          </w:p>
        </w:tc>
        <w:tc>
          <w:tcPr>
            <w:tcW w:w="2722" w:type="dxa"/>
          </w:tcPr>
          <w:p>
            <w:pPr>
              <w:pStyle w:val="nTable"/>
              <w:spacing w:after="40"/>
            </w:pPr>
            <w:r>
              <w:t>13 Feb 1978</w:t>
            </w:r>
          </w:p>
        </w:tc>
      </w:tr>
      <w:tr>
        <w:trPr>
          <w:cantSplit/>
        </w:trPr>
        <w:tc>
          <w:tcPr>
            <w:tcW w:w="3090" w:type="dxa"/>
          </w:tcPr>
          <w:p>
            <w:pPr>
              <w:pStyle w:val="nTable"/>
              <w:spacing w:after="40"/>
            </w:pPr>
            <w:r>
              <w:t>Untitled regulations r. 6 and 7</w:t>
            </w:r>
          </w:p>
        </w:tc>
        <w:tc>
          <w:tcPr>
            <w:tcW w:w="1276" w:type="dxa"/>
          </w:tcPr>
          <w:p>
            <w:pPr>
              <w:pStyle w:val="nTable"/>
              <w:spacing w:after="40"/>
            </w:pPr>
            <w:r>
              <w:t>31 Mar 1978 p. 989</w:t>
            </w:r>
            <w:r>
              <w:noBreakHyphen/>
              <w:t>90</w:t>
            </w:r>
          </w:p>
        </w:tc>
        <w:tc>
          <w:tcPr>
            <w:tcW w:w="2722" w:type="dxa"/>
          </w:tcPr>
          <w:p>
            <w:pPr>
              <w:pStyle w:val="nTable"/>
              <w:spacing w:after="40"/>
            </w:pPr>
            <w:r>
              <w:t>31 Mar 1978</w:t>
            </w:r>
          </w:p>
        </w:tc>
      </w:tr>
      <w:tr>
        <w:trPr>
          <w:cantSplit/>
        </w:trPr>
        <w:tc>
          <w:tcPr>
            <w:tcW w:w="3090" w:type="dxa"/>
          </w:tcPr>
          <w:p>
            <w:pPr>
              <w:pStyle w:val="nTable"/>
              <w:spacing w:after="40"/>
            </w:pPr>
            <w:r>
              <w:t>Untitled regulations</w:t>
            </w:r>
          </w:p>
        </w:tc>
        <w:tc>
          <w:tcPr>
            <w:tcW w:w="1276" w:type="dxa"/>
          </w:tcPr>
          <w:p>
            <w:pPr>
              <w:pStyle w:val="nTable"/>
              <w:spacing w:after="40"/>
            </w:pPr>
            <w:r>
              <w:t>1 Dec 1978 p. 4537-41</w:t>
            </w:r>
          </w:p>
        </w:tc>
        <w:tc>
          <w:tcPr>
            <w:tcW w:w="2722" w:type="dxa"/>
          </w:tcPr>
          <w:p>
            <w:pPr>
              <w:pStyle w:val="nTable"/>
              <w:spacing w:after="40"/>
            </w:pPr>
            <w:r>
              <w:t>1 Jan 1979</w:t>
            </w:r>
          </w:p>
        </w:tc>
      </w:tr>
      <w:tr>
        <w:trPr>
          <w:cantSplit/>
        </w:trPr>
        <w:tc>
          <w:tcPr>
            <w:tcW w:w="3090" w:type="dxa"/>
          </w:tcPr>
          <w:p>
            <w:pPr>
              <w:pStyle w:val="nTable"/>
              <w:spacing w:after="40"/>
            </w:pPr>
            <w:r>
              <w:t>Untitled regulations</w:t>
            </w:r>
          </w:p>
        </w:tc>
        <w:tc>
          <w:tcPr>
            <w:tcW w:w="1276" w:type="dxa"/>
          </w:tcPr>
          <w:p>
            <w:pPr>
              <w:pStyle w:val="nTable"/>
              <w:spacing w:after="40"/>
            </w:pPr>
            <w:r>
              <w:t xml:space="preserve">13 Jul 1979 p. 1915-16 </w:t>
            </w:r>
          </w:p>
        </w:tc>
        <w:tc>
          <w:tcPr>
            <w:tcW w:w="2722" w:type="dxa"/>
          </w:tcPr>
          <w:p>
            <w:pPr>
              <w:pStyle w:val="nTable"/>
              <w:spacing w:after="40"/>
            </w:pPr>
            <w:r>
              <w:t>13 Aug 1979</w:t>
            </w:r>
          </w:p>
        </w:tc>
      </w:tr>
      <w:tr>
        <w:trPr>
          <w:cantSplit/>
        </w:trPr>
        <w:tc>
          <w:tcPr>
            <w:tcW w:w="3090" w:type="dxa"/>
          </w:tcPr>
          <w:p>
            <w:pPr>
              <w:pStyle w:val="nTable"/>
              <w:spacing w:after="40"/>
            </w:pPr>
            <w:r>
              <w:t>Untitled regulations</w:t>
            </w:r>
          </w:p>
        </w:tc>
        <w:tc>
          <w:tcPr>
            <w:tcW w:w="1276" w:type="dxa"/>
          </w:tcPr>
          <w:p>
            <w:pPr>
              <w:pStyle w:val="nTable"/>
              <w:spacing w:after="40"/>
            </w:pPr>
            <w:r>
              <w:t>2 Nov 1979 p. 3467</w:t>
            </w:r>
          </w:p>
        </w:tc>
        <w:tc>
          <w:tcPr>
            <w:tcW w:w="2722" w:type="dxa"/>
          </w:tcPr>
          <w:p>
            <w:pPr>
              <w:pStyle w:val="nTable"/>
              <w:spacing w:after="40"/>
            </w:pPr>
            <w:r>
              <w:t>2 Nov 1979</w:t>
            </w:r>
          </w:p>
        </w:tc>
      </w:tr>
      <w:tr>
        <w:trPr>
          <w:cantSplit/>
        </w:trPr>
        <w:tc>
          <w:tcPr>
            <w:tcW w:w="3090" w:type="dxa"/>
          </w:tcPr>
          <w:p>
            <w:pPr>
              <w:pStyle w:val="nTable"/>
              <w:spacing w:after="40"/>
            </w:pPr>
            <w:r>
              <w:t>Untitled regulations</w:t>
            </w:r>
          </w:p>
        </w:tc>
        <w:tc>
          <w:tcPr>
            <w:tcW w:w="1276" w:type="dxa"/>
          </w:tcPr>
          <w:p>
            <w:pPr>
              <w:pStyle w:val="nTable"/>
              <w:spacing w:after="40"/>
            </w:pPr>
            <w:r>
              <w:t>20 Jun 1980 p. 1834-8</w:t>
            </w:r>
          </w:p>
        </w:tc>
        <w:tc>
          <w:tcPr>
            <w:tcW w:w="2722" w:type="dxa"/>
          </w:tcPr>
          <w:p>
            <w:pPr>
              <w:pStyle w:val="nTable"/>
              <w:spacing w:after="40"/>
            </w:pPr>
            <w:r>
              <w:t>1 Jul 1980 (see r. 2)</w:t>
            </w:r>
          </w:p>
        </w:tc>
      </w:tr>
      <w:tr>
        <w:trPr>
          <w:cantSplit/>
        </w:trPr>
        <w:tc>
          <w:tcPr>
            <w:tcW w:w="3090" w:type="dxa"/>
          </w:tcPr>
          <w:p>
            <w:pPr>
              <w:pStyle w:val="nTable"/>
              <w:spacing w:after="40"/>
              <w:rPr>
                <w:i/>
              </w:rPr>
            </w:pPr>
            <w:r>
              <w:rPr>
                <w:i/>
              </w:rPr>
              <w:t>Jetties Act Amendment Regulations 1980</w:t>
            </w:r>
          </w:p>
        </w:tc>
        <w:tc>
          <w:tcPr>
            <w:tcW w:w="1276" w:type="dxa"/>
          </w:tcPr>
          <w:p>
            <w:pPr>
              <w:pStyle w:val="nTable"/>
              <w:spacing w:after="40"/>
            </w:pPr>
            <w:r>
              <w:t>28 Nov 1980 p. 4050</w:t>
            </w:r>
          </w:p>
        </w:tc>
        <w:tc>
          <w:tcPr>
            <w:tcW w:w="2722" w:type="dxa"/>
          </w:tcPr>
          <w:p>
            <w:pPr>
              <w:pStyle w:val="nTable"/>
              <w:spacing w:after="40"/>
            </w:pPr>
            <w:r>
              <w:t>28 Nov 1980</w:t>
            </w:r>
          </w:p>
        </w:tc>
      </w:tr>
      <w:tr>
        <w:trPr>
          <w:cantSplit/>
        </w:trPr>
        <w:tc>
          <w:tcPr>
            <w:tcW w:w="3090" w:type="dxa"/>
          </w:tcPr>
          <w:p>
            <w:pPr>
              <w:pStyle w:val="nTable"/>
              <w:spacing w:after="40"/>
            </w:pPr>
            <w:r>
              <w:rPr>
                <w:i/>
              </w:rPr>
              <w:t>Jetties Act Amendment Regulations 1981</w:t>
            </w:r>
          </w:p>
        </w:tc>
        <w:tc>
          <w:tcPr>
            <w:tcW w:w="1276" w:type="dxa"/>
          </w:tcPr>
          <w:p>
            <w:pPr>
              <w:pStyle w:val="nTable"/>
              <w:spacing w:after="40"/>
            </w:pPr>
            <w:r>
              <w:t>6 Feb 1981 p. 555</w:t>
            </w:r>
          </w:p>
        </w:tc>
        <w:tc>
          <w:tcPr>
            <w:tcW w:w="2722" w:type="dxa"/>
          </w:tcPr>
          <w:p>
            <w:pPr>
              <w:pStyle w:val="nTable"/>
              <w:spacing w:after="40"/>
            </w:pPr>
            <w:r>
              <w:t>6 Feb 1981</w:t>
            </w:r>
          </w:p>
        </w:tc>
      </w:tr>
      <w:tr>
        <w:trPr>
          <w:cantSplit/>
        </w:trPr>
        <w:tc>
          <w:tcPr>
            <w:tcW w:w="3090" w:type="dxa"/>
          </w:tcPr>
          <w:p>
            <w:pPr>
              <w:pStyle w:val="nTable"/>
              <w:spacing w:after="40"/>
            </w:pPr>
            <w:r>
              <w:rPr>
                <w:i/>
              </w:rPr>
              <w:t>Jetties Act Amendment Regulations (No. 2) 1981</w:t>
            </w:r>
          </w:p>
        </w:tc>
        <w:tc>
          <w:tcPr>
            <w:tcW w:w="1276" w:type="dxa"/>
          </w:tcPr>
          <w:p>
            <w:pPr>
              <w:pStyle w:val="nTable"/>
              <w:spacing w:after="40"/>
            </w:pPr>
            <w:r>
              <w:t>26 Jun 1981 p. 2410-11</w:t>
            </w:r>
          </w:p>
        </w:tc>
        <w:tc>
          <w:tcPr>
            <w:tcW w:w="2722" w:type="dxa"/>
          </w:tcPr>
          <w:p>
            <w:pPr>
              <w:pStyle w:val="nTable"/>
              <w:spacing w:after="40"/>
            </w:pPr>
            <w:r>
              <w:t>1 Jul 1981 (see r. 2)</w:t>
            </w:r>
          </w:p>
        </w:tc>
      </w:tr>
      <w:tr>
        <w:trPr>
          <w:cantSplit/>
        </w:trPr>
        <w:tc>
          <w:tcPr>
            <w:tcW w:w="3090" w:type="dxa"/>
          </w:tcPr>
          <w:p>
            <w:pPr>
              <w:pStyle w:val="nTable"/>
              <w:spacing w:after="40"/>
            </w:pPr>
            <w:r>
              <w:rPr>
                <w:i/>
              </w:rPr>
              <w:t>Jetties Act Amendment Regulations (No. 3) 1981</w:t>
            </w:r>
          </w:p>
        </w:tc>
        <w:tc>
          <w:tcPr>
            <w:tcW w:w="1276" w:type="dxa"/>
          </w:tcPr>
          <w:p>
            <w:pPr>
              <w:pStyle w:val="nTable"/>
              <w:spacing w:after="40"/>
            </w:pPr>
            <w:r>
              <w:t>26 Jun 1981 p. 2413 (erratum 16 Oct 1981 p. 4337)</w:t>
            </w:r>
          </w:p>
        </w:tc>
        <w:tc>
          <w:tcPr>
            <w:tcW w:w="2722" w:type="dxa"/>
          </w:tcPr>
          <w:p>
            <w:pPr>
              <w:pStyle w:val="nTable"/>
              <w:spacing w:after="40"/>
            </w:pPr>
            <w:r>
              <w:t>1 Jul 1981 (see r. 2)</w:t>
            </w:r>
          </w:p>
        </w:tc>
      </w:tr>
      <w:tr>
        <w:trPr>
          <w:cantSplit/>
        </w:trPr>
        <w:tc>
          <w:tcPr>
            <w:tcW w:w="3090" w:type="dxa"/>
          </w:tcPr>
          <w:p>
            <w:pPr>
              <w:pStyle w:val="nTable"/>
              <w:spacing w:after="40"/>
            </w:pPr>
            <w:r>
              <w:rPr>
                <w:i/>
              </w:rPr>
              <w:t>Jetties Act Amendment Regulations (No. 4) 1981</w:t>
            </w:r>
          </w:p>
        </w:tc>
        <w:tc>
          <w:tcPr>
            <w:tcW w:w="1276" w:type="dxa"/>
          </w:tcPr>
          <w:p>
            <w:pPr>
              <w:pStyle w:val="nTable"/>
              <w:spacing w:after="40"/>
            </w:pPr>
            <w:r>
              <w:t xml:space="preserve">14 Aug 1981 p. 3340 </w:t>
            </w:r>
          </w:p>
        </w:tc>
        <w:tc>
          <w:tcPr>
            <w:tcW w:w="2722" w:type="dxa"/>
          </w:tcPr>
          <w:p>
            <w:pPr>
              <w:pStyle w:val="nTable"/>
              <w:spacing w:after="40"/>
            </w:pPr>
            <w:r>
              <w:t>14 Aug 1981</w:t>
            </w:r>
          </w:p>
        </w:tc>
      </w:tr>
      <w:tr>
        <w:trPr>
          <w:cantSplit/>
        </w:trPr>
        <w:tc>
          <w:tcPr>
            <w:tcW w:w="3090" w:type="dxa"/>
          </w:tcPr>
          <w:p>
            <w:pPr>
              <w:pStyle w:val="nTable"/>
              <w:spacing w:after="40"/>
            </w:pPr>
            <w:r>
              <w:rPr>
                <w:i/>
              </w:rPr>
              <w:t>Jetties Act Amendment Regulations 1982</w:t>
            </w:r>
          </w:p>
        </w:tc>
        <w:tc>
          <w:tcPr>
            <w:tcW w:w="1276" w:type="dxa"/>
          </w:tcPr>
          <w:p>
            <w:pPr>
              <w:pStyle w:val="nTable"/>
              <w:spacing w:after="40"/>
            </w:pPr>
            <w:r>
              <w:t>9 Jul 1982 p. 2509-11</w:t>
            </w:r>
          </w:p>
        </w:tc>
        <w:tc>
          <w:tcPr>
            <w:tcW w:w="2722" w:type="dxa"/>
          </w:tcPr>
          <w:p>
            <w:pPr>
              <w:pStyle w:val="nTable"/>
              <w:spacing w:after="40"/>
            </w:pPr>
            <w:r>
              <w:t>9 Jul 1982</w:t>
            </w:r>
          </w:p>
        </w:tc>
      </w:tr>
      <w:tr>
        <w:trPr>
          <w:cantSplit/>
        </w:trPr>
        <w:tc>
          <w:tcPr>
            <w:tcW w:w="3090" w:type="dxa"/>
          </w:tcPr>
          <w:p>
            <w:pPr>
              <w:pStyle w:val="nTable"/>
              <w:spacing w:after="40"/>
            </w:pPr>
            <w:r>
              <w:rPr>
                <w:i/>
              </w:rPr>
              <w:t>Jetties Act Amendment Regulations 1983</w:t>
            </w:r>
          </w:p>
        </w:tc>
        <w:tc>
          <w:tcPr>
            <w:tcW w:w="1276" w:type="dxa"/>
          </w:tcPr>
          <w:p>
            <w:pPr>
              <w:pStyle w:val="nTable"/>
              <w:spacing w:after="40"/>
            </w:pPr>
            <w:r>
              <w:t>5 Aug 1983 p. 2834-6</w:t>
            </w:r>
          </w:p>
        </w:tc>
        <w:tc>
          <w:tcPr>
            <w:tcW w:w="2722" w:type="dxa"/>
          </w:tcPr>
          <w:p>
            <w:pPr>
              <w:pStyle w:val="nTable"/>
              <w:spacing w:after="40"/>
            </w:pPr>
            <w:r>
              <w:t>5 Aug 1983</w:t>
            </w:r>
          </w:p>
        </w:tc>
      </w:tr>
      <w:tr>
        <w:trPr>
          <w:cantSplit/>
        </w:trPr>
        <w:tc>
          <w:tcPr>
            <w:tcW w:w="3090" w:type="dxa"/>
          </w:tcPr>
          <w:p>
            <w:pPr>
              <w:pStyle w:val="nTable"/>
              <w:spacing w:after="40"/>
            </w:pPr>
            <w:r>
              <w:rPr>
                <w:i/>
              </w:rPr>
              <w:t>Jetties Act Amendment Regulations (No. 2) 1983</w:t>
            </w:r>
          </w:p>
        </w:tc>
        <w:tc>
          <w:tcPr>
            <w:tcW w:w="1276" w:type="dxa"/>
          </w:tcPr>
          <w:p>
            <w:pPr>
              <w:pStyle w:val="nTable"/>
              <w:spacing w:after="40"/>
            </w:pPr>
            <w:r>
              <w:t>23 Sep 1983 p. 3817</w:t>
            </w:r>
          </w:p>
        </w:tc>
        <w:tc>
          <w:tcPr>
            <w:tcW w:w="2722" w:type="dxa"/>
          </w:tcPr>
          <w:p>
            <w:pPr>
              <w:pStyle w:val="nTable"/>
              <w:spacing w:after="40"/>
            </w:pPr>
            <w:r>
              <w:t>1 Oct 1983 (see r. 2)</w:t>
            </w:r>
          </w:p>
        </w:tc>
      </w:tr>
      <w:tr>
        <w:trPr>
          <w:cantSplit/>
        </w:trPr>
        <w:tc>
          <w:tcPr>
            <w:tcW w:w="3090" w:type="dxa"/>
          </w:tcPr>
          <w:p>
            <w:pPr>
              <w:pStyle w:val="nTable"/>
              <w:spacing w:after="40"/>
            </w:pPr>
            <w:r>
              <w:rPr>
                <w:i/>
              </w:rPr>
              <w:t>Jetties Act Amendment Regulations (No. 3) 1983</w:t>
            </w:r>
          </w:p>
        </w:tc>
        <w:tc>
          <w:tcPr>
            <w:tcW w:w="1276" w:type="dxa"/>
          </w:tcPr>
          <w:p>
            <w:pPr>
              <w:pStyle w:val="nTable"/>
              <w:spacing w:after="40"/>
            </w:pPr>
            <w:r>
              <w:t>25 Nov 1983 p. 4669-70</w:t>
            </w:r>
          </w:p>
        </w:tc>
        <w:tc>
          <w:tcPr>
            <w:tcW w:w="2722" w:type="dxa"/>
          </w:tcPr>
          <w:p>
            <w:pPr>
              <w:pStyle w:val="nTable"/>
              <w:spacing w:after="40"/>
            </w:pPr>
            <w:r>
              <w:t>25 Nov 1983</w:t>
            </w:r>
          </w:p>
        </w:tc>
      </w:tr>
      <w:tr>
        <w:trPr>
          <w:cantSplit/>
        </w:trPr>
        <w:tc>
          <w:tcPr>
            <w:tcW w:w="3090" w:type="dxa"/>
          </w:tcPr>
          <w:p>
            <w:pPr>
              <w:pStyle w:val="nTable"/>
              <w:spacing w:after="40"/>
            </w:pPr>
            <w:r>
              <w:rPr>
                <w:i/>
              </w:rPr>
              <w:t>Jetties Act Amendment Regulations 1984</w:t>
            </w:r>
          </w:p>
        </w:tc>
        <w:tc>
          <w:tcPr>
            <w:tcW w:w="1276" w:type="dxa"/>
          </w:tcPr>
          <w:p>
            <w:pPr>
              <w:pStyle w:val="nTable"/>
              <w:spacing w:after="40"/>
            </w:pPr>
            <w:r>
              <w:t>6 Jul 1984 p. 2028-9</w:t>
            </w:r>
          </w:p>
        </w:tc>
        <w:tc>
          <w:tcPr>
            <w:tcW w:w="2722" w:type="dxa"/>
          </w:tcPr>
          <w:p>
            <w:pPr>
              <w:pStyle w:val="nTable"/>
              <w:spacing w:after="40"/>
            </w:pPr>
            <w:r>
              <w:t>6 Jul 1984</w:t>
            </w:r>
          </w:p>
        </w:tc>
      </w:tr>
      <w:tr>
        <w:trPr>
          <w:cantSplit/>
        </w:trPr>
        <w:tc>
          <w:tcPr>
            <w:tcW w:w="3090" w:type="dxa"/>
          </w:tcPr>
          <w:p>
            <w:pPr>
              <w:pStyle w:val="nTable"/>
              <w:spacing w:after="40"/>
            </w:pPr>
            <w:r>
              <w:rPr>
                <w:i/>
              </w:rPr>
              <w:t>Jetties Act Amendment Regulations (No. 2) 1984</w:t>
            </w:r>
          </w:p>
        </w:tc>
        <w:tc>
          <w:tcPr>
            <w:tcW w:w="1276" w:type="dxa"/>
          </w:tcPr>
          <w:p>
            <w:pPr>
              <w:pStyle w:val="nTable"/>
              <w:spacing w:after="40"/>
            </w:pPr>
            <w:r>
              <w:t>7 Sep 1984 p. 2859</w:t>
            </w:r>
          </w:p>
        </w:tc>
        <w:tc>
          <w:tcPr>
            <w:tcW w:w="2722" w:type="dxa"/>
          </w:tcPr>
          <w:p>
            <w:pPr>
              <w:pStyle w:val="nTable"/>
              <w:spacing w:after="40"/>
            </w:pPr>
            <w:r>
              <w:t>7 Sep 1984</w:t>
            </w:r>
          </w:p>
        </w:tc>
      </w:tr>
      <w:tr>
        <w:trPr>
          <w:cantSplit/>
        </w:trPr>
        <w:tc>
          <w:tcPr>
            <w:tcW w:w="3090" w:type="dxa"/>
          </w:tcPr>
          <w:p>
            <w:pPr>
              <w:pStyle w:val="nTable"/>
              <w:spacing w:after="40"/>
            </w:pPr>
            <w:r>
              <w:rPr>
                <w:i/>
              </w:rPr>
              <w:t>Jetties Act Amendment Regulations 1985</w:t>
            </w:r>
          </w:p>
        </w:tc>
        <w:tc>
          <w:tcPr>
            <w:tcW w:w="1276" w:type="dxa"/>
          </w:tcPr>
          <w:p>
            <w:pPr>
              <w:pStyle w:val="nTable"/>
              <w:spacing w:after="40"/>
            </w:pPr>
            <w:r>
              <w:t>30 Aug 1985 p. 3077-9</w:t>
            </w:r>
          </w:p>
        </w:tc>
        <w:tc>
          <w:tcPr>
            <w:tcW w:w="2722" w:type="dxa"/>
          </w:tcPr>
          <w:p>
            <w:pPr>
              <w:pStyle w:val="nTable"/>
              <w:spacing w:after="40"/>
            </w:pPr>
            <w:r>
              <w:t>2 Sep 1985 (see r. 3)</w:t>
            </w:r>
          </w:p>
        </w:tc>
      </w:tr>
      <w:tr>
        <w:trPr>
          <w:cantSplit/>
        </w:trPr>
        <w:tc>
          <w:tcPr>
            <w:tcW w:w="3090" w:type="dxa"/>
          </w:tcPr>
          <w:p>
            <w:pPr>
              <w:pStyle w:val="nTable"/>
              <w:spacing w:after="40"/>
            </w:pPr>
            <w:r>
              <w:rPr>
                <w:i/>
              </w:rPr>
              <w:t>Jetties Amendment Regulations 1986</w:t>
            </w:r>
          </w:p>
        </w:tc>
        <w:tc>
          <w:tcPr>
            <w:tcW w:w="1276" w:type="dxa"/>
          </w:tcPr>
          <w:p>
            <w:pPr>
              <w:pStyle w:val="nTable"/>
              <w:spacing w:after="40"/>
            </w:pPr>
            <w:r>
              <w:t>8 Aug 1986 p. 2828-30</w:t>
            </w:r>
          </w:p>
        </w:tc>
        <w:tc>
          <w:tcPr>
            <w:tcW w:w="2722" w:type="dxa"/>
          </w:tcPr>
          <w:p>
            <w:pPr>
              <w:pStyle w:val="nTable"/>
              <w:spacing w:after="40"/>
            </w:pPr>
            <w:r>
              <w:t>8 Aug 1986</w:t>
            </w:r>
          </w:p>
        </w:tc>
      </w:tr>
      <w:tr>
        <w:trPr>
          <w:cantSplit/>
        </w:trPr>
        <w:tc>
          <w:tcPr>
            <w:tcW w:w="3090" w:type="dxa"/>
          </w:tcPr>
          <w:p>
            <w:pPr>
              <w:pStyle w:val="nTable"/>
              <w:spacing w:after="40"/>
            </w:pPr>
            <w:r>
              <w:rPr>
                <w:i/>
              </w:rPr>
              <w:t>Jetties Amendment Regulations 1987</w:t>
            </w:r>
          </w:p>
        </w:tc>
        <w:tc>
          <w:tcPr>
            <w:tcW w:w="1276" w:type="dxa"/>
          </w:tcPr>
          <w:p>
            <w:pPr>
              <w:pStyle w:val="nTable"/>
              <w:spacing w:after="40"/>
            </w:pPr>
            <w:r>
              <w:t>16 Oct 1987 p. 3893-5</w:t>
            </w:r>
          </w:p>
        </w:tc>
        <w:tc>
          <w:tcPr>
            <w:tcW w:w="2722" w:type="dxa"/>
          </w:tcPr>
          <w:p>
            <w:pPr>
              <w:pStyle w:val="nTable"/>
              <w:spacing w:after="40"/>
            </w:pPr>
            <w:r>
              <w:t>16 Oct 1987</w:t>
            </w:r>
          </w:p>
        </w:tc>
      </w:tr>
      <w:tr>
        <w:trPr>
          <w:cantSplit/>
        </w:trPr>
        <w:tc>
          <w:tcPr>
            <w:tcW w:w="3090" w:type="dxa"/>
          </w:tcPr>
          <w:p>
            <w:pPr>
              <w:pStyle w:val="nTable"/>
              <w:spacing w:after="40"/>
            </w:pPr>
            <w:r>
              <w:rPr>
                <w:i/>
              </w:rPr>
              <w:t>Jetties Amendment Regulations 1988</w:t>
            </w:r>
          </w:p>
        </w:tc>
        <w:tc>
          <w:tcPr>
            <w:tcW w:w="1276" w:type="dxa"/>
          </w:tcPr>
          <w:p>
            <w:pPr>
              <w:pStyle w:val="nTable"/>
              <w:spacing w:after="40"/>
            </w:pPr>
            <w:r>
              <w:t>14 Oct 1988 p. 4164-6</w:t>
            </w:r>
          </w:p>
        </w:tc>
        <w:tc>
          <w:tcPr>
            <w:tcW w:w="2722" w:type="dxa"/>
          </w:tcPr>
          <w:p>
            <w:pPr>
              <w:pStyle w:val="nTable"/>
              <w:spacing w:after="40"/>
            </w:pPr>
            <w:r>
              <w:t>14 Oct 1988</w:t>
            </w:r>
          </w:p>
        </w:tc>
      </w:tr>
      <w:tr>
        <w:trPr>
          <w:cantSplit/>
        </w:trPr>
        <w:tc>
          <w:tcPr>
            <w:tcW w:w="3090" w:type="dxa"/>
          </w:tcPr>
          <w:p>
            <w:pPr>
              <w:pStyle w:val="nTable"/>
              <w:spacing w:after="40"/>
            </w:pPr>
            <w:r>
              <w:rPr>
                <w:i/>
              </w:rPr>
              <w:t>Jetties Amendment Regulations 1989</w:t>
            </w:r>
          </w:p>
        </w:tc>
        <w:tc>
          <w:tcPr>
            <w:tcW w:w="1276" w:type="dxa"/>
          </w:tcPr>
          <w:p>
            <w:pPr>
              <w:pStyle w:val="nTable"/>
              <w:spacing w:after="40"/>
            </w:pPr>
            <w:r>
              <w:t>19 May 1989 p. 1493-6</w:t>
            </w:r>
          </w:p>
        </w:tc>
        <w:tc>
          <w:tcPr>
            <w:tcW w:w="2722" w:type="dxa"/>
          </w:tcPr>
          <w:p>
            <w:pPr>
              <w:pStyle w:val="nTable"/>
              <w:spacing w:after="40"/>
            </w:pPr>
            <w:r>
              <w:t>19 May 1989</w:t>
            </w:r>
          </w:p>
        </w:tc>
      </w:tr>
      <w:tr>
        <w:trPr>
          <w:cantSplit/>
        </w:trPr>
        <w:tc>
          <w:tcPr>
            <w:tcW w:w="3090" w:type="dxa"/>
          </w:tcPr>
          <w:p>
            <w:pPr>
              <w:pStyle w:val="nTable"/>
              <w:spacing w:after="40"/>
            </w:pPr>
            <w:r>
              <w:rPr>
                <w:i/>
              </w:rPr>
              <w:t xml:space="preserve">Jetties Amendment Regulations </w:t>
            </w:r>
            <w:r>
              <w:rPr>
                <w:i/>
              </w:rPr>
              <w:br/>
              <w:t>(No. 2) 1989</w:t>
            </w:r>
          </w:p>
        </w:tc>
        <w:tc>
          <w:tcPr>
            <w:tcW w:w="1276" w:type="dxa"/>
          </w:tcPr>
          <w:p>
            <w:pPr>
              <w:pStyle w:val="nTable"/>
              <w:spacing w:after="40"/>
            </w:pPr>
            <w:r>
              <w:t>30 Jun 1989 p. 1917-20</w:t>
            </w:r>
          </w:p>
        </w:tc>
        <w:tc>
          <w:tcPr>
            <w:tcW w:w="2722" w:type="dxa"/>
          </w:tcPr>
          <w:p>
            <w:pPr>
              <w:pStyle w:val="nTable"/>
              <w:spacing w:after="40"/>
            </w:pPr>
            <w:r>
              <w:t>1 Jul 1989 (see r. 2)</w:t>
            </w:r>
          </w:p>
        </w:tc>
      </w:tr>
      <w:tr>
        <w:trPr>
          <w:cantSplit/>
        </w:trPr>
        <w:tc>
          <w:tcPr>
            <w:tcW w:w="3090" w:type="dxa"/>
          </w:tcPr>
          <w:p>
            <w:pPr>
              <w:pStyle w:val="nTable"/>
              <w:spacing w:after="40"/>
            </w:pPr>
            <w:r>
              <w:rPr>
                <w:i/>
              </w:rPr>
              <w:t>Jetties Amendment Regulations 1990</w:t>
            </w:r>
          </w:p>
        </w:tc>
        <w:tc>
          <w:tcPr>
            <w:tcW w:w="1276" w:type="dxa"/>
          </w:tcPr>
          <w:p>
            <w:pPr>
              <w:pStyle w:val="nTable"/>
              <w:spacing w:after="40"/>
            </w:pPr>
            <w:r>
              <w:t>1 Aug 1990 p. 3633-40</w:t>
            </w:r>
          </w:p>
        </w:tc>
        <w:tc>
          <w:tcPr>
            <w:tcW w:w="2722" w:type="dxa"/>
          </w:tcPr>
          <w:p>
            <w:pPr>
              <w:pStyle w:val="nTable"/>
              <w:spacing w:after="40"/>
            </w:pPr>
            <w:r>
              <w:t>1 Aug 1990 (see r. 2)</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as at 29 Nov 1990 in </w:t>
            </w:r>
            <w:r>
              <w:rPr>
                <w:b/>
                <w:i/>
              </w:rPr>
              <w:t xml:space="preserve">Gazette </w:t>
            </w:r>
            <w:r>
              <w:rPr>
                <w:b/>
              </w:rPr>
              <w:t>13 Dec 1990 p. 6069-116</w:t>
            </w:r>
            <w:r>
              <w:t xml:space="preserve"> (includes amendments listed above)</w:t>
            </w:r>
          </w:p>
        </w:tc>
      </w:tr>
      <w:tr>
        <w:trPr>
          <w:cantSplit/>
        </w:trPr>
        <w:tc>
          <w:tcPr>
            <w:tcW w:w="3090" w:type="dxa"/>
          </w:tcPr>
          <w:p>
            <w:pPr>
              <w:pStyle w:val="nTable"/>
              <w:spacing w:after="40"/>
            </w:pPr>
            <w:r>
              <w:rPr>
                <w:i/>
              </w:rPr>
              <w:t>Jetties Amendment Regulations 1991</w:t>
            </w:r>
          </w:p>
        </w:tc>
        <w:tc>
          <w:tcPr>
            <w:tcW w:w="1276" w:type="dxa"/>
          </w:tcPr>
          <w:p>
            <w:pPr>
              <w:pStyle w:val="nTable"/>
              <w:spacing w:after="40"/>
            </w:pPr>
            <w:r>
              <w:t>26 Jul 1991 p. 3920</w:t>
            </w:r>
            <w:r>
              <w:noBreakHyphen/>
              <w:t xml:space="preserve">4 </w:t>
            </w:r>
          </w:p>
        </w:tc>
        <w:tc>
          <w:tcPr>
            <w:tcW w:w="2722" w:type="dxa"/>
          </w:tcPr>
          <w:p>
            <w:pPr>
              <w:pStyle w:val="nTable"/>
              <w:spacing w:after="40"/>
            </w:pPr>
            <w:r>
              <w:t>1 Aug 1991 (see r. 2)</w:t>
            </w:r>
          </w:p>
        </w:tc>
      </w:tr>
      <w:tr>
        <w:trPr>
          <w:cantSplit/>
        </w:trPr>
        <w:tc>
          <w:tcPr>
            <w:tcW w:w="3090" w:type="dxa"/>
          </w:tcPr>
          <w:p>
            <w:pPr>
              <w:pStyle w:val="nTable"/>
              <w:spacing w:after="40"/>
            </w:pPr>
            <w:r>
              <w:rPr>
                <w:i/>
              </w:rPr>
              <w:t>Jetties Amendment Regulations 1992</w:t>
            </w:r>
          </w:p>
        </w:tc>
        <w:tc>
          <w:tcPr>
            <w:tcW w:w="1276" w:type="dxa"/>
          </w:tcPr>
          <w:p>
            <w:pPr>
              <w:pStyle w:val="nTable"/>
              <w:spacing w:after="40"/>
            </w:pPr>
            <w:r>
              <w:t>30 Jun 1992 p. 2892</w:t>
            </w:r>
            <w:r>
              <w:noBreakHyphen/>
              <w:t xml:space="preserve">9 </w:t>
            </w:r>
          </w:p>
        </w:tc>
        <w:tc>
          <w:tcPr>
            <w:tcW w:w="2722" w:type="dxa"/>
          </w:tcPr>
          <w:p>
            <w:pPr>
              <w:pStyle w:val="nTable"/>
              <w:spacing w:after="40"/>
            </w:pPr>
            <w:r>
              <w:t>1 Jul 1992 (see r. 2)</w:t>
            </w:r>
          </w:p>
        </w:tc>
      </w:tr>
      <w:tr>
        <w:trPr>
          <w:cantSplit/>
        </w:trPr>
        <w:tc>
          <w:tcPr>
            <w:tcW w:w="3090" w:type="dxa"/>
          </w:tcPr>
          <w:p>
            <w:pPr>
              <w:pStyle w:val="nTable"/>
              <w:spacing w:after="40"/>
            </w:pPr>
            <w:r>
              <w:rPr>
                <w:i/>
              </w:rPr>
              <w:t>Jetties Amendment Regulations 1993</w:t>
            </w:r>
          </w:p>
        </w:tc>
        <w:tc>
          <w:tcPr>
            <w:tcW w:w="1276" w:type="dxa"/>
          </w:tcPr>
          <w:p>
            <w:pPr>
              <w:pStyle w:val="nTable"/>
              <w:spacing w:after="40"/>
            </w:pPr>
            <w:r>
              <w:t xml:space="preserve">7 May 1993 p. 2361 </w:t>
            </w:r>
          </w:p>
        </w:tc>
        <w:tc>
          <w:tcPr>
            <w:tcW w:w="2722" w:type="dxa"/>
          </w:tcPr>
          <w:p>
            <w:pPr>
              <w:pStyle w:val="nTable"/>
              <w:spacing w:after="40"/>
            </w:pPr>
            <w:r>
              <w:t>7 May 1993</w:t>
            </w:r>
          </w:p>
        </w:tc>
      </w:tr>
      <w:tr>
        <w:trPr>
          <w:cantSplit/>
        </w:trPr>
        <w:tc>
          <w:tcPr>
            <w:tcW w:w="3090" w:type="dxa"/>
          </w:tcPr>
          <w:p>
            <w:pPr>
              <w:pStyle w:val="nTable"/>
              <w:spacing w:after="40"/>
            </w:pPr>
            <w:r>
              <w:rPr>
                <w:i/>
              </w:rPr>
              <w:t>Jetties Amendment Regulations</w:t>
            </w:r>
            <w:r>
              <w:rPr>
                <w:i/>
              </w:rPr>
              <w:br/>
              <w:t>(No. 2) 1993</w:t>
            </w:r>
          </w:p>
        </w:tc>
        <w:tc>
          <w:tcPr>
            <w:tcW w:w="1276" w:type="dxa"/>
          </w:tcPr>
          <w:p>
            <w:pPr>
              <w:pStyle w:val="nTable"/>
              <w:spacing w:after="40"/>
            </w:pPr>
            <w:r>
              <w:t>29 Jun 1993 p. 3191</w:t>
            </w:r>
            <w:r>
              <w:noBreakHyphen/>
              <w:t xml:space="preserve">7 </w:t>
            </w:r>
          </w:p>
        </w:tc>
        <w:tc>
          <w:tcPr>
            <w:tcW w:w="2722" w:type="dxa"/>
          </w:tcPr>
          <w:p>
            <w:pPr>
              <w:pStyle w:val="nTable"/>
              <w:spacing w:after="40"/>
            </w:pPr>
            <w:r>
              <w:t>1 Jul 1993 (see r. 2)</w:t>
            </w:r>
          </w:p>
        </w:tc>
      </w:tr>
      <w:tr>
        <w:trPr>
          <w:cantSplit/>
        </w:trPr>
        <w:tc>
          <w:tcPr>
            <w:tcW w:w="3090" w:type="dxa"/>
          </w:tcPr>
          <w:p>
            <w:pPr>
              <w:pStyle w:val="nTable"/>
              <w:spacing w:after="40"/>
            </w:pPr>
            <w:r>
              <w:rPr>
                <w:i/>
              </w:rPr>
              <w:t>Jetties Amendment Regulations 1994</w:t>
            </w:r>
          </w:p>
        </w:tc>
        <w:tc>
          <w:tcPr>
            <w:tcW w:w="1276" w:type="dxa"/>
          </w:tcPr>
          <w:p>
            <w:pPr>
              <w:pStyle w:val="nTable"/>
              <w:spacing w:after="40"/>
            </w:pPr>
            <w:r>
              <w:t>14 Jun 1994 p. 2475</w:t>
            </w:r>
            <w:r>
              <w:noBreakHyphen/>
              <w:t xml:space="preserve">82 </w:t>
            </w:r>
          </w:p>
        </w:tc>
        <w:tc>
          <w:tcPr>
            <w:tcW w:w="2722" w:type="dxa"/>
          </w:tcPr>
          <w:p>
            <w:pPr>
              <w:pStyle w:val="nTable"/>
              <w:spacing w:after="40"/>
            </w:pPr>
            <w:r>
              <w:t>1 Jul 1994 (see r. 2)</w:t>
            </w:r>
          </w:p>
        </w:tc>
      </w:tr>
      <w:tr>
        <w:trPr>
          <w:cantSplit/>
        </w:trPr>
        <w:tc>
          <w:tcPr>
            <w:tcW w:w="3090" w:type="dxa"/>
          </w:tcPr>
          <w:p>
            <w:pPr>
              <w:pStyle w:val="nTable"/>
              <w:spacing w:after="40"/>
            </w:pPr>
            <w:r>
              <w:rPr>
                <w:i/>
              </w:rPr>
              <w:t>Jetties Amendment Regulations 1995</w:t>
            </w:r>
          </w:p>
        </w:tc>
        <w:tc>
          <w:tcPr>
            <w:tcW w:w="1276" w:type="dxa"/>
          </w:tcPr>
          <w:p>
            <w:pPr>
              <w:pStyle w:val="nTable"/>
              <w:spacing w:after="40"/>
            </w:pPr>
            <w:r>
              <w:t>30 Jun 1995 p. 2698</w:t>
            </w:r>
            <w:r>
              <w:noBreakHyphen/>
              <w:t xml:space="preserve">705 </w:t>
            </w:r>
          </w:p>
        </w:tc>
        <w:tc>
          <w:tcPr>
            <w:tcW w:w="2722" w:type="dxa"/>
          </w:tcPr>
          <w:p>
            <w:pPr>
              <w:pStyle w:val="nTable"/>
              <w:spacing w:after="40"/>
            </w:pPr>
            <w:r>
              <w:t>1 Jul 1995 (see r. 2)</w:t>
            </w:r>
          </w:p>
        </w:tc>
      </w:tr>
      <w:tr>
        <w:trPr>
          <w:cantSplit/>
        </w:trPr>
        <w:tc>
          <w:tcPr>
            <w:tcW w:w="3090" w:type="dxa"/>
          </w:tcPr>
          <w:p>
            <w:pPr>
              <w:pStyle w:val="nTable"/>
              <w:spacing w:after="40"/>
            </w:pPr>
            <w:r>
              <w:rPr>
                <w:i/>
              </w:rPr>
              <w:t>Jetties Amendment Regulations 1996</w:t>
            </w:r>
          </w:p>
        </w:tc>
        <w:tc>
          <w:tcPr>
            <w:tcW w:w="1276" w:type="dxa"/>
          </w:tcPr>
          <w:p>
            <w:pPr>
              <w:pStyle w:val="nTable"/>
              <w:spacing w:after="40"/>
            </w:pPr>
            <w:r>
              <w:t>25 Jun 1996 p. 2981</w:t>
            </w:r>
            <w:r>
              <w:noBreakHyphen/>
              <w:t xml:space="preserve">91 </w:t>
            </w:r>
          </w:p>
        </w:tc>
        <w:tc>
          <w:tcPr>
            <w:tcW w:w="2722" w:type="dxa"/>
          </w:tcPr>
          <w:p>
            <w:pPr>
              <w:pStyle w:val="nTable"/>
              <w:spacing w:after="40"/>
            </w:pPr>
            <w:r>
              <w:t>1 Jul 1996 (see r. 2)</w:t>
            </w:r>
          </w:p>
        </w:tc>
      </w:tr>
      <w:tr>
        <w:trPr>
          <w:cantSplit/>
        </w:trPr>
        <w:tc>
          <w:tcPr>
            <w:tcW w:w="3090" w:type="dxa"/>
          </w:tcPr>
          <w:p>
            <w:pPr>
              <w:pStyle w:val="nTable"/>
              <w:spacing w:after="40"/>
            </w:pPr>
            <w:r>
              <w:rPr>
                <w:i/>
              </w:rPr>
              <w:t>Jetties Amendment Regulations 1997</w:t>
            </w:r>
          </w:p>
        </w:tc>
        <w:tc>
          <w:tcPr>
            <w:tcW w:w="1276" w:type="dxa"/>
          </w:tcPr>
          <w:p>
            <w:pPr>
              <w:pStyle w:val="nTable"/>
              <w:spacing w:after="40"/>
            </w:pPr>
            <w:r>
              <w:t xml:space="preserve">13 May 1997 p. 2349 </w:t>
            </w:r>
          </w:p>
        </w:tc>
        <w:tc>
          <w:tcPr>
            <w:tcW w:w="2722" w:type="dxa"/>
          </w:tcPr>
          <w:p>
            <w:pPr>
              <w:pStyle w:val="nTable"/>
              <w:spacing w:after="40"/>
            </w:pPr>
            <w:r>
              <w:t>13 May 1997</w:t>
            </w:r>
          </w:p>
        </w:tc>
      </w:tr>
      <w:tr>
        <w:trPr>
          <w:cantSplit/>
        </w:trPr>
        <w:tc>
          <w:tcPr>
            <w:tcW w:w="3090" w:type="dxa"/>
          </w:tcPr>
          <w:p>
            <w:pPr>
              <w:pStyle w:val="nTable"/>
              <w:spacing w:after="40"/>
            </w:pPr>
            <w:r>
              <w:rPr>
                <w:i/>
              </w:rPr>
              <w:t xml:space="preserve">Jetties Amendment Regulations </w:t>
            </w:r>
            <w:r>
              <w:rPr>
                <w:i/>
              </w:rPr>
              <w:br/>
              <w:t>(No. 2) 1997</w:t>
            </w:r>
          </w:p>
        </w:tc>
        <w:tc>
          <w:tcPr>
            <w:tcW w:w="1276" w:type="dxa"/>
          </w:tcPr>
          <w:p>
            <w:pPr>
              <w:pStyle w:val="nTable"/>
              <w:spacing w:after="40"/>
            </w:pPr>
            <w:r>
              <w:t>27 Jun 1997 p. 3151</w:t>
            </w:r>
            <w:r>
              <w:noBreakHyphen/>
              <w:t xml:space="preserve">64 </w:t>
            </w:r>
          </w:p>
        </w:tc>
        <w:tc>
          <w:tcPr>
            <w:tcW w:w="2722" w:type="dxa"/>
          </w:tcPr>
          <w:p>
            <w:pPr>
              <w:pStyle w:val="nTable"/>
              <w:spacing w:after="40"/>
            </w:pPr>
            <w:r>
              <w:t>1 Jul 1997 (see r. 2)</w:t>
            </w:r>
          </w:p>
        </w:tc>
      </w:tr>
      <w:tr>
        <w:trPr>
          <w:cantSplit/>
        </w:trPr>
        <w:tc>
          <w:tcPr>
            <w:tcW w:w="3090" w:type="dxa"/>
          </w:tcPr>
          <w:p>
            <w:pPr>
              <w:pStyle w:val="nTable"/>
              <w:spacing w:after="40"/>
            </w:pPr>
            <w:r>
              <w:br w:type="page"/>
            </w:r>
            <w:r>
              <w:rPr>
                <w:i/>
              </w:rPr>
              <w:t xml:space="preserve">Miscellaneous Amendments Regulations 1997 </w:t>
            </w:r>
            <w:r>
              <w:t>r. 2</w:t>
            </w:r>
          </w:p>
        </w:tc>
        <w:tc>
          <w:tcPr>
            <w:tcW w:w="1276" w:type="dxa"/>
          </w:tcPr>
          <w:p>
            <w:pPr>
              <w:pStyle w:val="nTable"/>
              <w:spacing w:after="40"/>
            </w:pPr>
            <w:r>
              <w:t xml:space="preserve">6 Jan 1998 p. 33 </w:t>
            </w:r>
          </w:p>
        </w:tc>
        <w:tc>
          <w:tcPr>
            <w:tcW w:w="2722" w:type="dxa"/>
          </w:tcPr>
          <w:p>
            <w:pPr>
              <w:pStyle w:val="nTable"/>
              <w:spacing w:after="40"/>
            </w:pPr>
            <w:r>
              <w:t>6 Jan 1998</w:t>
            </w:r>
          </w:p>
        </w:tc>
      </w:tr>
      <w:tr>
        <w:trPr>
          <w:cantSplit/>
        </w:trPr>
        <w:tc>
          <w:tcPr>
            <w:tcW w:w="3090" w:type="dxa"/>
          </w:tcPr>
          <w:p>
            <w:pPr>
              <w:pStyle w:val="nTable"/>
              <w:spacing w:after="40"/>
              <w:rPr>
                <w:i/>
              </w:rPr>
            </w:pPr>
            <w:r>
              <w:br w:type="page"/>
            </w:r>
            <w:r>
              <w:rPr>
                <w:i/>
              </w:rPr>
              <w:t>Jetties Amendment Regulations 1998</w:t>
            </w:r>
          </w:p>
        </w:tc>
        <w:tc>
          <w:tcPr>
            <w:tcW w:w="1276" w:type="dxa"/>
          </w:tcPr>
          <w:p>
            <w:pPr>
              <w:pStyle w:val="nTable"/>
              <w:spacing w:after="40"/>
            </w:pPr>
            <w:r>
              <w:t>12 May 1998 p. 2775</w:t>
            </w:r>
            <w:r>
              <w:noBreakHyphen/>
              <w:t>90</w:t>
            </w:r>
          </w:p>
        </w:tc>
        <w:tc>
          <w:tcPr>
            <w:tcW w:w="2722" w:type="dxa"/>
          </w:tcPr>
          <w:p>
            <w:pPr>
              <w:pStyle w:val="nTable"/>
              <w:spacing w:after="40"/>
            </w:pPr>
            <w:r>
              <w:t>1 Jul 1998 (see r. 2)</w:t>
            </w:r>
          </w:p>
        </w:tc>
      </w:tr>
      <w:tr>
        <w:trPr>
          <w:cantSplit/>
        </w:trPr>
        <w:tc>
          <w:tcPr>
            <w:tcW w:w="3090" w:type="dxa"/>
          </w:tcPr>
          <w:p>
            <w:pPr>
              <w:pStyle w:val="nTable"/>
              <w:spacing w:after="40"/>
              <w:rPr>
                <w:i/>
              </w:rPr>
            </w:pPr>
            <w:r>
              <w:rPr>
                <w:i/>
              </w:rPr>
              <w:t>Jetties Amendment Regulations 1999</w:t>
            </w:r>
          </w:p>
        </w:tc>
        <w:tc>
          <w:tcPr>
            <w:tcW w:w="1276" w:type="dxa"/>
          </w:tcPr>
          <w:p>
            <w:pPr>
              <w:pStyle w:val="nTable"/>
              <w:spacing w:after="40"/>
            </w:pPr>
            <w:r>
              <w:t>22 Jun 1999 p. 2678</w:t>
            </w:r>
            <w:r>
              <w:noBreakHyphen/>
              <w:t>89</w:t>
            </w:r>
          </w:p>
        </w:tc>
        <w:tc>
          <w:tcPr>
            <w:tcW w:w="2722" w:type="dxa"/>
          </w:tcPr>
          <w:p>
            <w:pPr>
              <w:pStyle w:val="nTable"/>
              <w:spacing w:after="40"/>
            </w:pPr>
            <w:r>
              <w:t>1 Jul 1999 (see r. 2)</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as at 10 Dec 1999</w:t>
            </w:r>
            <w:r>
              <w:t xml:space="preserve"> (includes amendments listed above)</w:t>
            </w:r>
          </w:p>
        </w:tc>
      </w:tr>
      <w:tr>
        <w:trPr>
          <w:cantSplit/>
        </w:trPr>
        <w:tc>
          <w:tcPr>
            <w:tcW w:w="3090" w:type="dxa"/>
          </w:tcPr>
          <w:p>
            <w:pPr>
              <w:pStyle w:val="nTable"/>
              <w:spacing w:after="40"/>
              <w:rPr>
                <w:i/>
              </w:rPr>
            </w:pPr>
            <w:r>
              <w:rPr>
                <w:i/>
              </w:rPr>
              <w:t>Jetties Amendment Regulations 2000</w:t>
            </w:r>
          </w:p>
        </w:tc>
        <w:tc>
          <w:tcPr>
            <w:tcW w:w="1276" w:type="dxa"/>
          </w:tcPr>
          <w:p>
            <w:pPr>
              <w:pStyle w:val="nTable"/>
              <w:spacing w:after="40"/>
            </w:pPr>
            <w:r>
              <w:t>20 Jun 2000 p. 3043</w:t>
            </w:r>
            <w:r>
              <w:noBreakHyphen/>
              <w:t>60</w:t>
            </w:r>
          </w:p>
        </w:tc>
        <w:tc>
          <w:tcPr>
            <w:tcW w:w="2722" w:type="dxa"/>
          </w:tcPr>
          <w:p>
            <w:pPr>
              <w:pStyle w:val="nTable"/>
              <w:spacing w:after="40"/>
            </w:pPr>
            <w:r>
              <w:t>1 Jul 2000 (see r. 2)</w:t>
            </w:r>
          </w:p>
        </w:tc>
      </w:tr>
      <w:tr>
        <w:trPr>
          <w:cantSplit/>
        </w:trPr>
        <w:tc>
          <w:tcPr>
            <w:tcW w:w="3090" w:type="dxa"/>
          </w:tcPr>
          <w:p>
            <w:pPr>
              <w:pStyle w:val="nTable"/>
              <w:spacing w:after="40"/>
              <w:rPr>
                <w:i/>
              </w:rPr>
            </w:pPr>
            <w:r>
              <w:rPr>
                <w:i/>
              </w:rPr>
              <w:t>Jetties Amendment Regulations (No. 2) 2000</w:t>
            </w:r>
          </w:p>
        </w:tc>
        <w:tc>
          <w:tcPr>
            <w:tcW w:w="1276" w:type="dxa"/>
          </w:tcPr>
          <w:p>
            <w:pPr>
              <w:pStyle w:val="nTable"/>
              <w:spacing w:after="40"/>
            </w:pPr>
            <w:r>
              <w:t>18 Aug 2000 p. 4790</w:t>
            </w:r>
          </w:p>
        </w:tc>
        <w:tc>
          <w:tcPr>
            <w:tcW w:w="2722" w:type="dxa"/>
          </w:tcPr>
          <w:p>
            <w:pPr>
              <w:pStyle w:val="nTable"/>
              <w:spacing w:after="40"/>
            </w:pPr>
            <w:r>
              <w:t xml:space="preserve">18 Aug 2000 </w:t>
            </w:r>
          </w:p>
        </w:tc>
      </w:tr>
      <w:tr>
        <w:trPr>
          <w:cantSplit/>
        </w:trPr>
        <w:tc>
          <w:tcPr>
            <w:tcW w:w="3090" w:type="dxa"/>
          </w:tcPr>
          <w:p>
            <w:pPr>
              <w:pStyle w:val="nTable"/>
              <w:spacing w:after="40"/>
              <w:rPr>
                <w:i/>
              </w:rPr>
            </w:pPr>
            <w:r>
              <w:rPr>
                <w:i/>
              </w:rPr>
              <w:t>Jetties Amendment Regulations 2001</w:t>
            </w:r>
          </w:p>
        </w:tc>
        <w:tc>
          <w:tcPr>
            <w:tcW w:w="1276" w:type="dxa"/>
          </w:tcPr>
          <w:p>
            <w:pPr>
              <w:pStyle w:val="nTable"/>
              <w:spacing w:after="40"/>
            </w:pPr>
            <w:r>
              <w:t>27 Jul 2001 p. 3813</w:t>
            </w:r>
            <w:r>
              <w:noBreakHyphen/>
              <w:t>28</w:t>
            </w:r>
          </w:p>
        </w:tc>
        <w:tc>
          <w:tcPr>
            <w:tcW w:w="2722" w:type="dxa"/>
          </w:tcPr>
          <w:p>
            <w:pPr>
              <w:pStyle w:val="nTable"/>
              <w:spacing w:after="40"/>
            </w:pPr>
            <w:r>
              <w:t>1 Aug 2001 (see r. 2)</w:t>
            </w:r>
          </w:p>
        </w:tc>
      </w:tr>
      <w:tr>
        <w:trPr>
          <w:cantSplit/>
        </w:trPr>
        <w:tc>
          <w:tcPr>
            <w:tcW w:w="3090" w:type="dxa"/>
          </w:tcPr>
          <w:p>
            <w:pPr>
              <w:pStyle w:val="nTable"/>
              <w:spacing w:after="40"/>
              <w:rPr>
                <w:i/>
              </w:rPr>
            </w:pPr>
            <w:r>
              <w:rPr>
                <w:i/>
              </w:rPr>
              <w:t>Jetties Amendment Regulations 2002</w:t>
            </w:r>
          </w:p>
        </w:tc>
        <w:tc>
          <w:tcPr>
            <w:tcW w:w="1276" w:type="dxa"/>
          </w:tcPr>
          <w:p>
            <w:pPr>
              <w:pStyle w:val="nTable"/>
              <w:spacing w:after="40"/>
              <w:rPr>
                <w:rFonts w:ascii="Arial" w:hAnsi="Arial"/>
              </w:rPr>
            </w:pPr>
            <w:r>
              <w:t>14 Jun 2002 p. 2299-300</w:t>
            </w:r>
          </w:p>
        </w:tc>
        <w:tc>
          <w:tcPr>
            <w:tcW w:w="2722" w:type="dxa"/>
          </w:tcPr>
          <w:p>
            <w:pPr>
              <w:pStyle w:val="nTable"/>
              <w:spacing w:after="40"/>
            </w:pPr>
            <w:r>
              <w:t xml:space="preserve">14 Jun 2002 </w:t>
            </w:r>
          </w:p>
        </w:tc>
      </w:tr>
      <w:tr>
        <w:trPr>
          <w:cantSplit/>
        </w:trPr>
        <w:tc>
          <w:tcPr>
            <w:tcW w:w="3090" w:type="dxa"/>
          </w:tcPr>
          <w:p>
            <w:pPr>
              <w:pStyle w:val="nTable"/>
              <w:spacing w:after="40"/>
              <w:rPr>
                <w:i/>
              </w:rPr>
            </w:pPr>
            <w:r>
              <w:rPr>
                <w:i/>
              </w:rPr>
              <w:t>Jetties Amendment Regulations (No. 2) 2002</w:t>
            </w:r>
          </w:p>
        </w:tc>
        <w:tc>
          <w:tcPr>
            <w:tcW w:w="1276" w:type="dxa"/>
          </w:tcPr>
          <w:p>
            <w:pPr>
              <w:pStyle w:val="nTable"/>
              <w:spacing w:after="40"/>
              <w:rPr>
                <w:rFonts w:ascii="Arial" w:hAnsi="Arial"/>
              </w:rPr>
            </w:pPr>
            <w:r>
              <w:t>14 Jun 2002 p. 2301</w:t>
            </w:r>
            <w:r>
              <w:noBreakHyphen/>
              <w:t>18</w:t>
            </w:r>
          </w:p>
        </w:tc>
        <w:tc>
          <w:tcPr>
            <w:tcW w:w="2722" w:type="dxa"/>
          </w:tcPr>
          <w:p>
            <w:pPr>
              <w:pStyle w:val="nTable"/>
              <w:spacing w:after="40"/>
            </w:pPr>
            <w:r>
              <w:t>1 Jul 2002 (see r. 2)</w:t>
            </w:r>
          </w:p>
        </w:tc>
      </w:tr>
      <w:tr>
        <w:trPr>
          <w:cantSplit/>
        </w:trPr>
        <w:tc>
          <w:tcPr>
            <w:tcW w:w="3090" w:type="dxa"/>
          </w:tcPr>
          <w:p>
            <w:pPr>
              <w:pStyle w:val="nTable"/>
              <w:spacing w:after="40"/>
              <w:rPr>
                <w:i/>
              </w:rPr>
            </w:pPr>
            <w:r>
              <w:rPr>
                <w:i/>
              </w:rPr>
              <w:t>Jetties Amendment Regulations 2003</w:t>
            </w:r>
          </w:p>
        </w:tc>
        <w:tc>
          <w:tcPr>
            <w:tcW w:w="1276" w:type="dxa"/>
          </w:tcPr>
          <w:p>
            <w:pPr>
              <w:pStyle w:val="nTable"/>
              <w:spacing w:after="40"/>
            </w:pPr>
            <w:r>
              <w:rPr>
                <w:color w:val="000000"/>
              </w:rPr>
              <w:t>27 Jun 2003 p. </w:t>
            </w:r>
            <w:r>
              <w:t>2502</w:t>
            </w:r>
            <w:r>
              <w:noBreakHyphen/>
              <w:t>19</w:t>
            </w:r>
          </w:p>
        </w:tc>
        <w:tc>
          <w:tcPr>
            <w:tcW w:w="2722" w:type="dxa"/>
          </w:tcPr>
          <w:p>
            <w:pPr>
              <w:pStyle w:val="nTable"/>
              <w:spacing w:after="40"/>
            </w:pPr>
            <w:r>
              <w:t>1 Jul 2003 (see r. 2)</w:t>
            </w:r>
          </w:p>
        </w:tc>
      </w:tr>
      <w:tr>
        <w:trPr>
          <w:cantSplit/>
        </w:trPr>
        <w:tc>
          <w:tcPr>
            <w:tcW w:w="3090" w:type="dxa"/>
          </w:tcPr>
          <w:p>
            <w:pPr>
              <w:pStyle w:val="nTable"/>
              <w:spacing w:after="40"/>
              <w:rPr>
                <w:i/>
              </w:rPr>
            </w:pPr>
            <w:r>
              <w:rPr>
                <w:i/>
              </w:rPr>
              <w:t>Jetties Amendment Regulations (No. 2) 2004</w:t>
            </w:r>
          </w:p>
        </w:tc>
        <w:tc>
          <w:tcPr>
            <w:tcW w:w="1276" w:type="dxa"/>
          </w:tcPr>
          <w:p>
            <w:pPr>
              <w:pStyle w:val="nTable"/>
              <w:spacing w:after="40"/>
            </w:pPr>
            <w:r>
              <w:rPr>
                <w:color w:val="000000"/>
              </w:rPr>
              <w:t>25 Jun 2004 p. </w:t>
            </w:r>
            <w:r>
              <w:t>2270</w:t>
            </w:r>
            <w:r>
              <w:noBreakHyphen/>
              <w:t>87</w:t>
            </w:r>
          </w:p>
        </w:tc>
        <w:tc>
          <w:tcPr>
            <w:tcW w:w="2722" w:type="dxa"/>
          </w:tcPr>
          <w:p>
            <w:pPr>
              <w:pStyle w:val="nTable"/>
              <w:spacing w:after="40"/>
            </w:pPr>
            <w:r>
              <w:t>1 Jul 2004 (see r. 2)</w:t>
            </w:r>
          </w:p>
        </w:tc>
      </w:tr>
      <w:tr>
        <w:trPr>
          <w:cantSplit/>
        </w:trPr>
        <w:tc>
          <w:tcPr>
            <w:tcW w:w="3090" w:type="dxa"/>
          </w:tcPr>
          <w:p>
            <w:pPr>
              <w:pStyle w:val="nTable"/>
              <w:spacing w:after="40"/>
              <w:rPr>
                <w:i/>
              </w:rPr>
            </w:pPr>
            <w:r>
              <w:rPr>
                <w:i/>
              </w:rPr>
              <w:t>Jetties Amendment Regulations (No. 3 ) 2004</w:t>
            </w:r>
          </w:p>
        </w:tc>
        <w:tc>
          <w:tcPr>
            <w:tcW w:w="1276" w:type="dxa"/>
          </w:tcPr>
          <w:p>
            <w:pPr>
              <w:pStyle w:val="nTable"/>
              <w:spacing w:after="40"/>
            </w:pPr>
            <w:r>
              <w:t>24 Aug 2004 p. 3658</w:t>
            </w:r>
            <w:r>
              <w:noBreakHyphen/>
              <w:t>9</w:t>
            </w:r>
          </w:p>
        </w:tc>
        <w:tc>
          <w:tcPr>
            <w:tcW w:w="2722" w:type="dxa"/>
          </w:tcPr>
          <w:p>
            <w:pPr>
              <w:pStyle w:val="nTable"/>
              <w:spacing w:after="40"/>
            </w:pPr>
            <w:r>
              <w:t>24 Aug 2004</w:t>
            </w:r>
          </w:p>
        </w:tc>
      </w:tr>
      <w:tr>
        <w:trPr>
          <w:cantSplit/>
        </w:trPr>
        <w:tc>
          <w:tcPr>
            <w:tcW w:w="3090" w:type="dxa"/>
          </w:tcPr>
          <w:p>
            <w:pPr>
              <w:pStyle w:val="nTable"/>
              <w:spacing w:after="40"/>
              <w:rPr>
                <w:i/>
              </w:rPr>
            </w:pPr>
            <w:r>
              <w:rPr>
                <w:i/>
              </w:rPr>
              <w:t>Jetties Amendment Regulations 2004</w:t>
            </w:r>
          </w:p>
        </w:tc>
        <w:tc>
          <w:tcPr>
            <w:tcW w:w="1276" w:type="dxa"/>
          </w:tcPr>
          <w:p>
            <w:pPr>
              <w:pStyle w:val="nTable"/>
              <w:spacing w:after="40"/>
            </w:pPr>
            <w:r>
              <w:t>30 Dec 2004 p. 6953</w:t>
            </w:r>
          </w:p>
        </w:tc>
        <w:tc>
          <w:tcPr>
            <w:tcW w:w="2722" w:type="dxa"/>
          </w:tcPr>
          <w:p>
            <w:pPr>
              <w:pStyle w:val="nTable"/>
              <w:spacing w:after="40"/>
              <w:rPr>
                <w:rFonts w:ascii="Times" w:hAnsi="Times"/>
              </w:rPr>
            </w:pPr>
            <w:r>
              <w:t xml:space="preserve">1 Jan 2005 (see r. 2 and </w:t>
            </w:r>
            <w:r>
              <w:rPr>
                <w:i/>
              </w:rPr>
              <w:t>Gazette</w:t>
            </w:r>
            <w:r>
              <w:t xml:space="preserve"> 31 Dec 2004 p. 7130)</w:t>
            </w:r>
          </w:p>
        </w:tc>
      </w:tr>
      <w:tr>
        <w:trPr>
          <w:cantSplit/>
        </w:trPr>
        <w:tc>
          <w:tcPr>
            <w:tcW w:w="7088" w:type="dxa"/>
            <w:gridSpan w:val="3"/>
          </w:tcPr>
          <w:p>
            <w:pPr>
              <w:pStyle w:val="nTable"/>
              <w:spacing w:after="40"/>
            </w:pPr>
            <w:r>
              <w:rPr>
                <w:b/>
              </w:rPr>
              <w:t xml:space="preserve">Reprint 5: The </w:t>
            </w:r>
            <w:r>
              <w:rPr>
                <w:b/>
                <w:i/>
              </w:rPr>
              <w:t xml:space="preserve">Jetties Regulations 1940 </w:t>
            </w:r>
            <w:r>
              <w:rPr>
                <w:b/>
              </w:rPr>
              <w:t>as at 15 Apr 2005</w:t>
            </w:r>
            <w:r>
              <w:t xml:space="preserve"> (includes amendments listed above)</w:t>
            </w:r>
          </w:p>
        </w:tc>
      </w:tr>
      <w:tr>
        <w:trPr>
          <w:cantSplit/>
        </w:trPr>
        <w:tc>
          <w:tcPr>
            <w:tcW w:w="3090" w:type="dxa"/>
          </w:tcPr>
          <w:p>
            <w:pPr>
              <w:pStyle w:val="nTable"/>
              <w:spacing w:after="40"/>
              <w:rPr>
                <w:bCs/>
                <w:i/>
                <w:iCs/>
              </w:rPr>
            </w:pPr>
            <w:r>
              <w:rPr>
                <w:bCs/>
                <w:i/>
                <w:iCs/>
              </w:rPr>
              <w:t>Jetties Amendment Regulations (No. 2) 2005</w:t>
            </w:r>
          </w:p>
        </w:tc>
        <w:tc>
          <w:tcPr>
            <w:tcW w:w="1276" w:type="dxa"/>
          </w:tcPr>
          <w:p>
            <w:pPr>
              <w:pStyle w:val="nTable"/>
              <w:spacing w:after="40"/>
              <w:rPr>
                <w:bCs/>
              </w:rPr>
            </w:pPr>
            <w:r>
              <w:rPr>
                <w:bCs/>
              </w:rPr>
              <w:t>24 Jun 2005 p. 2813-47</w:t>
            </w:r>
          </w:p>
        </w:tc>
        <w:tc>
          <w:tcPr>
            <w:tcW w:w="2722" w:type="dxa"/>
          </w:tcPr>
          <w:p>
            <w:pPr>
              <w:pStyle w:val="nTable"/>
              <w:spacing w:after="40"/>
              <w:rPr>
                <w:bCs/>
              </w:rPr>
            </w:pPr>
            <w:r>
              <w:rPr>
                <w:bCs/>
              </w:rPr>
              <w:t>1 Jul 2005 (see r. 2)</w:t>
            </w:r>
          </w:p>
        </w:tc>
      </w:tr>
      <w:tr>
        <w:trPr>
          <w:cantSplit/>
        </w:trPr>
        <w:tc>
          <w:tcPr>
            <w:tcW w:w="3090" w:type="dxa"/>
          </w:tcPr>
          <w:p>
            <w:pPr>
              <w:pStyle w:val="nTable"/>
              <w:spacing w:after="40"/>
              <w:rPr>
                <w:bCs/>
                <w:i/>
                <w:iCs/>
              </w:rPr>
            </w:pPr>
            <w:r>
              <w:rPr>
                <w:bCs/>
                <w:i/>
                <w:iCs/>
              </w:rPr>
              <w:t>Jetties Amendment Regulations 2006</w:t>
            </w:r>
          </w:p>
        </w:tc>
        <w:tc>
          <w:tcPr>
            <w:tcW w:w="1276" w:type="dxa"/>
          </w:tcPr>
          <w:p>
            <w:pPr>
              <w:pStyle w:val="nTable"/>
              <w:spacing w:after="40"/>
              <w:rPr>
                <w:bCs/>
              </w:rPr>
            </w:pPr>
            <w:r>
              <w:rPr>
                <w:bCs/>
              </w:rPr>
              <w:t>23 Jun 2006 p. 2193</w:t>
            </w:r>
            <w:r>
              <w:rPr>
                <w:bCs/>
              </w:rPr>
              <w:noBreakHyphen/>
              <w:t>204</w:t>
            </w:r>
          </w:p>
        </w:tc>
        <w:tc>
          <w:tcPr>
            <w:tcW w:w="2722" w:type="dxa"/>
          </w:tcPr>
          <w:p>
            <w:pPr>
              <w:pStyle w:val="nTable"/>
              <w:spacing w:after="40"/>
              <w:rPr>
                <w:bCs/>
              </w:rPr>
            </w:pPr>
            <w:r>
              <w:rPr>
                <w:bCs/>
              </w:rPr>
              <w:t>1 Jul 2006 (see r. 2)</w:t>
            </w:r>
          </w:p>
        </w:tc>
      </w:tr>
      <w:tr>
        <w:trPr>
          <w:cantSplit/>
        </w:trPr>
        <w:tc>
          <w:tcPr>
            <w:tcW w:w="3090" w:type="dxa"/>
          </w:tcPr>
          <w:p>
            <w:pPr>
              <w:pStyle w:val="nTable"/>
              <w:spacing w:after="40"/>
              <w:rPr>
                <w:bCs/>
                <w:i/>
                <w:iCs/>
              </w:rPr>
            </w:pPr>
            <w:r>
              <w:rPr>
                <w:bCs/>
                <w:i/>
                <w:iCs/>
              </w:rPr>
              <w:t>Jetties Amendment Regulations 2007</w:t>
            </w:r>
          </w:p>
        </w:tc>
        <w:tc>
          <w:tcPr>
            <w:tcW w:w="1276" w:type="dxa"/>
          </w:tcPr>
          <w:p>
            <w:pPr>
              <w:pStyle w:val="nTable"/>
              <w:spacing w:after="40"/>
              <w:rPr>
                <w:bCs/>
              </w:rPr>
            </w:pPr>
            <w:r>
              <w:rPr>
                <w:bCs/>
              </w:rPr>
              <w:t>22 Jun 2007 p. 2903</w:t>
            </w:r>
            <w:r>
              <w:rPr>
                <w:bCs/>
              </w:rPr>
              <w:noBreakHyphen/>
              <w:t>40</w:t>
            </w:r>
          </w:p>
        </w:tc>
        <w:tc>
          <w:tcPr>
            <w:tcW w:w="2722" w:type="dxa"/>
          </w:tcPr>
          <w:p>
            <w:pPr>
              <w:pStyle w:val="nTable"/>
              <w:spacing w:after="40"/>
              <w:rPr>
                <w:bCs/>
              </w:rPr>
            </w:pPr>
            <w:r>
              <w:rPr>
                <w:bCs/>
                <w:snapToGrid w:val="0"/>
              </w:rPr>
              <w:t>r. 1 and 2: 22 Jun 2007 (see r. 2(a));</w:t>
            </w:r>
            <w:r>
              <w:rPr>
                <w:bCs/>
                <w:snapToGrid w:val="0"/>
              </w:rPr>
              <w:br/>
              <w:t>Regulations other than r. 1 and 2: 1 Jul 2007 (see r. 2(b)(ii))</w:t>
            </w:r>
          </w:p>
        </w:tc>
      </w:tr>
      <w:tr>
        <w:trPr>
          <w:cantSplit/>
        </w:trPr>
        <w:tc>
          <w:tcPr>
            <w:tcW w:w="7088" w:type="dxa"/>
            <w:gridSpan w:val="3"/>
          </w:tcPr>
          <w:p>
            <w:pPr>
              <w:pStyle w:val="nTable"/>
              <w:spacing w:after="40"/>
              <w:rPr>
                <w:bCs/>
                <w:snapToGrid w:val="0"/>
              </w:rPr>
            </w:pPr>
            <w:r>
              <w:rPr>
                <w:b/>
              </w:rPr>
              <w:t xml:space="preserve">Reprint 6: The </w:t>
            </w:r>
            <w:r>
              <w:rPr>
                <w:b/>
                <w:i/>
              </w:rPr>
              <w:t xml:space="preserve">Jetties Regulations 1940 </w:t>
            </w:r>
            <w:r>
              <w:rPr>
                <w:b/>
              </w:rPr>
              <w:t>as at 9 Nov 2007</w:t>
            </w:r>
            <w:r>
              <w:t xml:space="preserve"> (includes amendments listed above)</w:t>
            </w:r>
          </w:p>
        </w:tc>
      </w:tr>
      <w:tr>
        <w:trPr>
          <w:cantSplit/>
        </w:trPr>
        <w:tc>
          <w:tcPr>
            <w:tcW w:w="3090" w:type="dxa"/>
          </w:tcPr>
          <w:p>
            <w:pPr>
              <w:pStyle w:val="nTable"/>
              <w:spacing w:after="40"/>
              <w:rPr>
                <w:bCs/>
                <w:i/>
                <w:iCs/>
              </w:rPr>
            </w:pPr>
            <w:r>
              <w:rPr>
                <w:bCs/>
                <w:i/>
                <w:iCs/>
              </w:rPr>
              <w:t>Jetties Amendment Regulations (No. 2) 2007</w:t>
            </w:r>
          </w:p>
        </w:tc>
        <w:tc>
          <w:tcPr>
            <w:tcW w:w="1276" w:type="dxa"/>
          </w:tcPr>
          <w:p>
            <w:pPr>
              <w:pStyle w:val="nTable"/>
              <w:spacing w:after="40"/>
              <w:rPr>
                <w:bCs/>
              </w:rPr>
            </w:pPr>
            <w:r>
              <w:rPr>
                <w:bCs/>
              </w:rPr>
              <w:t>7 Dec 2007 p. 5983-4</w:t>
            </w:r>
          </w:p>
        </w:tc>
        <w:tc>
          <w:tcPr>
            <w:tcW w:w="2722" w:type="dxa"/>
          </w:tcPr>
          <w:p>
            <w:pPr>
              <w:pStyle w:val="nTable"/>
              <w:spacing w:after="40"/>
              <w:rPr>
                <w:bCs/>
              </w:rPr>
            </w:pPr>
            <w:r>
              <w:rPr>
                <w:bCs/>
              </w:rPr>
              <w:t>r. 1 and 2: 7 Dec 2007 (see r. 2(a));</w:t>
            </w:r>
            <w:r>
              <w:rPr>
                <w:bCs/>
              </w:rPr>
              <w:br/>
              <w:t>Regulations other than r. 1 and 2: 8 Dec 2007 (see r. 2(b))</w:t>
            </w:r>
          </w:p>
        </w:tc>
      </w:tr>
      <w:tr>
        <w:trPr>
          <w:cantSplit/>
        </w:trPr>
        <w:tc>
          <w:tcPr>
            <w:tcW w:w="3090" w:type="dxa"/>
          </w:tcPr>
          <w:p>
            <w:pPr>
              <w:pStyle w:val="nTable"/>
              <w:spacing w:after="40"/>
              <w:rPr>
                <w:bCs/>
                <w:i/>
                <w:iCs/>
              </w:rPr>
            </w:pPr>
            <w:r>
              <w:rPr>
                <w:bCs/>
                <w:i/>
                <w:iCs/>
              </w:rPr>
              <w:t>Jetties Amendment Regulations 2008</w:t>
            </w:r>
          </w:p>
        </w:tc>
        <w:tc>
          <w:tcPr>
            <w:tcW w:w="1276" w:type="dxa"/>
          </w:tcPr>
          <w:p>
            <w:pPr>
              <w:pStyle w:val="nTable"/>
              <w:spacing w:after="40"/>
              <w:rPr>
                <w:bCs/>
              </w:rPr>
            </w:pPr>
            <w:r>
              <w:rPr>
                <w:bCs/>
              </w:rPr>
              <w:t>8 Feb 2008 p. 314-15</w:t>
            </w:r>
          </w:p>
        </w:tc>
        <w:tc>
          <w:tcPr>
            <w:tcW w:w="2722" w:type="dxa"/>
          </w:tcPr>
          <w:p>
            <w:pPr>
              <w:pStyle w:val="nTable"/>
              <w:spacing w:after="40"/>
              <w:rPr>
                <w:bCs/>
              </w:rPr>
            </w:pPr>
            <w:r>
              <w:rPr>
                <w:bCs/>
              </w:rPr>
              <w:t>r. 1 and 2: 8 Feb 2008 (see r. 2(a));</w:t>
            </w:r>
            <w:r>
              <w:rPr>
                <w:bCs/>
              </w:rPr>
              <w:br/>
              <w:t>Regulations other than r. 1 and 2: 9 Feb 2008 (see r. 2(b))</w:t>
            </w:r>
          </w:p>
        </w:tc>
      </w:tr>
      <w:tr>
        <w:trPr>
          <w:cantSplit/>
        </w:trPr>
        <w:tc>
          <w:tcPr>
            <w:tcW w:w="3090" w:type="dxa"/>
          </w:tcPr>
          <w:p>
            <w:pPr>
              <w:pStyle w:val="nTable"/>
              <w:spacing w:after="40"/>
              <w:rPr>
                <w:bCs/>
                <w:i/>
                <w:iCs/>
              </w:rPr>
            </w:pPr>
            <w:r>
              <w:rPr>
                <w:bCs/>
                <w:i/>
                <w:iCs/>
              </w:rPr>
              <w:t>Jetties Amendment Regulations (No. 2) 2008</w:t>
            </w:r>
          </w:p>
        </w:tc>
        <w:tc>
          <w:tcPr>
            <w:tcW w:w="1276" w:type="dxa"/>
          </w:tcPr>
          <w:p>
            <w:pPr>
              <w:pStyle w:val="nTable"/>
              <w:spacing w:after="40"/>
              <w:rPr>
                <w:bCs/>
              </w:rPr>
            </w:pPr>
            <w:r>
              <w:rPr>
                <w:bCs/>
              </w:rPr>
              <w:t>1 Jul 2008 p. 3140</w:t>
            </w:r>
            <w:r>
              <w:rPr>
                <w:bCs/>
              </w:rPr>
              <w:noBreakHyphen/>
              <w:t>53</w:t>
            </w:r>
          </w:p>
        </w:tc>
        <w:tc>
          <w:tcPr>
            <w:tcW w:w="2722" w:type="dxa"/>
          </w:tcPr>
          <w:p>
            <w:pPr>
              <w:pStyle w:val="nTable"/>
              <w:spacing w:after="40"/>
              <w:rPr>
                <w:bCs/>
              </w:rPr>
            </w:pPr>
            <w:r>
              <w:rPr>
                <w:bCs/>
              </w:rPr>
              <w:t>r. 1 and 2: 1 Jul 2008 (see r. 2(a));</w:t>
            </w:r>
            <w:r>
              <w:rPr>
                <w:bCs/>
              </w:rPr>
              <w:br/>
              <w:t>Regulations other than r. 1 and 2: 1 Jul 2008 (see r. 2(b))</w:t>
            </w:r>
          </w:p>
        </w:tc>
      </w:tr>
      <w:tr>
        <w:trPr>
          <w:cantSplit/>
        </w:trPr>
        <w:tc>
          <w:tcPr>
            <w:tcW w:w="7088" w:type="dxa"/>
            <w:gridSpan w:val="3"/>
          </w:tcPr>
          <w:p>
            <w:pPr>
              <w:pStyle w:val="nTable"/>
              <w:spacing w:after="40"/>
              <w:rPr>
                <w:bCs/>
              </w:rPr>
            </w:pPr>
            <w:r>
              <w:rPr>
                <w:b/>
              </w:rPr>
              <w:t xml:space="preserve">Reprint 7:  The </w:t>
            </w:r>
            <w:r>
              <w:rPr>
                <w:b/>
                <w:i/>
              </w:rPr>
              <w:t xml:space="preserve">Jetties Regulations 1940 </w:t>
            </w:r>
            <w:r>
              <w:rPr>
                <w:b/>
              </w:rPr>
              <w:t xml:space="preserve">as at 13 Feb 2009 </w:t>
            </w:r>
            <w:r>
              <w:rPr>
                <w:bCs/>
              </w:rPr>
              <w:t xml:space="preserve">(includes amendments listed above) </w:t>
            </w:r>
          </w:p>
        </w:tc>
      </w:tr>
      <w:tr>
        <w:trPr>
          <w:cantSplit/>
        </w:trPr>
        <w:tc>
          <w:tcPr>
            <w:tcW w:w="3090" w:type="dxa"/>
          </w:tcPr>
          <w:p>
            <w:pPr>
              <w:pStyle w:val="nTable"/>
              <w:spacing w:after="40"/>
              <w:rPr>
                <w:bCs/>
                <w:i/>
                <w:iCs/>
              </w:rPr>
            </w:pPr>
            <w:r>
              <w:rPr>
                <w:bCs/>
                <w:i/>
                <w:iCs/>
              </w:rPr>
              <w:t>Jetties Amendment Regulations 2009</w:t>
            </w:r>
          </w:p>
        </w:tc>
        <w:tc>
          <w:tcPr>
            <w:tcW w:w="1276" w:type="dxa"/>
          </w:tcPr>
          <w:p>
            <w:pPr>
              <w:pStyle w:val="nTable"/>
              <w:spacing w:after="40"/>
              <w:rPr>
                <w:bCs/>
              </w:rPr>
            </w:pPr>
            <w:r>
              <w:rPr>
                <w:bCs/>
              </w:rPr>
              <w:t>23 Jun 2009 p. 2490-1</w:t>
            </w:r>
          </w:p>
        </w:tc>
        <w:tc>
          <w:tcPr>
            <w:tcW w:w="2722" w:type="dxa"/>
          </w:tcPr>
          <w:p>
            <w:pPr>
              <w:pStyle w:val="nTable"/>
              <w:spacing w:after="40"/>
              <w:rPr>
                <w:bCs/>
              </w:rPr>
            </w:pPr>
            <w:r>
              <w:rPr>
                <w:bCs/>
              </w:rPr>
              <w:t>r. 1 and 2: 23 Jun 2009 (see r. 2(a));</w:t>
            </w:r>
            <w:r>
              <w:rPr>
                <w:bCs/>
              </w:rPr>
              <w:br/>
              <w:t>Regulations other than r. 1 and 2: 24 Jun 2009 (see r. 2(b))</w:t>
            </w:r>
          </w:p>
        </w:tc>
      </w:tr>
      <w:tr>
        <w:trPr>
          <w:cantSplit/>
        </w:trPr>
        <w:tc>
          <w:tcPr>
            <w:tcW w:w="3090" w:type="dxa"/>
          </w:tcPr>
          <w:p>
            <w:pPr>
              <w:pStyle w:val="nTable"/>
              <w:spacing w:after="40"/>
              <w:rPr>
                <w:bCs/>
                <w:i/>
                <w:iCs/>
              </w:rPr>
            </w:pPr>
            <w:r>
              <w:rPr>
                <w:bCs/>
                <w:i/>
                <w:iCs/>
              </w:rPr>
              <w:t>Jetties Amendment Regulations (No. 2) 2009</w:t>
            </w:r>
          </w:p>
        </w:tc>
        <w:tc>
          <w:tcPr>
            <w:tcW w:w="1276" w:type="dxa"/>
          </w:tcPr>
          <w:p>
            <w:pPr>
              <w:pStyle w:val="nTable"/>
              <w:spacing w:after="40"/>
              <w:rPr>
                <w:bCs/>
              </w:rPr>
            </w:pPr>
            <w:r>
              <w:rPr>
                <w:bCs/>
              </w:rPr>
              <w:t>31 Jul 2009 p. 3071-97</w:t>
            </w:r>
          </w:p>
        </w:tc>
        <w:tc>
          <w:tcPr>
            <w:tcW w:w="2722" w:type="dxa"/>
          </w:tcPr>
          <w:p>
            <w:pPr>
              <w:pStyle w:val="nTable"/>
              <w:spacing w:after="40"/>
              <w:rPr>
                <w:bCs/>
              </w:rPr>
            </w:pPr>
            <w:r>
              <w:rPr>
                <w:bCs/>
              </w:rPr>
              <w:t>r. 1 and 2: 31 Jul 2009 (see r. 2(a));</w:t>
            </w:r>
            <w:r>
              <w:rPr>
                <w:bCs/>
              </w:rPr>
              <w:br/>
              <w:t>Regulations other than r. 1 and 2: 1 Aug 2009 (see r. 2(b))</w:t>
            </w:r>
          </w:p>
        </w:tc>
      </w:tr>
      <w:tr>
        <w:trPr>
          <w:cantSplit/>
        </w:trPr>
        <w:tc>
          <w:tcPr>
            <w:tcW w:w="3090" w:type="dxa"/>
          </w:tcPr>
          <w:p>
            <w:pPr>
              <w:pStyle w:val="nTable"/>
              <w:spacing w:after="40"/>
              <w:rPr>
                <w:bCs/>
                <w:i/>
                <w:iCs/>
              </w:rPr>
            </w:pPr>
            <w:r>
              <w:rPr>
                <w:bCs/>
                <w:i/>
                <w:iCs/>
              </w:rPr>
              <w:t>Jetties Amendment Regulations 2010</w:t>
            </w:r>
          </w:p>
        </w:tc>
        <w:tc>
          <w:tcPr>
            <w:tcW w:w="1276" w:type="dxa"/>
          </w:tcPr>
          <w:p>
            <w:pPr>
              <w:pStyle w:val="nTable"/>
              <w:spacing w:after="40"/>
              <w:rPr>
                <w:bCs/>
              </w:rPr>
            </w:pPr>
            <w:r>
              <w:rPr>
                <w:bCs/>
              </w:rPr>
              <w:t>16 Jul 2010 p. 3309-54</w:t>
            </w:r>
          </w:p>
        </w:tc>
        <w:tc>
          <w:tcPr>
            <w:tcW w:w="2722" w:type="dxa"/>
          </w:tcPr>
          <w:p>
            <w:pPr>
              <w:pStyle w:val="nTable"/>
              <w:spacing w:after="40"/>
              <w:rPr>
                <w:bCs/>
              </w:rPr>
            </w:pPr>
            <w:r>
              <w:rPr>
                <w:bCs/>
              </w:rPr>
              <w:t>r. 1 and 2: 16 Jul 2010 (see r. 2(a));</w:t>
            </w:r>
            <w:r>
              <w:rPr>
                <w:bCs/>
              </w:rPr>
              <w:br/>
              <w:t>Regulations other than r. 1 and 2: 17 Jul 2010 (see r. 2(b))</w:t>
            </w:r>
          </w:p>
        </w:tc>
      </w:tr>
      <w:tr>
        <w:trPr>
          <w:cantSplit/>
        </w:trPr>
        <w:tc>
          <w:tcPr>
            <w:tcW w:w="3090" w:type="dxa"/>
          </w:tcPr>
          <w:p>
            <w:pPr>
              <w:pStyle w:val="nTable"/>
              <w:spacing w:after="40"/>
              <w:rPr>
                <w:bCs/>
                <w:i/>
                <w:iCs/>
              </w:rPr>
            </w:pPr>
            <w:r>
              <w:rPr>
                <w:bCs/>
                <w:i/>
                <w:iCs/>
              </w:rPr>
              <w:t>Jetties Amendment Regulations 2011</w:t>
            </w:r>
          </w:p>
        </w:tc>
        <w:tc>
          <w:tcPr>
            <w:tcW w:w="1276" w:type="dxa"/>
          </w:tcPr>
          <w:p>
            <w:pPr>
              <w:pStyle w:val="nTable"/>
              <w:spacing w:after="40"/>
              <w:rPr>
                <w:rFonts w:ascii="Arial" w:hAnsi="Arial"/>
                <w:bCs/>
              </w:rPr>
            </w:pPr>
            <w:r>
              <w:rPr>
                <w:bCs/>
              </w:rPr>
              <w:t>21 Jun 2011 p. 2265</w:t>
            </w:r>
            <w:r>
              <w:rPr>
                <w:bCs/>
              </w:rPr>
              <w:noBreakHyphen/>
              <w:t>303</w:t>
            </w:r>
          </w:p>
        </w:tc>
        <w:tc>
          <w:tcPr>
            <w:tcW w:w="2722" w:type="dxa"/>
          </w:tcPr>
          <w:p>
            <w:pPr>
              <w:pStyle w:val="nTable"/>
              <w:spacing w:after="40"/>
              <w:rPr>
                <w:bCs/>
              </w:rPr>
            </w:pPr>
            <w:r>
              <w:rPr>
                <w:bCs/>
              </w:rPr>
              <w:t>r. 1 and 2: 21 Jun 2011 (see r. 2(a));</w:t>
            </w:r>
            <w:r>
              <w:rPr>
                <w:bCs/>
              </w:rPr>
              <w:br/>
              <w:t>Regulations other than r. 1 and 2: 1 Jul 2011 (see r. 2(b))</w:t>
            </w:r>
          </w:p>
        </w:tc>
      </w:tr>
      <w:tr>
        <w:trPr>
          <w:cantSplit/>
        </w:trPr>
        <w:tc>
          <w:tcPr>
            <w:tcW w:w="3090" w:type="dxa"/>
          </w:tcPr>
          <w:p>
            <w:pPr>
              <w:pStyle w:val="nTable"/>
              <w:spacing w:after="40"/>
              <w:rPr>
                <w:bCs/>
                <w:i/>
                <w:iCs/>
              </w:rPr>
            </w:pPr>
            <w:r>
              <w:rPr>
                <w:bCs/>
                <w:i/>
                <w:iCs/>
              </w:rPr>
              <w:t>Jetties Amendment Regulations 2012</w:t>
            </w:r>
          </w:p>
        </w:tc>
        <w:tc>
          <w:tcPr>
            <w:tcW w:w="1276" w:type="dxa"/>
          </w:tcPr>
          <w:p>
            <w:pPr>
              <w:pStyle w:val="nTable"/>
              <w:spacing w:after="40"/>
              <w:rPr>
                <w:bCs/>
              </w:rPr>
            </w:pPr>
            <w:r>
              <w:rPr>
                <w:bCs/>
              </w:rPr>
              <w:t>13 Jul 2012 p. 3173</w:t>
            </w:r>
            <w:r>
              <w:rPr>
                <w:bCs/>
              </w:rPr>
              <w:noBreakHyphen/>
              <w:t>214</w:t>
            </w:r>
          </w:p>
        </w:tc>
        <w:tc>
          <w:tcPr>
            <w:tcW w:w="2722" w:type="dxa"/>
          </w:tcPr>
          <w:p>
            <w:pPr>
              <w:pStyle w:val="nTable"/>
              <w:spacing w:after="40"/>
              <w:rPr>
                <w:bCs/>
              </w:rPr>
            </w:pPr>
            <w:r>
              <w:rPr>
                <w:bCs/>
              </w:rPr>
              <w:t>r. 1 and 2: 13 Jul 2012 (see r. 2(a));</w:t>
            </w:r>
            <w:r>
              <w:rPr>
                <w:bCs/>
              </w:rPr>
              <w:br/>
              <w:t>Regulations other than r. 1 and 2: 14 Jul 2012 (see r. 2(b))</w:t>
            </w:r>
          </w:p>
        </w:tc>
      </w:tr>
      <w:tr>
        <w:trPr>
          <w:cantSplit/>
        </w:trPr>
        <w:tc>
          <w:tcPr>
            <w:tcW w:w="3090" w:type="dxa"/>
          </w:tcPr>
          <w:p>
            <w:pPr>
              <w:pStyle w:val="nTable"/>
              <w:spacing w:after="40"/>
              <w:rPr>
                <w:bCs/>
                <w:i/>
                <w:iCs/>
              </w:rPr>
            </w:pPr>
            <w:r>
              <w:rPr>
                <w:bCs/>
                <w:i/>
                <w:iCs/>
              </w:rPr>
              <w:t>Jetties Amendment Regulations (No. 2) 2012</w:t>
            </w:r>
          </w:p>
        </w:tc>
        <w:tc>
          <w:tcPr>
            <w:tcW w:w="1276" w:type="dxa"/>
          </w:tcPr>
          <w:p>
            <w:pPr>
              <w:pStyle w:val="nTable"/>
              <w:spacing w:after="40"/>
              <w:rPr>
                <w:bCs/>
              </w:rPr>
            </w:pPr>
            <w:r>
              <w:rPr>
                <w:bCs/>
              </w:rPr>
              <w:t>23 Oct 2012 p. 5057</w:t>
            </w:r>
          </w:p>
        </w:tc>
        <w:tc>
          <w:tcPr>
            <w:tcW w:w="2722" w:type="dxa"/>
          </w:tcPr>
          <w:p>
            <w:pPr>
              <w:pStyle w:val="nTable"/>
              <w:spacing w:after="40"/>
              <w:rPr>
                <w:bCs/>
              </w:rPr>
            </w:pPr>
            <w:r>
              <w:rPr>
                <w:bCs/>
                <w:snapToGrid w:val="0"/>
              </w:rPr>
              <w:t>r. 1 and 2: 23 Oct 2012 (see r. 2(a));</w:t>
            </w:r>
            <w:r>
              <w:rPr>
                <w:bCs/>
                <w:snapToGrid w:val="0"/>
              </w:rPr>
              <w:br/>
              <w:t>Regulations other than r. 1 and 2: 24 Oct 2012 (see r. 2(b))</w:t>
            </w:r>
          </w:p>
        </w:tc>
      </w:tr>
      <w:tr>
        <w:trPr>
          <w:cantSplit/>
        </w:trPr>
        <w:tc>
          <w:tcPr>
            <w:tcW w:w="3090" w:type="dxa"/>
          </w:tcPr>
          <w:p>
            <w:pPr>
              <w:pStyle w:val="nTable"/>
              <w:spacing w:after="40"/>
              <w:rPr>
                <w:bCs/>
                <w:i/>
                <w:iCs/>
              </w:rPr>
            </w:pPr>
            <w:r>
              <w:rPr>
                <w:bCs/>
                <w:i/>
                <w:iCs/>
              </w:rPr>
              <w:t>Jetties Amendment Regulations 2013</w:t>
            </w:r>
          </w:p>
        </w:tc>
        <w:tc>
          <w:tcPr>
            <w:tcW w:w="1276" w:type="dxa"/>
          </w:tcPr>
          <w:p>
            <w:pPr>
              <w:pStyle w:val="nTable"/>
              <w:spacing w:after="40"/>
              <w:rPr>
                <w:bCs/>
              </w:rPr>
            </w:pPr>
            <w:r>
              <w:rPr>
                <w:bCs/>
              </w:rPr>
              <w:t>7 May 2013 p. 1918-23</w:t>
            </w:r>
          </w:p>
        </w:tc>
        <w:tc>
          <w:tcPr>
            <w:tcW w:w="2722" w:type="dxa"/>
          </w:tcPr>
          <w:p>
            <w:pPr>
              <w:pStyle w:val="nTable"/>
              <w:spacing w:after="40"/>
              <w:rPr>
                <w:rFonts w:ascii="Arial" w:hAnsi="Arial"/>
                <w:bCs/>
                <w:snapToGrid w:val="0"/>
              </w:rPr>
            </w:pPr>
            <w:r>
              <w:rPr>
                <w:bCs/>
                <w:snapToGrid w:val="0"/>
              </w:rPr>
              <w:t>r. 1 and 2: 7 May 2013 (see r. 2(a));</w:t>
            </w:r>
            <w:r>
              <w:rPr>
                <w:bCs/>
                <w:snapToGrid w:val="0"/>
              </w:rPr>
              <w:br/>
              <w:t>Regulations other than r. 1 and 2: 8 May 2013 (see r. 2(b))</w:t>
            </w:r>
          </w:p>
        </w:tc>
      </w:tr>
      <w:tr>
        <w:trPr>
          <w:cantSplit/>
        </w:trPr>
        <w:tc>
          <w:tcPr>
            <w:tcW w:w="3090" w:type="dxa"/>
          </w:tcPr>
          <w:p>
            <w:pPr>
              <w:pStyle w:val="nTable"/>
              <w:spacing w:after="40"/>
              <w:rPr>
                <w:bCs/>
                <w:i/>
                <w:iCs/>
              </w:rPr>
            </w:pPr>
            <w:r>
              <w:rPr>
                <w:bCs/>
                <w:i/>
                <w:iCs/>
              </w:rPr>
              <w:t>Jetties Amendment Regulations (No. 2) 2013</w:t>
            </w:r>
          </w:p>
        </w:tc>
        <w:tc>
          <w:tcPr>
            <w:tcW w:w="1276" w:type="dxa"/>
          </w:tcPr>
          <w:p>
            <w:pPr>
              <w:pStyle w:val="nTable"/>
              <w:spacing w:after="40"/>
              <w:rPr>
                <w:rFonts w:ascii="Arial" w:hAnsi="Arial"/>
                <w:bCs/>
              </w:rPr>
            </w:pPr>
            <w:r>
              <w:rPr>
                <w:bCs/>
              </w:rPr>
              <w:t>28 Jun 2013 p. 2831</w:t>
            </w:r>
            <w:r>
              <w:rPr>
                <w:bCs/>
              </w:rPr>
              <w:noBreakHyphen/>
              <w:t>85</w:t>
            </w:r>
          </w:p>
        </w:tc>
        <w:tc>
          <w:tcPr>
            <w:tcW w:w="2722" w:type="dxa"/>
          </w:tcPr>
          <w:p>
            <w:pPr>
              <w:pStyle w:val="nTable"/>
              <w:spacing w:after="40"/>
              <w:rPr>
                <w:rFonts w:ascii="Arial" w:hAnsi="Arial"/>
                <w:bCs/>
                <w:snapToGrid w:val="0"/>
              </w:rPr>
            </w:pPr>
            <w:r>
              <w:rPr>
                <w:bCs/>
                <w:snapToGrid w:val="0"/>
              </w:rPr>
              <w:t>r. 1 and 2: 28 Jun 2013 (see r. 2(a));</w:t>
            </w:r>
            <w:r>
              <w:rPr>
                <w:bCs/>
                <w:snapToGrid w:val="0"/>
              </w:rPr>
              <w:br/>
              <w:t>Regulations other than r. 1 and 2: 1 Jul 2013 (see r. 2(b))</w:t>
            </w:r>
          </w:p>
        </w:tc>
      </w:tr>
      <w:tr>
        <w:trPr>
          <w:cantSplit/>
        </w:trPr>
        <w:tc>
          <w:tcPr>
            <w:tcW w:w="7088" w:type="dxa"/>
            <w:gridSpan w:val="3"/>
            <w:shd w:val="clear" w:color="auto" w:fill="auto"/>
          </w:tcPr>
          <w:p>
            <w:pPr>
              <w:pStyle w:val="nTable"/>
              <w:spacing w:after="40"/>
              <w:rPr>
                <w:rFonts w:ascii="Arial" w:hAnsi="Arial"/>
                <w:b/>
                <w:bCs/>
                <w:snapToGrid w:val="0"/>
              </w:rPr>
            </w:pPr>
            <w:r>
              <w:rPr>
                <w:b/>
              </w:rPr>
              <w:t xml:space="preserve">Reprint 8:  The </w:t>
            </w:r>
            <w:r>
              <w:rPr>
                <w:b/>
                <w:i/>
              </w:rPr>
              <w:t xml:space="preserve">Jetties Regulations 1940 </w:t>
            </w:r>
            <w:r>
              <w:rPr>
                <w:b/>
              </w:rPr>
              <w:t xml:space="preserve">as at 11 Oct 2013 </w:t>
            </w:r>
            <w:r>
              <w:rPr>
                <w:bCs/>
              </w:rPr>
              <w:t>(includes amendments listed above)</w:t>
            </w:r>
          </w:p>
        </w:tc>
      </w:tr>
      <w:tr>
        <w:trPr>
          <w:cantSplit/>
        </w:trPr>
        <w:tc>
          <w:tcPr>
            <w:tcW w:w="3090" w:type="dxa"/>
          </w:tcPr>
          <w:p>
            <w:pPr>
              <w:pStyle w:val="nTable"/>
              <w:spacing w:after="40"/>
              <w:rPr>
                <w:bCs/>
                <w:i/>
                <w:iCs/>
              </w:rPr>
            </w:pPr>
            <w:r>
              <w:rPr>
                <w:bCs/>
                <w:i/>
                <w:iCs/>
              </w:rPr>
              <w:t>Jetties Amendment Regulations 2014</w:t>
            </w:r>
          </w:p>
        </w:tc>
        <w:tc>
          <w:tcPr>
            <w:tcW w:w="1276" w:type="dxa"/>
          </w:tcPr>
          <w:p>
            <w:pPr>
              <w:pStyle w:val="nTable"/>
              <w:spacing w:after="40"/>
              <w:rPr>
                <w:rFonts w:ascii="Arial" w:hAnsi="Arial"/>
                <w:bCs/>
              </w:rPr>
            </w:pPr>
            <w:r>
              <w:rPr>
                <w:bCs/>
              </w:rPr>
              <w:t>7 Feb 2014 p. 287</w:t>
            </w:r>
            <w:r>
              <w:rPr>
                <w:bCs/>
              </w:rPr>
              <w:noBreakHyphen/>
              <w:t>9</w:t>
            </w:r>
          </w:p>
        </w:tc>
        <w:tc>
          <w:tcPr>
            <w:tcW w:w="2722" w:type="dxa"/>
          </w:tcPr>
          <w:p>
            <w:pPr>
              <w:pStyle w:val="nTable"/>
              <w:spacing w:after="40"/>
              <w:rPr>
                <w:rFonts w:ascii="Arial" w:hAnsi="Arial"/>
                <w:bCs/>
                <w:snapToGrid w:val="0"/>
              </w:rPr>
            </w:pPr>
            <w:r>
              <w:rPr>
                <w:bCs/>
                <w:snapToGrid w:val="0"/>
              </w:rPr>
              <w:t>r. 1 and 2: 7 Feb 2014 (see r. 2(a));</w:t>
            </w:r>
            <w:r>
              <w:rPr>
                <w:bCs/>
                <w:snapToGrid w:val="0"/>
              </w:rPr>
              <w:br/>
              <w:t>Regulations other than r. 1 and 2: 8 Feb 2014 (see r. 2(b))</w:t>
            </w:r>
          </w:p>
        </w:tc>
      </w:tr>
      <w:tr>
        <w:trPr>
          <w:cantSplit/>
        </w:trPr>
        <w:tc>
          <w:tcPr>
            <w:tcW w:w="3090" w:type="dxa"/>
          </w:tcPr>
          <w:p>
            <w:pPr>
              <w:pStyle w:val="nTable"/>
              <w:spacing w:after="40"/>
              <w:rPr>
                <w:bCs/>
                <w:iCs/>
                <w:vertAlign w:val="superscript"/>
              </w:rPr>
            </w:pPr>
            <w:r>
              <w:rPr>
                <w:bCs/>
                <w:i/>
                <w:iCs/>
              </w:rPr>
              <w:t>Jetties Amendment Regulations (No. 2) 2014 </w:t>
            </w:r>
            <w:r>
              <w:rPr>
                <w:bCs/>
                <w:iCs/>
                <w:vertAlign w:val="superscript"/>
              </w:rPr>
              <w:t>11</w:t>
            </w:r>
          </w:p>
        </w:tc>
        <w:tc>
          <w:tcPr>
            <w:tcW w:w="1276" w:type="dxa"/>
          </w:tcPr>
          <w:p>
            <w:pPr>
              <w:pStyle w:val="nTable"/>
              <w:spacing w:after="40"/>
              <w:rPr>
                <w:bCs/>
              </w:rPr>
            </w:pPr>
            <w:r>
              <w:rPr>
                <w:bCs/>
              </w:rPr>
              <w:t>25 Jul 2014 p. 2607-61</w:t>
            </w:r>
          </w:p>
        </w:tc>
        <w:tc>
          <w:tcPr>
            <w:tcW w:w="2722" w:type="dxa"/>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rPr>
          <w:cantSplit/>
        </w:trPr>
        <w:tc>
          <w:tcPr>
            <w:tcW w:w="3090" w:type="dxa"/>
          </w:tcPr>
          <w:p>
            <w:pPr>
              <w:pStyle w:val="nTable"/>
              <w:spacing w:after="40"/>
              <w:rPr>
                <w:bCs/>
                <w:i/>
                <w:iCs/>
              </w:rPr>
            </w:pPr>
            <w:r>
              <w:rPr>
                <w:bCs/>
                <w:i/>
                <w:iCs/>
              </w:rPr>
              <w:t>Jetties Amendment Regulations (No. 4) 2014</w:t>
            </w:r>
          </w:p>
        </w:tc>
        <w:tc>
          <w:tcPr>
            <w:tcW w:w="1276" w:type="dxa"/>
          </w:tcPr>
          <w:p>
            <w:pPr>
              <w:pStyle w:val="nTable"/>
              <w:spacing w:after="40"/>
              <w:rPr>
                <w:bCs/>
              </w:rPr>
            </w:pPr>
            <w:r>
              <w:rPr>
                <w:bCs/>
              </w:rPr>
              <w:t>4 Nov 2014 p. 4204</w:t>
            </w:r>
            <w:r>
              <w:rPr>
                <w:bCs/>
              </w:rPr>
              <w:noBreakHyphen/>
              <w:t>5</w:t>
            </w:r>
          </w:p>
        </w:tc>
        <w:tc>
          <w:tcPr>
            <w:tcW w:w="2722" w:type="dxa"/>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rPr>
          <w:cantSplit/>
        </w:trPr>
        <w:tc>
          <w:tcPr>
            <w:tcW w:w="3090" w:type="dxa"/>
            <w:shd w:val="clear" w:color="auto" w:fill="auto"/>
          </w:tcPr>
          <w:p>
            <w:pPr>
              <w:pStyle w:val="nTable"/>
              <w:spacing w:after="40"/>
              <w:rPr>
                <w:bCs/>
                <w:i/>
                <w:iCs/>
              </w:rPr>
            </w:pPr>
            <w:r>
              <w:rPr>
                <w:bCs/>
                <w:i/>
                <w:iCs/>
              </w:rPr>
              <w:t>Jetties Amendment Regulations 2015</w:t>
            </w:r>
          </w:p>
        </w:tc>
        <w:tc>
          <w:tcPr>
            <w:tcW w:w="1276" w:type="dxa"/>
            <w:shd w:val="clear" w:color="auto" w:fill="auto"/>
          </w:tcPr>
          <w:p>
            <w:pPr>
              <w:pStyle w:val="nTable"/>
              <w:spacing w:after="40"/>
              <w:rPr>
                <w:bCs/>
              </w:rPr>
            </w:pPr>
            <w:r>
              <w:rPr>
                <w:bCs/>
              </w:rPr>
              <w:t>22 Jul 2015 p. 2951</w:t>
            </w:r>
            <w:r>
              <w:rPr>
                <w:bCs/>
              </w:rPr>
              <w:noBreakHyphen/>
              <w:t>95</w:t>
            </w:r>
          </w:p>
        </w:tc>
        <w:tc>
          <w:tcPr>
            <w:tcW w:w="2722" w:type="dxa"/>
            <w:shd w:val="clear" w:color="auto" w:fill="auto"/>
          </w:tcPr>
          <w:p>
            <w:pPr>
              <w:pStyle w:val="nTable"/>
              <w:spacing w:after="40"/>
              <w:rPr>
                <w:bCs/>
                <w:snapToGrid w:val="0"/>
              </w:rPr>
            </w:pPr>
            <w:r>
              <w:rPr>
                <w:bCs/>
                <w:snapToGrid w:val="0"/>
              </w:rPr>
              <w:t xml:space="preserve">r. 1 and 2: </w:t>
            </w:r>
            <w:r>
              <w:rPr>
                <w:bCs/>
              </w:rPr>
              <w:t>22 Jul 2015</w:t>
            </w:r>
            <w:r>
              <w:rPr>
                <w:bCs/>
                <w:snapToGrid w:val="0"/>
              </w:rPr>
              <w:t xml:space="preserve"> (see r. 2(a));</w:t>
            </w:r>
            <w:r>
              <w:rPr>
                <w:bCs/>
                <w:snapToGrid w:val="0"/>
              </w:rPr>
              <w:br/>
              <w:t>Regulations other than r. 1 and 2: 1 Aug 2015 (see r. 2(b))</w:t>
            </w:r>
          </w:p>
        </w:tc>
      </w:tr>
      <w:tr>
        <w:trPr>
          <w:cantSplit/>
        </w:trPr>
        <w:tc>
          <w:tcPr>
            <w:tcW w:w="7088" w:type="dxa"/>
            <w:gridSpan w:val="3"/>
            <w:shd w:val="clear" w:color="auto" w:fill="auto"/>
          </w:tcPr>
          <w:p>
            <w:pPr>
              <w:pStyle w:val="nTable"/>
              <w:spacing w:after="40"/>
              <w:rPr>
                <w:bCs/>
                <w:snapToGrid w:val="0"/>
              </w:rPr>
            </w:pPr>
            <w:r>
              <w:rPr>
                <w:b/>
                <w:bCs/>
                <w:snapToGrid w:val="0"/>
              </w:rPr>
              <w:t xml:space="preserve">Reprint 9: The </w:t>
            </w:r>
            <w:r>
              <w:rPr>
                <w:b/>
                <w:bCs/>
                <w:i/>
                <w:noProof/>
                <w:snapToGrid w:val="0"/>
              </w:rPr>
              <w:t>Jetties Regulations 1940</w:t>
            </w:r>
            <w:r>
              <w:rPr>
                <w:b/>
                <w:bCs/>
                <w:snapToGrid w:val="0"/>
              </w:rPr>
              <w:t xml:space="preserve"> as at 5 Feb 2016</w:t>
            </w:r>
            <w:r>
              <w:rPr>
                <w:bCs/>
                <w:snapToGrid w:val="0"/>
              </w:rPr>
              <w:t xml:space="preserve"> (includes amendments listed above)</w:t>
            </w:r>
          </w:p>
        </w:tc>
      </w:tr>
      <w:tr>
        <w:trPr>
          <w:cantSplit/>
        </w:trPr>
        <w:tc>
          <w:tcPr>
            <w:tcW w:w="3090" w:type="dxa"/>
            <w:shd w:val="clear" w:color="auto" w:fill="auto"/>
          </w:tcPr>
          <w:p>
            <w:pPr>
              <w:pStyle w:val="nTable"/>
              <w:spacing w:after="40"/>
              <w:rPr>
                <w:bCs/>
                <w:i/>
                <w:iCs/>
              </w:rPr>
            </w:pPr>
            <w:r>
              <w:rPr>
                <w:bCs/>
                <w:i/>
                <w:iCs/>
              </w:rPr>
              <w:t>Jetties Amendment Regulations 2016</w:t>
            </w:r>
          </w:p>
        </w:tc>
        <w:tc>
          <w:tcPr>
            <w:tcW w:w="1276" w:type="dxa"/>
            <w:shd w:val="clear" w:color="auto" w:fill="auto"/>
          </w:tcPr>
          <w:p>
            <w:pPr>
              <w:pStyle w:val="nTable"/>
              <w:spacing w:after="40"/>
              <w:rPr>
                <w:bCs/>
              </w:rPr>
            </w:pPr>
            <w:r>
              <w:rPr>
                <w:bCs/>
              </w:rPr>
              <w:t>5 Apr 2016 p. 1022</w:t>
            </w:r>
            <w:r>
              <w:rPr>
                <w:bCs/>
              </w:rPr>
              <w:noBreakHyphen/>
              <w:t>5</w:t>
            </w:r>
          </w:p>
        </w:tc>
        <w:tc>
          <w:tcPr>
            <w:tcW w:w="2722" w:type="dxa"/>
            <w:shd w:val="clear" w:color="auto" w:fill="auto"/>
          </w:tcPr>
          <w:p>
            <w:pPr>
              <w:pStyle w:val="nTable"/>
              <w:spacing w:after="40"/>
              <w:rPr>
                <w:bCs/>
                <w:snapToGrid w:val="0"/>
              </w:rPr>
            </w:pPr>
            <w:r>
              <w:rPr>
                <w:bCs/>
                <w:snapToGrid w:val="0"/>
              </w:rPr>
              <w:t xml:space="preserve">r. 1 and 2: </w:t>
            </w:r>
            <w:r>
              <w:rPr>
                <w:bCs/>
              </w:rPr>
              <w:t>5 Apr 2016</w:t>
            </w:r>
            <w:r>
              <w:rPr>
                <w:bCs/>
                <w:snapToGrid w:val="0"/>
              </w:rPr>
              <w:t xml:space="preserve"> (see r. 2(a));</w:t>
            </w:r>
            <w:r>
              <w:rPr>
                <w:bCs/>
                <w:snapToGrid w:val="0"/>
              </w:rPr>
              <w:br/>
              <w:t xml:space="preserve">Regulations other than r. 1 and 2: </w:t>
            </w:r>
            <w:r>
              <w:rPr>
                <w:bCs/>
              </w:rPr>
              <w:t>6 Apr 2016</w:t>
            </w:r>
            <w:r>
              <w:rPr>
                <w:bCs/>
                <w:snapToGrid w:val="0"/>
              </w:rPr>
              <w:t xml:space="preserve"> (see r. 2(b))</w:t>
            </w:r>
          </w:p>
        </w:tc>
      </w:tr>
      <w:tr>
        <w:tblPrEx>
          <w:tblBorders>
            <w:top w:val="single" w:sz="8" w:space="0" w:color="auto"/>
            <w:bottom w:val="single" w:sz="4" w:space="0" w:color="auto"/>
            <w:insideH w:val="single" w:sz="8" w:space="0" w:color="auto"/>
          </w:tblBorders>
        </w:tblPrEx>
        <w:tc>
          <w:tcPr>
            <w:tcW w:w="3090" w:type="dxa"/>
            <w:tcBorders>
              <w:top w:val="nil"/>
              <w:bottom w:val="single" w:sz="4" w:space="0" w:color="auto"/>
            </w:tcBorders>
          </w:tcPr>
          <w:p>
            <w:pPr>
              <w:pStyle w:val="nTable"/>
              <w:spacing w:after="40"/>
            </w:pPr>
            <w:r>
              <w:rPr>
                <w:bCs/>
                <w:i/>
                <w:iCs/>
              </w:rPr>
              <w:t>Jetties Amendment Regulations (No. 2) 2016</w:t>
            </w:r>
          </w:p>
        </w:tc>
        <w:tc>
          <w:tcPr>
            <w:tcW w:w="1276" w:type="dxa"/>
            <w:tcBorders>
              <w:top w:val="nil"/>
              <w:bottom w:val="single" w:sz="4" w:space="0" w:color="auto"/>
            </w:tcBorders>
          </w:tcPr>
          <w:p>
            <w:pPr>
              <w:pStyle w:val="nTable"/>
              <w:spacing w:after="40"/>
            </w:pPr>
            <w:r>
              <w:t>15 Apr 2016 p. 1172</w:t>
            </w:r>
            <w:r>
              <w:noBreakHyphen/>
              <w:t>81</w:t>
            </w:r>
          </w:p>
        </w:tc>
        <w:tc>
          <w:tcPr>
            <w:tcW w:w="2722" w:type="dxa"/>
            <w:tcBorders>
              <w:top w:val="nil"/>
              <w:bottom w:val="single" w:sz="4" w:space="0" w:color="auto"/>
            </w:tcBorders>
          </w:tcPr>
          <w:p>
            <w:pPr>
              <w:pStyle w:val="nTable"/>
              <w:spacing w:after="40"/>
            </w:pPr>
            <w:r>
              <w:rPr>
                <w:bCs/>
                <w:snapToGrid w:val="0"/>
              </w:rPr>
              <w:t>r. 1 and 2: 1</w:t>
            </w:r>
            <w:r>
              <w:rPr>
                <w:bCs/>
              </w:rPr>
              <w:t>5 Apr 2016</w:t>
            </w:r>
            <w:r>
              <w:rPr>
                <w:bCs/>
                <w:snapToGrid w:val="0"/>
              </w:rPr>
              <w:t xml:space="preserve"> (see r. 2(a));</w:t>
            </w:r>
            <w:r>
              <w:rPr>
                <w:bCs/>
                <w:snapToGrid w:val="0"/>
              </w:rPr>
              <w:br/>
              <w:t>Regulations other than r. 1 and 2:</w:t>
            </w:r>
            <w:r>
              <w:t>1 Jul 2016 (see r. 2(b))</w:t>
            </w:r>
          </w:p>
        </w:tc>
      </w:tr>
    </w:tbl>
    <w:p>
      <w:pPr>
        <w:pStyle w:val="nSubsection"/>
        <w:spacing w:before="160"/>
      </w:pPr>
      <w:r>
        <w:rPr>
          <w:vertAlign w:val="superscript"/>
        </w:rPr>
        <w:t>2</w:t>
      </w:r>
      <w:r>
        <w:rPr>
          <w:vertAlign w:val="superscript"/>
        </w:rPr>
        <w:tab/>
      </w:r>
      <w:r>
        <w:t xml:space="preserve">The </w:t>
      </w:r>
      <w:r>
        <w:rPr>
          <w:i/>
        </w:rPr>
        <w:t>Consumer Credit (Western Australia) Code</w:t>
      </w:r>
      <w:r>
        <w:t xml:space="preserve"> was repealed by the </w:t>
      </w:r>
      <w:r>
        <w:rPr>
          <w:i/>
        </w:rPr>
        <w:t>Credit (Commonwealth Powers) (Transitional and Consequential Provisions) Act 2010</w:t>
      </w:r>
      <w:r>
        <w:t xml:space="preserve"> Pt. 3 Div. 1.</w:t>
      </w:r>
    </w:p>
    <w:p>
      <w:pPr>
        <w:pStyle w:val="nSubsection"/>
      </w:pPr>
      <w:r>
        <w:rPr>
          <w:vertAlign w:val="superscript"/>
        </w:rPr>
        <w:t>3</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Subsection"/>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r>
        <w:t>.</w:t>
      </w:r>
    </w:p>
    <w:p>
      <w:pPr>
        <w:pStyle w:val="nSubsection"/>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reprint was prepared the department principally assisting the Minister in the administration of the </w:t>
      </w:r>
      <w:r>
        <w:rPr>
          <w:i/>
        </w:rPr>
        <w:t>Marine and Harbours Act 1981</w:t>
      </w:r>
      <w:r>
        <w:rPr>
          <w:iCs/>
        </w:rPr>
        <w:t xml:space="preserve"> is the Department of Transport.</w:t>
      </w:r>
    </w:p>
    <w:p>
      <w:pPr>
        <w:pStyle w:val="nSubsection"/>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9</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pPr>
        <w:pStyle w:val="nSubsection"/>
        <w:tabs>
          <w:tab w:val="left" w:pos="720"/>
          <w:tab w:val="left" w:pos="1440"/>
          <w:tab w:val="left" w:pos="2160"/>
          <w:tab w:val="left" w:pos="2880"/>
          <w:tab w:val="left" w:pos="3600"/>
          <w:tab w:val="left" w:pos="4211"/>
        </w:tabs>
      </w:pPr>
      <w:r>
        <w:rPr>
          <w:vertAlign w:val="superscript"/>
        </w:rPr>
        <w:t>11</w:t>
      </w:r>
      <w:r>
        <w:tab/>
        <w:t xml:space="preserve">The </w:t>
      </w:r>
      <w:r>
        <w:rPr>
          <w:i/>
        </w:rPr>
        <w:t>Jetties Amendment Regulations (No. 2) 2014</w:t>
      </w:r>
      <w:r>
        <w:t xml:space="preserve"> r. 17 is not included because of an error in the reference to the provision to be amended. It reads as follows:</w:t>
      </w:r>
    </w:p>
    <w:p>
      <w:pPr>
        <w:pStyle w:val="BlankOpen"/>
      </w:pPr>
    </w:p>
    <w:p>
      <w:pPr>
        <w:pStyle w:val="nHeading5"/>
      </w:pPr>
      <w:r>
        <w:rPr>
          <w:rStyle w:val="CharSectno"/>
        </w:rPr>
        <w:tab/>
      </w:r>
      <w:r>
        <w:t>17.</w:t>
      </w:r>
      <w:r>
        <w:tab/>
        <w:t>Regulation 95A amended</w:t>
      </w:r>
    </w:p>
    <w:p>
      <w:pPr>
        <w:pStyle w:val="nSubsection"/>
      </w:pPr>
      <w:r>
        <w:tab/>
      </w:r>
      <w:r>
        <w:tab/>
      </w:r>
      <w:r>
        <w:tab/>
        <w:t>In regulation 95A(1) delete “schedule of charges.” and insert:</w:t>
      </w:r>
    </w:p>
    <w:p>
      <w:pPr>
        <w:pStyle w:val="BlankOpen"/>
      </w:pPr>
    </w:p>
    <w:p>
      <w:pPr>
        <w:pStyle w:val="nSubsection"/>
        <w:ind w:left="1440" w:hanging="1440"/>
      </w:pPr>
      <w:r>
        <w:tab/>
      </w:r>
      <w:r>
        <w:tab/>
        <w:t>the requirement to pay any applicable dues or charges prescribed in Schedule 1.</w:t>
      </w:r>
    </w:p>
    <w:p>
      <w:pPr>
        <w:pStyle w:val="BlankClose"/>
      </w:pPr>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418" w:name="_Toc440457168"/>
      <w:bookmarkStart w:id="419" w:name="_Toc443638861"/>
      <w:bookmarkStart w:id="420" w:name="_Toc447620009"/>
      <w:bookmarkStart w:id="421" w:name="_Toc448479872"/>
      <w:bookmarkStart w:id="422" w:name="_Toc455066811"/>
      <w:bookmarkStart w:id="423" w:name="_Toc455067015"/>
      <w:bookmarkStart w:id="424" w:name="_Toc455151615"/>
      <w:r>
        <w:rPr>
          <w:sz w:val="28"/>
        </w:rPr>
        <w:t>Defined terms</w:t>
      </w:r>
      <w:bookmarkEnd w:id="418"/>
      <w:bookmarkEnd w:id="419"/>
      <w:bookmarkEnd w:id="420"/>
      <w:bookmarkEnd w:id="421"/>
      <w:bookmarkEnd w:id="422"/>
      <w:bookmarkEnd w:id="423"/>
      <w:bookmarkEnd w:id="4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berthing due</w:t>
      </w:r>
      <w:r>
        <w:tab/>
        <w:t>6(1)</w:t>
      </w:r>
    </w:p>
    <w:p>
      <w:pPr>
        <w:pStyle w:val="DefinedTerms"/>
      </w:pPr>
      <w:r>
        <w:t>catamaran pen</w:t>
      </w:r>
      <w:r>
        <w:tab/>
        <w:t>6(1)</w:t>
      </w:r>
    </w:p>
    <w:p>
      <w:pPr>
        <w:pStyle w:val="DefinedTerms"/>
      </w:pPr>
      <w:r>
        <w:t>commercial vessel</w:t>
      </w:r>
      <w:r>
        <w:tab/>
        <w:t>3(1)</w:t>
      </w:r>
    </w:p>
    <w:p>
      <w:pPr>
        <w:pStyle w:val="DefinedTerms"/>
      </w:pPr>
      <w:r>
        <w:t>day</w:t>
      </w:r>
      <w:r>
        <w:tab/>
        <w:t>3(2)</w:t>
      </w:r>
    </w:p>
    <w:p>
      <w:pPr>
        <w:pStyle w:val="DefinedTerms"/>
      </w:pPr>
      <w:r>
        <w:t>Department</w:t>
      </w:r>
      <w:r>
        <w:tab/>
        <w:t>3(1)</w:t>
      </w:r>
    </w:p>
    <w:p>
      <w:pPr>
        <w:pStyle w:val="DefinedTerms"/>
      </w:pPr>
      <w:r>
        <w:t>enhanced facilities</w:t>
      </w:r>
      <w:r>
        <w:tab/>
        <w:t>Sch. 1 cl. 26(1)</w:t>
      </w:r>
    </w:p>
    <w:p>
      <w:pPr>
        <w:pStyle w:val="DefinedTerms"/>
      </w:pPr>
      <w:r>
        <w:t>fishing vessel</w:t>
      </w:r>
      <w:r>
        <w:tab/>
        <w:t>3(1)</w:t>
      </w:r>
    </w:p>
    <w:p>
      <w:pPr>
        <w:pStyle w:val="DefinedTerms"/>
      </w:pPr>
      <w:r>
        <w:t>jetty</w:t>
      </w:r>
      <w:r>
        <w:tab/>
        <w:t>3(1)</w:t>
      </w:r>
    </w:p>
    <w:p>
      <w:pPr>
        <w:pStyle w:val="DefinedTerms"/>
      </w:pPr>
      <w:r>
        <w:t>master</w:t>
      </w:r>
      <w:r>
        <w:tab/>
        <w:t>3(1)</w:t>
      </w:r>
    </w:p>
    <w:p>
      <w:pPr>
        <w:pStyle w:val="DefinedTerms"/>
      </w:pPr>
      <w:r>
        <w:t>officer</w:t>
      </w:r>
      <w:r>
        <w:tab/>
        <w:t>3(1)</w:t>
      </w:r>
    </w:p>
    <w:p>
      <w:pPr>
        <w:pStyle w:val="DefinedTerms"/>
      </w:pPr>
      <w:r>
        <w:t>owner</w:t>
      </w:r>
      <w:r>
        <w:tab/>
        <w:t>3(1)</w:t>
      </w:r>
    </w:p>
    <w:p>
      <w:pPr>
        <w:pStyle w:val="DefinedTerms"/>
      </w:pPr>
      <w:r>
        <w:t>premises</w:t>
      </w:r>
      <w:r>
        <w:tab/>
        <w:t>3(1)</w:t>
      </w:r>
    </w:p>
    <w:p>
      <w:pPr>
        <w:pStyle w:val="DefinedTerms"/>
      </w:pPr>
      <w:r>
        <w:t>public jetty</w:t>
      </w:r>
      <w:r>
        <w:tab/>
        <w:t>3(1)</w:t>
      </w:r>
    </w:p>
    <w:p>
      <w:pPr>
        <w:pStyle w:val="DefinedTerms"/>
      </w:pPr>
      <w:r>
        <w:t>recreational vessel</w:t>
      </w:r>
      <w:r>
        <w:tab/>
        <w:t>3(1)</w:t>
      </w:r>
    </w:p>
    <w:p>
      <w:pPr>
        <w:pStyle w:val="DefinedTerms"/>
      </w:pPr>
      <w:r>
        <w:t>service vessel</w:t>
      </w:r>
      <w:r>
        <w:tab/>
        <w:t>Sch. 1 cl. 12(2), 21(2) and 22(2)</w:t>
      </w:r>
    </w:p>
    <w:p>
      <w:pPr>
        <w:pStyle w:val="DefinedTerms"/>
      </w:pPr>
      <w:r>
        <w:t>short term</w:t>
      </w:r>
      <w:r>
        <w:tab/>
        <w:t>3(2)</w:t>
      </w:r>
    </w:p>
    <w:p>
      <w:pPr>
        <w:pStyle w:val="DefinedTerms"/>
      </w:pPr>
      <w:r>
        <w:t>swing mooring fee</w:t>
      </w:r>
      <w:r>
        <w:tab/>
        <w:t>3(1)</w:t>
      </w:r>
    </w:p>
    <w:p>
      <w:pPr>
        <w:pStyle w:val="DefinedTerms"/>
      </w:pPr>
      <w:r>
        <w:t>tourism vessel</w:t>
      </w:r>
      <w:r>
        <w:tab/>
        <w:t>3(1)</w:t>
      </w:r>
    </w:p>
    <w:p>
      <w:pPr>
        <w:pStyle w:val="DefinedTerms"/>
      </w:pPr>
      <w:r>
        <w:t>unit</w:t>
      </w:r>
      <w:r>
        <w:tab/>
        <w:t>3(5)</w:t>
      </w:r>
    </w:p>
    <w:p>
      <w:pPr>
        <w:pStyle w:val="DefinedTerms"/>
      </w:pPr>
      <w:r>
        <w:t>vessel</w:t>
      </w:r>
      <w:r>
        <w:tab/>
        <w:t>3(1)</w:t>
      </w:r>
    </w:p>
    <w:p>
      <w:pPr>
        <w:pStyle w:val="DefinedTerms"/>
      </w:pPr>
      <w:r>
        <w:t>week</w:t>
      </w:r>
      <w:r>
        <w:tab/>
        <w:t>3(2)</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111</w:t>
    </w:r>
    <w:r>
      <w:rPr>
        <w:sz w:val="20"/>
      </w:rPr>
      <w:fldChar w:fldCharType="end"/>
    </w:r>
  </w:p>
  <w:p>
    <w:pPr>
      <w:pStyle w:val="Foote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STYLEREF CharSchno \n</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STYLEREF CharSchno \n</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1A</w:t>
          </w:r>
          <w:r>
            <w:rPr>
              <w:b/>
            </w:rPr>
            <w:fldChar w:fldCharType="end"/>
          </w:r>
        </w:p>
      </w:tc>
    </w:tr>
  </w:tbl>
  <w:p>
    <w:pPr>
      <w:pStyle w:val="Header"/>
      <w:pBdr>
        <w:top w:val="single" w:sz="4" w:space="1" w:color="auto"/>
      </w:pBdr>
    </w:pPr>
    <w:bookmarkStart w:id="401" w:name="Schedule"/>
    <w:bookmarkEnd w:id="40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Port of Perth charges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Charges for boat pens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Port of Perth charges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Charges for boat pens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17" w:name="Compilation"/>
    <w:bookmarkEnd w:id="41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5" w:name="DefinedTerms"/>
    <w:bookmarkEnd w:id="425"/>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6" w:name="Coversheet"/>
    <w:bookmarkEnd w:id="42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381F54"/>
    <w:lvl w:ilvl="0">
      <w:start w:val="1"/>
      <w:numFmt w:val="decimal"/>
      <w:lvlText w:val="%1."/>
      <w:lvlJc w:val="left"/>
      <w:pPr>
        <w:tabs>
          <w:tab w:val="num" w:pos="1492"/>
        </w:tabs>
        <w:ind w:left="1492" w:hanging="360"/>
      </w:pPr>
    </w:lvl>
  </w:abstractNum>
  <w:abstractNum w:abstractNumId="1">
    <w:nsid w:val="FFFFFF7D"/>
    <w:multiLevelType w:val="singleLevel"/>
    <w:tmpl w:val="39BC533A"/>
    <w:lvl w:ilvl="0">
      <w:start w:val="1"/>
      <w:numFmt w:val="decimal"/>
      <w:lvlText w:val="%1."/>
      <w:lvlJc w:val="left"/>
      <w:pPr>
        <w:tabs>
          <w:tab w:val="num" w:pos="1209"/>
        </w:tabs>
        <w:ind w:left="1209" w:hanging="360"/>
      </w:pPr>
    </w:lvl>
  </w:abstractNum>
  <w:abstractNum w:abstractNumId="2">
    <w:nsid w:val="FFFFFF7E"/>
    <w:multiLevelType w:val="singleLevel"/>
    <w:tmpl w:val="FD3A4256"/>
    <w:lvl w:ilvl="0">
      <w:start w:val="1"/>
      <w:numFmt w:val="decimal"/>
      <w:lvlText w:val="%1."/>
      <w:lvlJc w:val="left"/>
      <w:pPr>
        <w:tabs>
          <w:tab w:val="num" w:pos="926"/>
        </w:tabs>
        <w:ind w:left="926" w:hanging="360"/>
      </w:pPr>
    </w:lvl>
  </w:abstractNum>
  <w:abstractNum w:abstractNumId="3">
    <w:nsid w:val="FFFFFF7F"/>
    <w:multiLevelType w:val="singleLevel"/>
    <w:tmpl w:val="C8E23BB6"/>
    <w:lvl w:ilvl="0">
      <w:start w:val="1"/>
      <w:numFmt w:val="decimal"/>
      <w:lvlText w:val="%1."/>
      <w:lvlJc w:val="left"/>
      <w:pPr>
        <w:tabs>
          <w:tab w:val="num" w:pos="643"/>
        </w:tabs>
        <w:ind w:left="643" w:hanging="360"/>
      </w:pPr>
    </w:lvl>
  </w:abstractNum>
  <w:abstractNum w:abstractNumId="4">
    <w:nsid w:val="FFFFFF80"/>
    <w:multiLevelType w:val="singleLevel"/>
    <w:tmpl w:val="C5F85D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4068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1AF1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8858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E831FA"/>
    <w:lvl w:ilvl="0">
      <w:start w:val="1"/>
      <w:numFmt w:val="decimal"/>
      <w:lvlText w:val="%1."/>
      <w:lvlJc w:val="left"/>
      <w:pPr>
        <w:tabs>
          <w:tab w:val="num" w:pos="360"/>
        </w:tabs>
        <w:ind w:left="360" w:hanging="360"/>
      </w:pPr>
    </w:lvl>
  </w:abstractNum>
  <w:abstractNum w:abstractNumId="9">
    <w:nsid w:val="FFFFFF89"/>
    <w:multiLevelType w:val="singleLevel"/>
    <w:tmpl w:val="C6E23E3A"/>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E5B4C5A"/>
    <w:multiLevelType w:val="hybridMultilevel"/>
    <w:tmpl w:val="A4DCF42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078357F"/>
    <w:multiLevelType w:val="multilevel"/>
    <w:tmpl w:val="22A0CC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C2808C0"/>
    <w:multiLevelType w:val="singleLevel"/>
    <w:tmpl w:val="44AE226E"/>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4486386"/>
    <w:multiLevelType w:val="hybridMultilevel"/>
    <w:tmpl w:val="CB58A76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4"/>
  </w:num>
  <w:num w:numId="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113135900"/>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 w:name="WAFER_20141104153555" w:val="RemoveTocBookmarks,RunningHeaders"/>
    <w:docVar w:name="WAFER_20141104153555_GUID" w:val="b6ec4d3c-6b61-473f-bbf4-5704013988ef"/>
    <w:docVar w:name="WAFER_20150527152342" w:val="ResetPageSize,UpdateArrangement,UpdateNTable"/>
    <w:docVar w:name="WAFER_20150527152342_GUID" w:val="c6967ea7-3c2e-47c4-a6ab-17e3eb9365de"/>
    <w:docVar w:name="WAFER_20150721152017" w:val="RemoveTocBookmarks,RemoveUnusedBookmarks,RemoveLanguageTags,UsedStyles,ResetPageSize"/>
    <w:docVar w:name="WAFER_20150721152017_GUID" w:val="bba3e186-5e66-481d-a3d9-11e9d329a7c7"/>
    <w:docVar w:name="WAFER_20150915125407" w:val="ResetPageSize,UpdateArrangement,UpdateNTable"/>
    <w:docVar w:name="WAFER_20150915125407_GUID" w:val="9e7f7345-3a80-47b4-9cc7-f55bc852754c"/>
    <w:docVar w:name="WAFER_20151009080520" w:val="RemoveTocBookmarks,RemoveUnusedBookmarks,RemoveLanguageTags,UsedStyles,ResetPageSize,RemoveCustomizations"/>
    <w:docVar w:name="WAFER_20151009080520_GUID" w:val="63fad61a-c943-437b-a906-78527b539a33"/>
    <w:docVar w:name="WAFER_20151103095602" w:val="UpdateStyles,UsedStyles"/>
    <w:docVar w:name="WAFER_20151103095602_GUID" w:val="973ce251-f689-4320-9226-bed5d1318251"/>
    <w:docVar w:name="WAFER_20160113135802" w:val="RemoveTocBookmarks,RemoveUnusedBookmarks,RemoveLanguageTags,UsedStyles,RemoveTrackChanges"/>
    <w:docVar w:name="WAFER_20160113135802_GUID" w:val="a3342dad-364e-4604-9bf7-8f69a4100577"/>
    <w:docVar w:name="WAFER_20160113135900" w:val="RemoveTocBookmarks,RemoveLanguageTags,RemoveTrackChanges,RunningHeaders"/>
    <w:docVar w:name="WAFER_20160113135900_GUID" w:val="445c8e23-24c9-425f-9dd8-354f1d5f2f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3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90C71-038B-4D79-B2D8-65E33516E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28398</Words>
  <Characters>131203</Characters>
  <Application>Microsoft Office Word</Application>
  <DocSecurity>0</DocSecurity>
  <Lines>4859</Lines>
  <Paragraphs>2901</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156700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1940 - 09-d0-01</dc:title>
  <dc:subject/>
  <dc:creator/>
  <cp:keywords/>
  <dc:description/>
  <cp:lastModifiedBy>svcMRProcess</cp:lastModifiedBy>
  <cp:revision>4</cp:revision>
  <cp:lastPrinted>2016-01-27T04:33:00Z</cp:lastPrinted>
  <dcterms:created xsi:type="dcterms:W3CDTF">2019-05-31T09:07:00Z</dcterms:created>
  <dcterms:modified xsi:type="dcterms:W3CDTF">2019-05-31T09:07:00Z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DocumentType">
    <vt:lpwstr>Reg</vt:lpwstr>
  </property>
  <property fmtid="{D5CDD505-2E9C-101B-9397-08002B2CF9AE}" pid="4" name="OwlsUID">
    <vt:i4>8924</vt:i4>
  </property>
  <property fmtid="{D5CDD505-2E9C-101B-9397-08002B2CF9AE}" pid="5" name="ReprintedAsAt">
    <vt:filetime>2016-02-04T16:00:00Z</vt:filetime>
  </property>
  <property fmtid="{D5CDD505-2E9C-101B-9397-08002B2CF9AE}" pid="6" name="ReprintNo">
    <vt:lpwstr>9</vt:lpwstr>
  </property>
  <property fmtid="{D5CDD505-2E9C-101B-9397-08002B2CF9AE}" pid="7" name="AsAtDate">
    <vt:lpwstr>01 Jul 2016</vt:lpwstr>
  </property>
  <property fmtid="{D5CDD505-2E9C-101B-9397-08002B2CF9AE}" pid="8" name="Suffix">
    <vt:lpwstr>09-d0-01</vt:lpwstr>
  </property>
  <property fmtid="{D5CDD505-2E9C-101B-9397-08002B2CF9AE}" pid="9" name="CommencementDate">
    <vt:lpwstr>20160701</vt:lpwstr>
  </property>
</Properties>
</file>