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_Toc455137129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_Toc455137130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_Toc455137131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_Toc455137132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_Toc455137133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_Toc455137141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3" w:name="_Toc377112065"/>
      <w:bookmarkStart w:id="4" w:name="_Toc418505446"/>
      <w:bookmarkStart w:id="5" w:name="_Toc455137129"/>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6" w:name="_Toc377112066"/>
      <w:bookmarkStart w:id="7" w:name="_Toc418505447"/>
      <w:bookmarkStart w:id="8" w:name="_Toc455137130"/>
      <w:r>
        <w:rPr>
          <w:rStyle w:val="CharSectno"/>
        </w:rPr>
        <w:t>2</w:t>
      </w:r>
      <w:r>
        <w:rPr>
          <w:snapToGrid w:val="0"/>
        </w:rPr>
        <w:t>.</w:t>
      </w:r>
      <w:r>
        <w:rPr>
          <w:snapToGrid w:val="0"/>
        </w:rPr>
        <w:tab/>
        <w:t>Prescribed financial entities (Act s. 4A(2)(a))</w:t>
      </w:r>
      <w:bookmarkEnd w:id="6"/>
      <w:bookmarkEnd w:id="7"/>
      <w:bookmarkEnd w:id="8"/>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9" w:name="_Toc377112067"/>
      <w:bookmarkStart w:id="10" w:name="_Toc418505448"/>
      <w:bookmarkStart w:id="11" w:name="_Toc455137131"/>
      <w:r>
        <w:rPr>
          <w:rStyle w:val="CharSectno"/>
        </w:rPr>
        <w:t>3</w:t>
      </w:r>
      <w:r>
        <w:rPr>
          <w:snapToGrid w:val="0"/>
        </w:rPr>
        <w:t>.</w:t>
      </w:r>
      <w:r>
        <w:rPr>
          <w:snapToGrid w:val="0"/>
        </w:rPr>
        <w:tab/>
        <w:t>Prescribed activities by financial entities (Act s. 4A(2)(b))</w:t>
      </w:r>
      <w:bookmarkEnd w:id="9"/>
      <w:bookmarkEnd w:id="10"/>
      <w:bookmarkEnd w:id="11"/>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2" w:name="_Toc377112068"/>
      <w:bookmarkStart w:id="13" w:name="_Toc418505449"/>
      <w:bookmarkStart w:id="14" w:name="_Toc455137132"/>
      <w:r>
        <w:rPr>
          <w:rStyle w:val="CharSectno"/>
        </w:rPr>
        <w:t>4</w:t>
      </w:r>
      <w:r>
        <w:t>.</w:t>
      </w:r>
      <w:r>
        <w:tab/>
        <w:t>Prescribed statutory corporations (Act s. 4B(2))</w:t>
      </w:r>
      <w:bookmarkEnd w:id="12"/>
      <w:bookmarkEnd w:id="13"/>
      <w:bookmarkEnd w:id="14"/>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15" w:name="_Toc377112069"/>
      <w:bookmarkStart w:id="16" w:name="_Toc418505450"/>
      <w:bookmarkStart w:id="17" w:name="_Toc455137133"/>
      <w:r>
        <w:rPr>
          <w:rStyle w:val="CharSectno"/>
        </w:rPr>
        <w:t>5</w:t>
      </w:r>
      <w:r>
        <w:t>.</w:t>
      </w:r>
      <w:r>
        <w:tab/>
        <w:t>Prescribed activities by statutory corporations (Act s. 4B(2))</w:t>
      </w:r>
      <w:bookmarkEnd w:id="15"/>
      <w:bookmarkEnd w:id="16"/>
      <w:bookmarkEnd w:id="1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377112070"/>
      <w:bookmarkStart w:id="19" w:name="_Toc418505430"/>
      <w:bookmarkStart w:id="20" w:name="_Toc418505451"/>
      <w:bookmarkStart w:id="21" w:name="_Toc418505914"/>
      <w:bookmarkStart w:id="22" w:name="_Toc418505927"/>
      <w:bookmarkStart w:id="23" w:name="_Toc418581709"/>
      <w:bookmarkStart w:id="24" w:name="_Toc423448588"/>
      <w:bookmarkStart w:id="25" w:name="_Toc430005607"/>
      <w:bookmarkStart w:id="26" w:name="_Toc430005675"/>
      <w:bookmarkStart w:id="27" w:name="_Toc430074892"/>
      <w:bookmarkStart w:id="28" w:name="_Toc455137134"/>
      <w:bookmarkStart w:id="29" w:name="_Toc377112076"/>
      <w:bookmarkStart w:id="30" w:name="_Toc418505436"/>
      <w:bookmarkStart w:id="31" w:name="_Toc418505457"/>
      <w:bookmarkStart w:id="32" w:name="_Toc418505920"/>
      <w:bookmarkStart w:id="33" w:name="_Toc418505933"/>
      <w:bookmarkStart w:id="34" w:name="_Toc418581715"/>
      <w:bookmarkStart w:id="35" w:name="_Toc423448594"/>
      <w:bookmarkStart w:id="36" w:name="_Toc430005613"/>
      <w:bookmarkStart w:id="37" w:name="_Toc430005681"/>
      <w:bookmarkStart w:id="38" w:name="_Toc430074898"/>
      <w:bookmarkStart w:id="39" w:name="_Toc455137140"/>
      <w:r>
        <w:rPr>
          <w:rStyle w:val="CharSchNo"/>
        </w:rPr>
        <w:t>Schedule 1</w:t>
      </w:r>
      <w:bookmarkEnd w:id="18"/>
      <w:bookmarkEnd w:id="19"/>
      <w:bookmarkEnd w:id="20"/>
      <w:bookmarkEnd w:id="21"/>
      <w:bookmarkEnd w:id="22"/>
      <w:bookmarkEnd w:id="23"/>
      <w:bookmarkEnd w:id="24"/>
      <w:bookmarkEnd w:id="25"/>
      <w:bookmarkEnd w:id="26"/>
      <w:bookmarkEnd w:id="27"/>
      <w:bookmarkEnd w:id="28"/>
      <w:r>
        <w:rPr>
          <w:rStyle w:val="CharSchText"/>
        </w:rPr>
        <w:t xml:space="preserve"> </w:t>
      </w:r>
    </w:p>
    <w:p>
      <w:pPr>
        <w:pStyle w:val="yFootnoteheading"/>
        <w:tabs>
          <w:tab w:val="left" w:pos="600"/>
        </w:tabs>
      </w:pPr>
      <w:r>
        <w:tab/>
        <w:t>[Heading inserted in Gazette 31 Aug 1999 p. 4241.]</w:t>
      </w:r>
    </w:p>
    <w:p>
      <w:pPr>
        <w:pStyle w:val="yHeading3"/>
      </w:pPr>
      <w:bookmarkStart w:id="40" w:name="_Toc377112071"/>
      <w:bookmarkStart w:id="41" w:name="_Toc418505431"/>
      <w:bookmarkStart w:id="42" w:name="_Toc418505452"/>
      <w:bookmarkStart w:id="43" w:name="_Toc418505915"/>
      <w:bookmarkStart w:id="44" w:name="_Toc418505928"/>
      <w:bookmarkStart w:id="45" w:name="_Toc418581710"/>
      <w:bookmarkStart w:id="46" w:name="_Toc423448589"/>
      <w:bookmarkStart w:id="47" w:name="_Toc430005608"/>
      <w:bookmarkStart w:id="48" w:name="_Toc430005676"/>
      <w:bookmarkStart w:id="49" w:name="_Toc430074893"/>
      <w:bookmarkStart w:id="50" w:name="_Toc455137135"/>
      <w:r>
        <w:rPr>
          <w:rStyle w:val="CharSDivNo"/>
        </w:rPr>
        <w:t>Part 1</w:t>
      </w:r>
      <w:r>
        <w:t xml:space="preserve"> — </w:t>
      </w:r>
      <w:r>
        <w:rPr>
          <w:rStyle w:val="CharSDivText"/>
        </w:rPr>
        <w:t>Prescribed financial entities (regulation 2)</w:t>
      </w:r>
      <w:bookmarkEnd w:id="40"/>
      <w:bookmarkEnd w:id="41"/>
      <w:bookmarkEnd w:id="42"/>
      <w:bookmarkEnd w:id="43"/>
      <w:bookmarkEnd w:id="44"/>
      <w:bookmarkEnd w:id="45"/>
      <w:bookmarkEnd w:id="46"/>
      <w:bookmarkEnd w:id="47"/>
      <w:bookmarkEnd w:id="48"/>
      <w:bookmarkEnd w:id="49"/>
      <w:bookmarkEnd w:id="50"/>
    </w:p>
    <w:p>
      <w:pPr>
        <w:pStyle w:val="yMiscellaneousBody"/>
        <w:spacing w:before="240"/>
      </w:pPr>
      <w:r>
        <w:t xml:space="preserve">Commissioner for Equal Opportunity </w:t>
      </w:r>
    </w:p>
    <w:p>
      <w:pPr>
        <w:pStyle w:val="yMiscellaneousBody"/>
        <w:spacing w:before="240"/>
      </w:pPr>
      <w:r>
        <w:t>Department for Communities</w:t>
      </w:r>
    </w:p>
    <w:p>
      <w:pPr>
        <w:pStyle w:val="yMiscellaneousBody"/>
        <w:spacing w:before="240"/>
        <w:rPr>
          <w:vertAlign w:val="superscript"/>
        </w:rPr>
      </w:pPr>
      <w:r>
        <w:t>Department for Community Development </w:t>
      </w:r>
      <w:r>
        <w:rPr>
          <w:vertAlign w:val="superscript"/>
        </w:rPr>
        <w:t>2</w:t>
      </w:r>
    </w:p>
    <w:p>
      <w:pPr>
        <w:pStyle w:val="yMiscellaneousBody"/>
        <w:spacing w:before="240"/>
        <w:rPr>
          <w:vertAlign w:val="superscript"/>
        </w:rPr>
      </w:pPr>
      <w:r>
        <w:t>Department for Planning and Infrastructure </w:t>
      </w:r>
      <w:r>
        <w:rPr>
          <w:vertAlign w:val="superscript"/>
        </w:rPr>
        <w:t>3</w:t>
      </w:r>
    </w:p>
    <w:p>
      <w:pPr>
        <w:pStyle w:val="yMiscellaneousBody"/>
        <w:spacing w:before="240"/>
      </w:pPr>
      <w:r>
        <w:t>Department of Consumer and Employment Protection </w:t>
      </w:r>
      <w:r>
        <w:rPr>
          <w:vertAlign w:val="superscript"/>
        </w:rPr>
        <w:t>4</w:t>
      </w:r>
    </w:p>
    <w:p>
      <w:pPr>
        <w:pStyle w:val="yMiscellaneousBody"/>
        <w:spacing w:before="240"/>
      </w:pPr>
      <w:r>
        <w:t>Department of Environment and Conservation</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5 </w:t>
      </w:r>
    </w:p>
    <w:p>
      <w:pPr>
        <w:pStyle w:val="yMiscellaneousBody"/>
        <w:spacing w:before="240"/>
      </w:pPr>
      <w:r>
        <w:t xml:space="preserve">Department of Culture and the Arts </w:t>
      </w:r>
    </w:p>
    <w:p>
      <w:pPr>
        <w:pStyle w:val="yMiscellaneousBody"/>
        <w:spacing w:before="240"/>
      </w:pPr>
      <w:r>
        <w:t xml:space="preserve">Department of Premier and Cabinet </w:t>
      </w:r>
    </w:p>
    <w:p>
      <w:pPr>
        <w:pStyle w:val="yMiscellaneousBody"/>
        <w:spacing w:before="240"/>
      </w:pPr>
      <w:r>
        <w:t>Department of the Attorney General</w:t>
      </w:r>
    </w:p>
    <w:p>
      <w:pPr>
        <w:pStyle w:val="yMiscellaneousBody"/>
        <w:spacing w:before="240"/>
      </w:pPr>
      <w:r>
        <w:t>Department of the State Heritage Office</w:t>
      </w:r>
    </w:p>
    <w:p>
      <w:pPr>
        <w:pStyle w:val="yMiscellaneousBody"/>
        <w:spacing w:before="240"/>
      </w:pPr>
      <w:r>
        <w:t>Department of Transport</w:t>
      </w:r>
    </w:p>
    <w:p>
      <w:pPr>
        <w:pStyle w:val="yMiscellaneousBody"/>
        <w:spacing w:before="240"/>
      </w:pPr>
      <w:r>
        <w:rPr>
          <w:szCs w:val="22"/>
        </w:rPr>
        <w:t>Department of Water</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w:t>
      </w:r>
    </w:p>
    <w:p>
      <w:pPr>
        <w:pStyle w:val="yHeading3"/>
      </w:pPr>
      <w:bookmarkStart w:id="51" w:name="_Toc377112072"/>
      <w:bookmarkStart w:id="52" w:name="_Toc418505432"/>
      <w:bookmarkStart w:id="53" w:name="_Toc418505453"/>
      <w:bookmarkStart w:id="54" w:name="_Toc418505916"/>
      <w:bookmarkStart w:id="55" w:name="_Toc418505929"/>
      <w:bookmarkStart w:id="56" w:name="_Toc418581711"/>
      <w:bookmarkStart w:id="57" w:name="_Toc423448590"/>
      <w:bookmarkStart w:id="58" w:name="_Toc430005609"/>
      <w:bookmarkStart w:id="59" w:name="_Toc430005677"/>
      <w:bookmarkStart w:id="60" w:name="_Toc430074894"/>
      <w:bookmarkStart w:id="61" w:name="_Toc455137136"/>
      <w:r>
        <w:rPr>
          <w:rStyle w:val="CharSDivNo"/>
        </w:rPr>
        <w:t>Part 2</w:t>
      </w:r>
      <w:r>
        <w:t xml:space="preserve"> — </w:t>
      </w:r>
      <w:r>
        <w:rPr>
          <w:rStyle w:val="CharSDivText"/>
        </w:rPr>
        <w:t>Prescribed activities (regulation 3)</w:t>
      </w:r>
      <w:bookmarkEnd w:id="51"/>
      <w:bookmarkEnd w:id="52"/>
      <w:bookmarkEnd w:id="53"/>
      <w:bookmarkEnd w:id="54"/>
      <w:bookmarkEnd w:id="55"/>
      <w:bookmarkEnd w:id="56"/>
      <w:bookmarkEnd w:id="57"/>
      <w:bookmarkEnd w:id="58"/>
      <w:bookmarkEnd w:id="59"/>
      <w:bookmarkEnd w:id="60"/>
      <w:bookmarkEnd w:id="61"/>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spacing w:before="140"/>
        <w:rPr>
          <w:u w:val="single"/>
        </w:rPr>
      </w:pPr>
      <w:r>
        <w:rPr>
          <w:u w:val="single"/>
        </w:rPr>
        <w:t>Department for Communities</w:t>
      </w:r>
    </w:p>
    <w:p>
      <w:pPr>
        <w:pStyle w:val="yMiscellaneousBody"/>
        <w:tabs>
          <w:tab w:val="left" w:pos="532"/>
        </w:tabs>
        <w:spacing w:before="120"/>
        <w:ind w:left="546" w:hanging="546"/>
      </w:pPr>
      <w:r>
        <w:tab/>
        <w:t>The sale by the Department for Communities of goods, information or intellectual property, relating to community development.</w:t>
      </w:r>
    </w:p>
    <w:p>
      <w:pPr>
        <w:pStyle w:val="yMiscellaneousBody"/>
        <w:tabs>
          <w:tab w:val="left" w:pos="532"/>
        </w:tabs>
        <w:spacing w:before="120"/>
        <w:ind w:left="546" w:hanging="546"/>
      </w:pPr>
      <w:r>
        <w:tab/>
        <w:t>The provision or sale by the Department for Communities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Communities of training, management or advisory services, relating to community development.</w:t>
      </w:r>
    </w:p>
    <w:p>
      <w:pPr>
        <w:pStyle w:val="yMiscellaneousBody"/>
        <w:spacing w:before="140"/>
        <w:rPr>
          <w:u w:val="single"/>
        </w:rPr>
      </w:pPr>
      <w:r>
        <w:rPr>
          <w:u w:val="single"/>
        </w:rPr>
        <w:t>Department for Community Development </w:t>
      </w:r>
      <w:r>
        <w:rPr>
          <w:u w:val="single"/>
          <w:vertAlign w:val="superscript"/>
        </w:rPr>
        <w:t>2</w:t>
      </w:r>
    </w:p>
    <w:p>
      <w:pPr>
        <w:pStyle w:val="yMiscellaneousBody"/>
        <w:tabs>
          <w:tab w:val="left" w:pos="532"/>
        </w:tabs>
        <w:spacing w:before="120"/>
        <w:ind w:left="546" w:hanging="546"/>
      </w:pPr>
      <w:r>
        <w:tab/>
        <w:t>The sale by the Department for Community Development of goods, information or intellectual property, relating to community development.</w:t>
      </w:r>
    </w:p>
    <w:p>
      <w:pPr>
        <w:pStyle w:val="yMiscellaneousBody"/>
        <w:tabs>
          <w:tab w:val="left" w:pos="532"/>
        </w:tabs>
        <w:spacing w:before="120"/>
        <w:ind w:left="546" w:hanging="546"/>
      </w:pPr>
      <w:r>
        <w:tab/>
        <w:t>The provision or sale by the Department for Community Development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Community Development of training, management, or advisory services, relating to community development.</w:t>
      </w:r>
    </w:p>
    <w:p>
      <w:pPr>
        <w:pStyle w:val="yMiscellaneousBody"/>
        <w:rPr>
          <w:u w:val="single"/>
          <w:vertAlign w:val="superscript"/>
        </w:rPr>
      </w:pPr>
      <w:r>
        <w:rPr>
          <w:u w:val="single"/>
        </w:rPr>
        <w:t>Department for Planning and Infrastructure </w:t>
      </w:r>
      <w:r>
        <w:rPr>
          <w:u w:val="single"/>
          <w:vertAlign w:val="superscript"/>
        </w:rPr>
        <w:t>3</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rPr>
          <w:u w:val="single"/>
          <w:vertAlign w:val="superscript"/>
        </w:rPr>
      </w:pPr>
      <w:r>
        <w:rPr>
          <w:u w:val="single"/>
        </w:rPr>
        <w:t>Department of Consumer and Employment Protection </w:t>
      </w:r>
      <w:r>
        <w:rPr>
          <w:u w:val="single"/>
          <w:vertAlign w:val="superscript"/>
        </w:rPr>
        <w:t>4</w:t>
      </w:r>
    </w:p>
    <w:p>
      <w:pPr>
        <w:pStyle w:val="yMiscellaneousBody"/>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rPr>
      </w:pPr>
      <w:r>
        <w:rPr>
          <w:u w:val="single"/>
        </w:rPr>
        <w:t>Department of Fisheries</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t>Department of Water</w:t>
      </w:r>
    </w:p>
    <w:p>
      <w:pPr>
        <w:pStyle w:val="yMiscellaneousBody"/>
        <w:tabs>
          <w:tab w:val="left" w:pos="532"/>
        </w:tabs>
        <w:ind w:left="546" w:hanging="546"/>
      </w:pPr>
      <w:r>
        <w:tab/>
        <w:t xml:space="preserve">The provision by the Department of Water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w:t>
      </w:r>
    </w:p>
    <w:p>
      <w:pPr>
        <w:pStyle w:val="yScheduleHeading"/>
      </w:pPr>
      <w:bookmarkStart w:id="62" w:name="_Toc377112073"/>
      <w:bookmarkStart w:id="63" w:name="_Toc418505433"/>
      <w:bookmarkStart w:id="64" w:name="_Toc418505454"/>
      <w:bookmarkStart w:id="65" w:name="_Toc418505917"/>
      <w:bookmarkStart w:id="66" w:name="_Toc418505930"/>
      <w:bookmarkStart w:id="67" w:name="_Toc418581712"/>
      <w:bookmarkStart w:id="68" w:name="_Toc423448591"/>
      <w:bookmarkStart w:id="69" w:name="_Toc430005610"/>
      <w:bookmarkStart w:id="70" w:name="_Toc430005678"/>
      <w:bookmarkStart w:id="71" w:name="_Toc430074895"/>
      <w:bookmarkStart w:id="72" w:name="_Toc455137137"/>
      <w:r>
        <w:rPr>
          <w:rStyle w:val="CharSchNo"/>
        </w:rPr>
        <w:t>Schedule 2</w:t>
      </w:r>
      <w:bookmarkEnd w:id="62"/>
      <w:bookmarkEnd w:id="63"/>
      <w:bookmarkEnd w:id="64"/>
      <w:bookmarkEnd w:id="65"/>
      <w:bookmarkEnd w:id="66"/>
      <w:bookmarkEnd w:id="67"/>
      <w:bookmarkEnd w:id="68"/>
      <w:bookmarkEnd w:id="69"/>
      <w:bookmarkEnd w:id="70"/>
      <w:bookmarkEnd w:id="71"/>
      <w:bookmarkEnd w:id="72"/>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3"/>
      </w:pPr>
      <w:bookmarkStart w:id="73" w:name="_Toc377112074"/>
      <w:bookmarkStart w:id="74" w:name="_Toc418505434"/>
      <w:bookmarkStart w:id="75" w:name="_Toc418505455"/>
      <w:bookmarkStart w:id="76" w:name="_Toc418505918"/>
      <w:bookmarkStart w:id="77" w:name="_Toc418505931"/>
      <w:bookmarkStart w:id="78" w:name="_Toc418581713"/>
      <w:bookmarkStart w:id="79" w:name="_Toc423448592"/>
      <w:bookmarkStart w:id="80" w:name="_Toc430005611"/>
      <w:bookmarkStart w:id="81" w:name="_Toc430005679"/>
      <w:bookmarkStart w:id="82" w:name="_Toc430074896"/>
      <w:bookmarkStart w:id="83" w:name="_Toc455137138"/>
      <w:r>
        <w:rPr>
          <w:rStyle w:val="CharSDivNo"/>
        </w:rPr>
        <w:t>Part 1</w:t>
      </w:r>
      <w:r>
        <w:t xml:space="preserve"> — </w:t>
      </w:r>
      <w:r>
        <w:rPr>
          <w:rStyle w:val="CharSDivText"/>
        </w:rPr>
        <w:t>Prescribed statutory corporations (regulation 4)</w:t>
      </w:r>
      <w:bookmarkEnd w:id="73"/>
      <w:bookmarkEnd w:id="74"/>
      <w:bookmarkEnd w:id="75"/>
      <w:bookmarkEnd w:id="76"/>
      <w:bookmarkEnd w:id="77"/>
      <w:bookmarkEnd w:id="78"/>
      <w:bookmarkEnd w:id="79"/>
      <w:bookmarkEnd w:id="80"/>
      <w:bookmarkEnd w:id="81"/>
      <w:bookmarkEnd w:id="82"/>
      <w:bookmarkEnd w:id="83"/>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7</w:t>
      </w:r>
    </w:p>
    <w:p>
      <w:pPr>
        <w:pStyle w:val="yMiscellaneousBody"/>
      </w:pP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w:t>
      </w:r>
    </w:p>
    <w:p>
      <w:pPr>
        <w:pStyle w:val="yHeading3"/>
      </w:pPr>
      <w:bookmarkStart w:id="84" w:name="_Toc377112075"/>
      <w:bookmarkStart w:id="85" w:name="_Toc418505435"/>
      <w:bookmarkStart w:id="86" w:name="_Toc418505456"/>
      <w:bookmarkStart w:id="87" w:name="_Toc418505919"/>
      <w:bookmarkStart w:id="88" w:name="_Toc418505932"/>
      <w:bookmarkStart w:id="89" w:name="_Toc418581714"/>
      <w:bookmarkStart w:id="90" w:name="_Toc423448593"/>
      <w:bookmarkStart w:id="91" w:name="_Toc430005612"/>
      <w:bookmarkStart w:id="92" w:name="_Toc430005680"/>
      <w:bookmarkStart w:id="93" w:name="_Toc430074897"/>
      <w:bookmarkStart w:id="94" w:name="_Toc455137139"/>
      <w:r>
        <w:rPr>
          <w:rStyle w:val="CharSDivNo"/>
        </w:rPr>
        <w:t>Part 2</w:t>
      </w:r>
      <w:r>
        <w:t xml:space="preserve"> — </w:t>
      </w:r>
      <w:r>
        <w:rPr>
          <w:rStyle w:val="CharSDivText"/>
        </w:rPr>
        <w:t>Prescribed activities (regulation 5)</w:t>
      </w:r>
      <w:bookmarkEnd w:id="84"/>
      <w:bookmarkEnd w:id="85"/>
      <w:bookmarkEnd w:id="86"/>
      <w:bookmarkEnd w:id="87"/>
      <w:bookmarkEnd w:id="88"/>
      <w:bookmarkEnd w:id="89"/>
      <w:bookmarkEnd w:id="90"/>
      <w:bookmarkEnd w:id="91"/>
      <w:bookmarkEnd w:id="92"/>
      <w:bookmarkEnd w:id="93"/>
      <w:bookmarkEnd w:id="94"/>
    </w:p>
    <w:p>
      <w:pPr>
        <w:pStyle w:val="yMiscellaneousBody"/>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tabs>
          <w:tab w:val="left" w:pos="532"/>
        </w:tabs>
        <w:ind w:left="546" w:hanging="546"/>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7</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r>
        <w:t>Notes</w:t>
      </w:r>
      <w:bookmarkEnd w:id="29"/>
      <w:bookmarkEnd w:id="30"/>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77112077"/>
      <w:bookmarkStart w:id="97" w:name="_Toc418505458"/>
      <w:bookmarkStart w:id="98" w:name="_Toc455137141"/>
      <w:r>
        <w:rPr>
          <w:snapToGrid w:val="0"/>
        </w:rPr>
        <w:t>Compilation table</w:t>
      </w:r>
      <w:bookmarkEnd w:id="96"/>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rPr>
          <w:cantSplit/>
        </w:trPr>
        <w:tc>
          <w:tcPr>
            <w:tcW w:w="3119"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rPr>
          <w:cantSplit/>
        </w:trPr>
        <w:tc>
          <w:tcPr>
            <w:tcW w:w="3119"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rPr>
          <w:cantSplit/>
        </w:trPr>
        <w:tc>
          <w:tcPr>
            <w:tcW w:w="3119"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rPr>
          <w:cantSplit/>
        </w:trPr>
        <w:tc>
          <w:tcPr>
            <w:tcW w:w="3119"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rPr>
          <w:cantSplit/>
        </w:trPr>
        <w:tc>
          <w:tcPr>
            <w:tcW w:w="3119"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rPr>
          <w:cantSplit/>
        </w:trPr>
        <w:tc>
          <w:tcPr>
            <w:tcW w:w="3119"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rPr>
          <w:cantSplit/>
        </w:trPr>
        <w:tc>
          <w:tcPr>
            <w:tcW w:w="3119"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rPr>
          <w:cantSplit/>
        </w:trPr>
        <w:tc>
          <w:tcPr>
            <w:tcW w:w="3119"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rPr>
          <w:cantSplit/>
        </w:trPr>
        <w:tc>
          <w:tcPr>
            <w:tcW w:w="3119"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rPr>
          <w:cantSplit/>
        </w:trPr>
        <w:tc>
          <w:tcPr>
            <w:tcW w:w="3119" w:type="dxa"/>
          </w:tcPr>
          <w:p>
            <w:pPr>
              <w:pStyle w:val="nTable"/>
              <w:spacing w:after="40"/>
              <w:ind w:right="170"/>
              <w:rPr>
                <w:i/>
              </w:rPr>
            </w:pPr>
            <w:r>
              <w:rPr>
                <w:i/>
              </w:rPr>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rPr>
          <w:cantSplit/>
        </w:trPr>
        <w:tc>
          <w:tcPr>
            <w:tcW w:w="7088"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rPr>
          <w:cantSplit/>
        </w:trPr>
        <w:tc>
          <w:tcPr>
            <w:tcW w:w="3119"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rPr>
          <w:cantSplit/>
        </w:trPr>
        <w:tc>
          <w:tcPr>
            <w:tcW w:w="3119"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rPr>
          <w:cantSplit/>
        </w:trPr>
        <w:tc>
          <w:tcPr>
            <w:tcW w:w="3119"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rPr>
          <w:cantSplit/>
        </w:trPr>
        <w:tc>
          <w:tcPr>
            <w:tcW w:w="3119"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rPr>
          <w:cantSplit/>
        </w:trPr>
        <w:tc>
          <w:tcPr>
            <w:tcW w:w="3119"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rPr>
          <w:cantSplit/>
        </w:trPr>
        <w:tc>
          <w:tcPr>
            <w:tcW w:w="3119"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rPr>
          <w:cantSplit/>
        </w:trPr>
        <w:tc>
          <w:tcPr>
            <w:tcW w:w="3119"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rPr>
          <w:cantSplit/>
        </w:trPr>
        <w:tc>
          <w:tcPr>
            <w:tcW w:w="3119"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rPr>
          <w:cantSplit/>
        </w:trPr>
        <w:tc>
          <w:tcPr>
            <w:tcW w:w="3119"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rPr>
          <w:cantSplit/>
        </w:trPr>
        <w:tc>
          <w:tcPr>
            <w:tcW w:w="3119"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rPr>
          <w:cantSplit/>
        </w:trPr>
        <w:tc>
          <w:tcPr>
            <w:tcW w:w="3119"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rPr>
          <w:cantSplit/>
        </w:trPr>
        <w:tc>
          <w:tcPr>
            <w:tcW w:w="3119"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rPr>
          <w:cantSplit/>
        </w:trPr>
        <w:tc>
          <w:tcPr>
            <w:tcW w:w="3119" w:type="dxa"/>
          </w:tcPr>
          <w:p>
            <w:pPr>
              <w:pStyle w:val="nTable"/>
              <w:spacing w:after="40"/>
              <w:ind w:right="170"/>
              <w:rPr>
                <w:i/>
              </w:rPr>
            </w:pPr>
            <w:r>
              <w:rPr>
                <w:i/>
              </w:rPr>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rPr>
          <w:cantSplit/>
        </w:trPr>
        <w:tc>
          <w:tcPr>
            <w:tcW w:w="3119"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rPr>
          <w:cantSplit/>
        </w:trPr>
        <w:tc>
          <w:tcPr>
            <w:tcW w:w="3119"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rPr>
          <w:cantSplit/>
        </w:trPr>
        <w:tc>
          <w:tcPr>
            <w:tcW w:w="3119"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rPr>
          <w:cantSplit/>
        </w:trPr>
        <w:tc>
          <w:tcPr>
            <w:tcW w:w="7088"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rPr>
          <w:cantSplit/>
        </w:trPr>
        <w:tc>
          <w:tcPr>
            <w:tcW w:w="3119"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rPr>
          <w:cantSplit/>
        </w:trPr>
        <w:tc>
          <w:tcPr>
            <w:tcW w:w="3119"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rPr>
          <w:cantSplit/>
        </w:trPr>
        <w:tc>
          <w:tcPr>
            <w:tcW w:w="3119"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rPr>
          <w:cantSplit/>
        </w:trPr>
        <w:tc>
          <w:tcPr>
            <w:tcW w:w="3119"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rPr>
          <w:cantSplit/>
        </w:trPr>
        <w:tc>
          <w:tcPr>
            <w:tcW w:w="7088"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tcPr>
          <w:p>
            <w:pPr>
              <w:pStyle w:val="nTable"/>
              <w:spacing w:after="40"/>
              <w:ind w:right="170"/>
              <w:rPr>
                <w:i/>
              </w:rPr>
            </w:pPr>
            <w:r>
              <w:rPr>
                <w:i/>
              </w:rPr>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rPr>
          <w:cantSplit/>
        </w:trPr>
        <w:tc>
          <w:tcPr>
            <w:tcW w:w="3119"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rPr>
          <w:cantSplit/>
        </w:trPr>
        <w:tc>
          <w:tcPr>
            <w:tcW w:w="3119"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rPr>
          <w:cantSplit/>
        </w:trPr>
        <w:tc>
          <w:tcPr>
            <w:tcW w:w="3119"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rPr>
          <w:cantSplit/>
        </w:trPr>
        <w:tc>
          <w:tcPr>
            <w:tcW w:w="7088"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c>
          <w:tcPr>
            <w:tcW w:w="3119"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9"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c>
          <w:tcPr>
            <w:tcW w:w="3119" w:type="dxa"/>
          </w:tcPr>
          <w:p>
            <w:pPr>
              <w:pStyle w:val="nTable"/>
              <w:spacing w:after="40"/>
              <w:rPr>
                <w:i/>
              </w:rPr>
            </w:pPr>
            <w:r>
              <w:rPr>
                <w:i/>
              </w:rPr>
              <w:t>State Trading Concerns (Authorisation) Amendment Regulations (No. 2) 2011</w:t>
            </w:r>
          </w:p>
        </w:tc>
        <w:tc>
          <w:tcPr>
            <w:tcW w:w="1276" w:type="dxa"/>
          </w:tcPr>
          <w:p>
            <w:pPr>
              <w:pStyle w:val="nTable"/>
              <w:spacing w:after="40"/>
            </w:pPr>
            <w:r>
              <w:t>8 Nov 2011 p. 4676</w:t>
            </w:r>
            <w:r>
              <w:noBreakHyphen/>
              <w:t>7</w:t>
            </w:r>
          </w:p>
        </w:tc>
        <w:tc>
          <w:tcPr>
            <w:tcW w:w="2693" w:type="dxa"/>
          </w:tcPr>
          <w:p>
            <w:pPr>
              <w:pStyle w:val="nTable"/>
              <w:spacing w:after="40"/>
              <w:rPr>
                <w:snapToGrid w:val="0"/>
              </w:rPr>
            </w:pPr>
            <w:r>
              <w:rPr>
                <w:snapToGrid w:val="0"/>
              </w:rPr>
              <w:t>r. 1 and 2: 8 Nov 2011 (see r. 2(a));</w:t>
            </w:r>
            <w:r>
              <w:rPr>
                <w:snapToGrid w:val="0"/>
              </w:rPr>
              <w:br/>
              <w:t>Regulations other than r. 1 and 2: 9 Nov 2011 (see r. 2(b))</w:t>
            </w:r>
          </w:p>
        </w:tc>
      </w:tr>
      <w:tr>
        <w:trPr>
          <w:cantSplit/>
        </w:trPr>
        <w:tc>
          <w:tcPr>
            <w:tcW w:w="3119"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3119" w:type="dxa"/>
          </w:tcPr>
          <w:p>
            <w:pPr>
              <w:pStyle w:val="nTable"/>
              <w:keepNext/>
              <w:spacing w:after="40"/>
              <w:rPr>
                <w:i/>
              </w:rPr>
            </w:pPr>
            <w:r>
              <w:rPr>
                <w:i/>
              </w:rPr>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c>
          <w:tcPr>
            <w:tcW w:w="3119"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8" w:type="dxa"/>
            <w:gridSpan w:val="3"/>
          </w:tcPr>
          <w:p>
            <w:pPr>
              <w:pStyle w:val="nTable"/>
              <w:spacing w:after="40"/>
              <w:rPr>
                <w:rFonts w:ascii="Arial" w:hAnsi="Arial"/>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c>
          <w:tcPr>
            <w:tcW w:w="3119" w:type="dxa"/>
          </w:tcPr>
          <w:p>
            <w:pPr>
              <w:pStyle w:val="nTable"/>
              <w:spacing w:after="40"/>
              <w:rPr>
                <w:i/>
              </w:rPr>
            </w:pPr>
            <w:r>
              <w:rPr>
                <w:i/>
              </w:rPr>
              <w:t>State Trading Concerns (Authorisation) Amendment Regulations 2013</w:t>
            </w:r>
          </w:p>
        </w:tc>
        <w:tc>
          <w:tcPr>
            <w:tcW w:w="1276" w:type="dxa"/>
          </w:tcPr>
          <w:p>
            <w:pPr>
              <w:pStyle w:val="nTable"/>
              <w:spacing w:after="40"/>
              <w:rPr>
                <w:rFonts w:ascii="Arial" w:hAnsi="Arial"/>
              </w:rPr>
            </w:pPr>
            <w:r>
              <w:t>10 May 2013 p. 1938</w:t>
            </w:r>
            <w:r>
              <w:noBreakHyphen/>
              <w:t>9</w:t>
            </w:r>
          </w:p>
        </w:tc>
        <w:tc>
          <w:tcPr>
            <w:tcW w:w="2693" w:type="dxa"/>
          </w:tcPr>
          <w:p>
            <w:pPr>
              <w:pStyle w:val="nTable"/>
              <w:spacing w:after="40"/>
              <w:rPr>
                <w:rFonts w:ascii="Arial" w:hAnsi="Arial"/>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c>
          <w:tcPr>
            <w:tcW w:w="3119" w:type="dxa"/>
          </w:tcPr>
          <w:p>
            <w:pPr>
              <w:pStyle w:val="nTable"/>
              <w:spacing w:after="40"/>
              <w:rPr>
                <w:i/>
              </w:rPr>
            </w:pPr>
            <w:r>
              <w:rPr>
                <w:i/>
              </w:rPr>
              <w:t>State Trading Concerns (Authorisation) Amendment Regulations 2015</w:t>
            </w:r>
          </w:p>
        </w:tc>
        <w:tc>
          <w:tcPr>
            <w:tcW w:w="1276" w:type="dxa"/>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c>
          <w:tcPr>
            <w:tcW w:w="3119" w:type="dxa"/>
          </w:tcPr>
          <w:p>
            <w:pPr>
              <w:pStyle w:val="nTable"/>
              <w:spacing w:after="40"/>
              <w:rPr>
                <w:i/>
              </w:rPr>
            </w:pPr>
            <w:r>
              <w:rPr>
                <w:i/>
              </w:rPr>
              <w:t>State Trading Concerns (Authorisation) Amendment Regulations (No. 2) 2015</w:t>
            </w:r>
          </w:p>
        </w:tc>
        <w:tc>
          <w:tcPr>
            <w:tcW w:w="1276" w:type="dxa"/>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c>
          <w:tcPr>
            <w:tcW w:w="3119" w:type="dxa"/>
            <w:tcBorders>
              <w:bottom w:val="single" w:sz="4" w:space="0" w:color="auto"/>
            </w:tcBorders>
          </w:tcPr>
          <w:p>
            <w:pPr>
              <w:pStyle w:val="nTable"/>
              <w:spacing w:after="40"/>
              <w:rPr>
                <w:i/>
              </w:rPr>
            </w:pPr>
            <w:r>
              <w:rPr>
                <w:i/>
              </w:rPr>
              <w:t>State Trading Concerns (Authorisation) Amendment Regulations 2016</w:t>
            </w:r>
          </w:p>
        </w:tc>
        <w:tc>
          <w:tcPr>
            <w:tcW w:w="1276" w:type="dxa"/>
            <w:tcBorders>
              <w:bottom w:val="single" w:sz="4" w:space="0" w:color="auto"/>
            </w:tcBorders>
          </w:tcPr>
          <w:p>
            <w:pPr>
              <w:pStyle w:val="nTable"/>
              <w:spacing w:after="40"/>
            </w:pPr>
            <w:r>
              <w:t>24 Jun 2016 p. 2345</w:t>
            </w:r>
          </w:p>
        </w:tc>
        <w:tc>
          <w:tcPr>
            <w:tcW w:w="2693" w:type="dxa"/>
            <w:tcBorders>
              <w:bottom w:val="single" w:sz="4" w:space="0" w:color="auto"/>
            </w:tcBorders>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bl>
    <w:p>
      <w:pPr>
        <w:pStyle w:val="nSubsection"/>
        <w:spacing w:before="200"/>
        <w:rPr>
          <w:snapToGrid w:val="0"/>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Footnote no longer applicable. </w:t>
      </w:r>
    </w:p>
    <w:p>
      <w:pPr>
        <w:pStyle w:val="nSubsection"/>
        <w:keepNext/>
        <w:spacing w:before="120"/>
        <w:rPr>
          <w:snapToGrid w:val="0"/>
        </w:rPr>
      </w:pPr>
      <w:r>
        <w:rPr>
          <w:snapToGrid w:val="0"/>
          <w:vertAlign w:val="superscript"/>
        </w:rPr>
        <w:t>7</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0" w:name="_Toc418505935"/>
      <w:bookmarkStart w:id="101" w:name="_Toc418581718"/>
      <w:bookmarkStart w:id="102" w:name="_Toc423448596"/>
      <w:bookmarkStart w:id="103" w:name="_Toc430005615"/>
      <w:bookmarkStart w:id="104" w:name="_Toc430005683"/>
      <w:bookmarkStart w:id="105" w:name="_Toc430074900"/>
      <w:bookmarkStart w:id="106" w:name="_Toc455137142"/>
      <w:r>
        <w:rPr>
          <w:sz w:val="28"/>
        </w:rPr>
        <w:t>Defined terms</w:t>
      </w:r>
      <w:bookmarkEnd w:id="100"/>
      <w:bookmarkEnd w:id="101"/>
      <w:bookmarkEnd w:id="102"/>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04635"/>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B204-0A40-44EE-95F6-92327C30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4386</Words>
  <Characters>23339</Characters>
  <Application>Microsoft Office Word</Application>
  <DocSecurity>0</DocSecurity>
  <Lines>804</Lines>
  <Paragraphs>469</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1998 - 05-f0-02</dc:title>
  <dc:subject/>
  <dc:creator/>
  <cp:keywords/>
  <dc:description/>
  <cp:lastModifiedBy>svcMRProcess</cp:lastModifiedBy>
  <cp:revision>4</cp:revision>
  <cp:lastPrinted>2013-03-27T01:20:00Z</cp:lastPrinted>
  <dcterms:created xsi:type="dcterms:W3CDTF">2018-09-16T23:01:00Z</dcterms:created>
  <dcterms:modified xsi:type="dcterms:W3CDTF">2018-09-16T23:01:00Z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2016</vt:lpwstr>
  </property>
  <property fmtid="{D5CDD505-2E9C-101B-9397-08002B2CF9AE}" pid="8" name="Suffix">
    <vt:lpwstr>05-f0-02</vt:lpwstr>
  </property>
  <property fmtid="{D5CDD505-2E9C-101B-9397-08002B2CF9AE}" pid="9" name="CommencementDate">
    <vt:lpwstr>20160701</vt:lpwstr>
  </property>
</Properties>
</file>